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sz w:val="28"/>
          <w:szCs w:val="28"/>
          <w:u w:val="single"/>
        </w:rPr>
        <w:t xml:space="preserve">Phase 2 Implementation Summary</w:t>
      </w:r>
    </w:p>
    <w:p>
      <w:pPr>
        <w:pStyle w:val="Heading1"/>
        <w:spacing w:after="80" w:before="120"/>
      </w:pPr>
      <w:r>
        <w:rPr>
          <w:rFonts w:ascii="Arial" w:cs="Arial" w:eastAsia="Arial" w:hAnsi="Arial"/>
          <w:b/>
          <w:bCs/>
          <w:sz w:val="24"/>
          <w:szCs w:val="24"/>
        </w:rPr>
        <w:t xml:space="preserve">Implementation Overview</w:t>
      </w:r>
    </w:p>
    <w:p>
      <w:pPr>
        <w:spacing w:after="80" w:before="80" w:line="360" w:lineRule="auto"/>
        <w:jc w:val="both"/>
      </w:pPr>
      <w:r>
        <w:rPr>
          <w:rFonts w:ascii="Arial" w:cs="Arial" w:eastAsia="Arial" w:hAnsi="Arial"/>
          <w:sz w:val="22"/>
          <w:szCs w:val="22"/>
        </w:rPr>
        <w:t xml:space="preserve">The Airbnb replica database was implemented in SQLite 3.45, chosen for its portability and zero-configuration deployment. The schema comprises 22 tables, each following the primary key naming convention &lt;table_name&gt;_id as specified in Phase 1 feedback (e.g. reservations_id, listings_id, users_id). Foreign key enforcement was activated via PRAGMA foreign_keys = ON, and CASCADE DELETE rules were applied wherever child records have no independent existence outside their parent entity.</w:t>
      </w:r>
    </w:p>
    <w:p>
      <w:pPr>
        <w:spacing w:after="80" w:before="80" w:line="360" w:lineRule="auto"/>
        <w:jc w:val="both"/>
      </w:pPr>
      <w:r>
        <w:rPr>
          <w:rFonts w:ascii="Arial" w:cs="Arial" w:eastAsia="Arial" w:hAnsi="Arial"/>
          <w:sz w:val="22"/>
          <w:szCs w:val="22"/>
        </w:rPr>
        <w:t xml:space="preserve">Normalization to Third Normal Form (3NF) was maintained throughout: every non-key attribute depends exclusively on the primary key of its own table, with no transitive or partial dependencies. The three ternary relationships identified in Phase 1 — listing_amenities (Listing × Amenity × Host), reservation_guests (Reservation × Guest × Listing), and reservation_payments (Reservation × Guest × Payment Method) — were implemented as junction tables with three foreign key columns each, validating multi-entity business rules that binary relationships cannot capture.</w:t>
      </w:r>
    </w:p>
    <w:p>
      <w:pPr>
        <w:spacing w:after="80" w:before="80" w:line="360" w:lineRule="auto"/>
        <w:jc w:val="both"/>
      </w:pPr>
      <w:r>
        <w:rPr>
          <w:rFonts w:ascii="Arial" w:cs="Arial" w:eastAsia="Arial" w:hAnsi="Arial"/>
          <w:sz w:val="22"/>
          <w:szCs w:val="22"/>
        </w:rPr>
        <w:t xml:space="preserve">All 22 tables contain a minimum of 20 rows of realistic dummy data, representing guests and hosts across eight European cities with plausible booking flows, payment records, and review exchanges. Seven test queries were executed to validate the implementation: JOIN operations linking reservations to guests and listings, GROUP BY aggregations computing average ratings and host revenue, WHERE filters isolating open support tickets, and full ternary join traversals across the listing_amenities, reservation_guests, and reservation_payments tables. All queries returned correct and consistent results, confirming referential integrity across the dataset.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2026-04-10T10:50:23.198Z</dcterms:created>
  <dcterms:modified xsi:type="dcterms:W3CDTF">2026-04-10T10:50:23.199Z</dcterms:modified>
</cp:coreProperties>
</file>

<file path=docProps/custom.xml><?xml version="1.0" encoding="utf-8"?>
<Properties xmlns="http://schemas.openxmlformats.org/officeDocument/2006/custom-properties" xmlns:vt="http://schemas.openxmlformats.org/officeDocument/2006/docPropsVTypes"/>
</file>