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F12A" w14:textId="7E522538" w:rsidR="005F453D" w:rsidRDefault="00000000" w:rsidP="00FF6BD5">
      <w:pPr>
        <w:spacing w:after="120" w:line="240" w:lineRule="atLeast"/>
      </w:pPr>
      <w:r>
        <w:rPr>
          <w:rFonts w:ascii="inter" w:eastAsia="inter" w:hAnsi="inter" w:cs="inter"/>
          <w:b/>
          <w:color w:val="000000"/>
          <w:sz w:val="39"/>
        </w:rPr>
        <w:t>UNIVERSAL GREEN ACCELERATOR ECOSYSTEM (UGAE PTE. LTD.)</w:t>
      </w:r>
    </w:p>
    <w:p w14:paraId="05FBF12B" w14:textId="77777777" w:rsidR="005F453D" w:rsidRDefault="00000000">
      <w:pPr>
        <w:spacing w:after="210" w:line="360" w:lineRule="auto"/>
      </w:pPr>
      <w:r>
        <w:rPr>
          <w:rFonts w:ascii="inter" w:eastAsia="inter" w:hAnsi="inter" w:cs="inter"/>
          <w:i/>
          <w:color w:val="000000"/>
        </w:rPr>
        <w:t>UEN: 202518071R – Exempt Private Company Limited by Shares</w:t>
      </w:r>
      <w:r>
        <w:rPr>
          <w:rFonts w:ascii="inter" w:eastAsia="inter" w:hAnsi="inter" w:cs="inter"/>
          <w:color w:val="000000"/>
        </w:rPr>
        <w:br/>
      </w:r>
      <w:r>
        <w:rPr>
          <w:rFonts w:ascii="inter" w:eastAsia="inter" w:hAnsi="inter" w:cs="inter"/>
          <w:i/>
          <w:color w:val="000000"/>
        </w:rPr>
        <w:t>Incorporated: 25 April 2025 – Singapore</w:t>
      </w:r>
      <w:r>
        <w:rPr>
          <w:rFonts w:ascii="inter" w:eastAsia="inter" w:hAnsi="inter" w:cs="inter"/>
          <w:color w:val="000000"/>
        </w:rPr>
        <w:br/>
      </w:r>
      <w:r>
        <w:rPr>
          <w:rFonts w:ascii="inter" w:eastAsia="inter" w:hAnsi="inter" w:cs="inter"/>
          <w:i/>
          <w:color w:val="000000"/>
        </w:rPr>
        <w:t>Registered Address: 160 Robinson Road, #24-09, Singapore 068914</w:t>
      </w:r>
      <w:r>
        <w:rPr>
          <w:rFonts w:ascii="inter" w:eastAsia="inter" w:hAnsi="inter" w:cs="inter"/>
          <w:color w:val="000000"/>
        </w:rPr>
        <w:br/>
      </w:r>
      <w:r>
        <w:rPr>
          <w:rFonts w:ascii="inter" w:eastAsia="inter" w:hAnsi="inter" w:cs="inter"/>
          <w:i/>
          <w:color w:val="000000"/>
        </w:rPr>
        <w:t>Status: LIVE COMPANY</w:t>
      </w:r>
    </w:p>
    <w:p w14:paraId="05FBF12C" w14:textId="77777777" w:rsidR="005F453D" w:rsidRDefault="00000000">
      <w:pPr>
        <w:spacing w:before="210" w:after="0" w:line="360" w:lineRule="auto"/>
      </w:pPr>
      <w:r>
        <w:rPr>
          <w:noProof/>
        </w:rPr>
      </w:r>
      <w:r>
        <w:rPr>
          <w:noProof/>
        </w:rPr>
        <w:pict w14:anchorId="05FBF23C">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BF12D" w14:textId="77777777" w:rsidR="005F453D" w:rsidRDefault="00000000">
      <w:pPr>
        <w:spacing w:before="157" w:after="157" w:line="270" w:lineRule="auto"/>
      </w:pPr>
      <w:r>
        <w:rPr>
          <w:rFonts w:ascii="inter" w:eastAsia="inter" w:hAnsi="inter" w:cs="inter"/>
          <w:b/>
          <w:color w:val="000000"/>
          <w:sz w:val="39"/>
        </w:rPr>
        <w:t>CHAPTER 1: EXECUTIVE SUMMARY</w:t>
      </w:r>
    </w:p>
    <w:p w14:paraId="05FBF12E" w14:textId="77777777" w:rsidR="005F453D" w:rsidRDefault="00000000">
      <w:pPr>
        <w:spacing w:before="315" w:after="105" w:line="360" w:lineRule="auto"/>
        <w:ind w:left="-30"/>
      </w:pPr>
      <w:r>
        <w:rPr>
          <w:rFonts w:ascii="inter" w:eastAsia="inter" w:hAnsi="inter" w:cs="inter"/>
          <w:b/>
          <w:color w:val="000000"/>
          <w:sz w:val="24"/>
        </w:rPr>
        <w:t>1.1 Purpose &amp; Vision</w:t>
      </w:r>
    </w:p>
    <w:p w14:paraId="05FBF12F" w14:textId="77777777" w:rsidR="005F453D" w:rsidRDefault="00000000">
      <w:pPr>
        <w:spacing w:after="210" w:line="360" w:lineRule="auto"/>
      </w:pPr>
      <w:r>
        <w:rPr>
          <w:rFonts w:ascii="inter" w:eastAsia="inter" w:hAnsi="inter" w:cs="inter"/>
          <w:color w:val="000000"/>
        </w:rPr>
        <w:t>Universal Green Accelerator Ecosystem (UGAE Pte. Ltd.), headquartered in Singapore, serves as a strategic partner for clean technology and clean energy startups seeking funding and international expansion. Our mission is to remove barriers to innovation finance in emerging markets, beginning with Africa and progressing to the Asia-Pacific region, and ultimately foster a truly global clean-tech transition. UGAE acts as a "bridge" for bold innovators and impact investors, accelerating the adoption of sustainable technologies where the need and potential are highest.</w:t>
      </w:r>
    </w:p>
    <w:p w14:paraId="05FBF130" w14:textId="77777777" w:rsidR="005F453D" w:rsidRDefault="00000000">
      <w:pPr>
        <w:spacing w:before="315" w:after="105" w:line="360" w:lineRule="auto"/>
        <w:ind w:left="-30"/>
      </w:pPr>
      <w:r>
        <w:rPr>
          <w:rFonts w:ascii="inter" w:eastAsia="inter" w:hAnsi="inter" w:cs="inter"/>
          <w:b/>
          <w:color w:val="000000"/>
          <w:sz w:val="24"/>
        </w:rPr>
        <w:t>1.2 Market Context and Opportunity</w:t>
      </w:r>
    </w:p>
    <w:p w14:paraId="05FBF131" w14:textId="77777777" w:rsidR="005F453D" w:rsidRDefault="00000000">
      <w:pPr>
        <w:spacing w:after="210" w:line="360" w:lineRule="auto"/>
      </w:pPr>
      <w:r>
        <w:rPr>
          <w:rFonts w:ascii="inter" w:eastAsia="inter" w:hAnsi="inter" w:cs="inter"/>
          <w:color w:val="000000"/>
        </w:rPr>
        <w:t>The intersection of population growth, infrastructure needs, and climate urgency has drawn unprecedented levels of attention to clean energy in emerging markets. However, investment remains unequally distributed and structurally insufficient relative to both opportunity and need. UGAE identifies, de-risks, and scales impactful portfolios in regions with chronic under-investment.</w:t>
      </w:r>
    </w:p>
    <w:p w14:paraId="4AEEDF5C" w14:textId="77777777" w:rsidR="00012DDA" w:rsidRDefault="00012DDA" w:rsidP="00012DDA">
      <w:pPr>
        <w:pStyle w:val="Titre1"/>
        <w:rPr>
          <w:rFonts w:eastAsiaTheme="minorEastAsia"/>
        </w:rPr>
      </w:pPr>
      <w:r>
        <w:rPr>
          <w:rFonts w:eastAsiaTheme="minorEastAsia"/>
        </w:rPr>
        <w:t>UNIVERSAL GREEN ACCELERATOR ECOSYSTEM (UGAE PTE. LTD.)</w:t>
      </w:r>
    </w:p>
    <w:p w14:paraId="0AD93EA8" w14:textId="77777777" w:rsidR="00012DDA" w:rsidRDefault="00012DDA" w:rsidP="00012DDA">
      <w:pPr>
        <w:pStyle w:val="Paragraphedeliste"/>
        <w:numPr>
          <w:ilvl w:val="0"/>
          <w:numId w:val="2"/>
        </w:numPr>
      </w:pPr>
      <w:r w:rsidRPr="00012DDA">
        <w:t>UEN: 202518071R – Exempt Private Company Limited by Shares</w:t>
      </w:r>
    </w:p>
    <w:p w14:paraId="20CAB36C" w14:textId="77777777" w:rsidR="00012DDA" w:rsidRDefault="00012DDA" w:rsidP="00012DDA">
      <w:pPr>
        <w:pStyle w:val="Paragraphedeliste"/>
        <w:numPr>
          <w:ilvl w:val="0"/>
          <w:numId w:val="2"/>
        </w:numPr>
      </w:pPr>
      <w:r w:rsidRPr="00012DDA">
        <w:t>Incorporated: 25 April 2025 – Singapore</w:t>
      </w:r>
    </w:p>
    <w:p w14:paraId="66014E69" w14:textId="77777777" w:rsidR="00012DDA" w:rsidRDefault="00012DDA" w:rsidP="00012DDA">
      <w:pPr>
        <w:pStyle w:val="Paragraphedeliste"/>
        <w:numPr>
          <w:ilvl w:val="0"/>
          <w:numId w:val="2"/>
        </w:numPr>
      </w:pPr>
      <w:r w:rsidRPr="00012DDA">
        <w:t>Registered Address: 160 Robinson Road, #24-09, Singapore 068914</w:t>
      </w:r>
    </w:p>
    <w:p w14:paraId="2841E285" w14:textId="77777777" w:rsidR="00012DDA" w:rsidRDefault="00012DDA" w:rsidP="00012DDA">
      <w:pPr>
        <w:pStyle w:val="Paragraphedeliste"/>
        <w:numPr>
          <w:ilvl w:val="0"/>
          <w:numId w:val="2"/>
        </w:numPr>
      </w:pPr>
      <w:r w:rsidRPr="00012DDA">
        <w:t>Status: LIVE COMPANY</w:t>
      </w:r>
    </w:p>
    <w:p w14:paraId="07767134" w14:textId="77777777" w:rsidR="00012DDA" w:rsidRDefault="00012DDA" w:rsidP="00012DDA">
      <w:pPr>
        <w:pStyle w:val="Titre1"/>
      </w:pPr>
      <w:r>
        <w:lastRenderedPageBreak/>
        <w:t>CHAPTER 1: EXECUTIVE SUMMARY</w:t>
      </w:r>
    </w:p>
    <w:p w14:paraId="4FC94A49" w14:textId="77777777" w:rsidR="00012DDA" w:rsidRDefault="00012DDA" w:rsidP="00012DDA">
      <w:pPr>
        <w:pStyle w:val="Titre2"/>
      </w:pPr>
      <w:r>
        <w:t>1.1 Purpose &amp; Vision</w:t>
      </w:r>
    </w:p>
    <w:p w14:paraId="49BDB0B4" w14:textId="77777777" w:rsidR="00012DDA" w:rsidRDefault="00012DDA" w:rsidP="00012DDA">
      <w:r w:rsidRPr="00012DDA">
        <w:t>Universal Green Accelerator Ecosystem (UGAE Pte. Ltd.), headquartered in Singapore, serves as a strategic partner for clean technology and clean energy startups seeking funding and international expansion. Our mission is to remove barriers to innovation finance in emerging markets, beginning with Africa and progressing to the Asia-Pacific region, and ultimately foster a truly global clean-tech transition. UGAE acts as a "bridge" for bold innovators and impact investors, accelerating the adoption of sustainable technologies where the need and potential are highest.</w:t>
      </w:r>
    </w:p>
    <w:p w14:paraId="66551CBA" w14:textId="77777777" w:rsidR="00012DDA" w:rsidRDefault="00012DDA" w:rsidP="00012DDA">
      <w:pPr>
        <w:pStyle w:val="Titre2"/>
      </w:pPr>
      <w:r>
        <w:t>1.2 Market Context and Opportunity</w:t>
      </w:r>
    </w:p>
    <w:p w14:paraId="5A7C7D70" w14:textId="77777777" w:rsidR="00012DDA" w:rsidRDefault="00012DDA" w:rsidP="00012DDA">
      <w:r w:rsidRPr="00012DDA">
        <w:t>The intersection of population growth, infrastructure needs, and climate urgency has drawn unprecedented levels of attention to clean energy in emerging markets. However, investment remains unequally distributed and structurally insufficient relative to both opportunity and need. UGAE identifies, de-risks, and scales impactful portfolios in regions with chronic under-investment.</w:t>
      </w:r>
    </w:p>
    <w:p w14:paraId="4111E75A" w14:textId="77777777" w:rsidR="003B21F6" w:rsidRPr="003B21F6" w:rsidRDefault="003B21F6" w:rsidP="003B21F6"/>
    <w:p w14:paraId="05FBF132" w14:textId="0D564140" w:rsidR="005F453D" w:rsidRDefault="00000000">
      <w:pPr>
        <w:spacing w:after="210" w:line="360" w:lineRule="auto"/>
      </w:pPr>
      <w:r>
        <w:rPr>
          <w:rFonts w:ascii="inter" w:eastAsia="inter" w:hAnsi="inter" w:cs="inter"/>
          <w:b/>
          <w:color w:val="000000"/>
        </w:rPr>
        <w:t>Table 1. Key Market Indicators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85"/>
        <w:gridCol w:w="2155"/>
        <w:gridCol w:w="1732"/>
      </w:tblGrid>
      <w:tr w:rsidR="005F453D" w14:paraId="05FBF1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33" w14:textId="77777777" w:rsidR="005F453D"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05FBF134" w14:textId="77777777" w:rsidR="005F453D" w:rsidRDefault="00000000">
            <w:pPr>
              <w:spacing w:line="360" w:lineRule="auto"/>
            </w:pPr>
            <w:r>
              <w:rPr>
                <w:rFonts w:ascii="inter" w:eastAsia="inter" w:hAnsi="inter" w:cs="inter"/>
                <w:color w:val="000000"/>
                <w:sz w:val="17"/>
              </w:rPr>
              <w:t>Current Value</w:t>
            </w:r>
          </w:p>
        </w:tc>
        <w:tc>
          <w:tcPr>
            <w:tcW w:w="0" w:type="auto"/>
            <w:tcBorders>
              <w:top w:val="single" w:sz="1" w:space="0" w:color="000000"/>
              <w:bottom w:val="single" w:sz="1" w:space="0" w:color="000000"/>
            </w:tcBorders>
          </w:tcPr>
          <w:p w14:paraId="05FBF135" w14:textId="77777777" w:rsidR="005F453D" w:rsidRDefault="00000000">
            <w:pPr>
              <w:spacing w:line="360" w:lineRule="auto"/>
            </w:pPr>
            <w:r>
              <w:rPr>
                <w:rFonts w:ascii="inter" w:eastAsia="inter" w:hAnsi="inter" w:cs="inter"/>
                <w:color w:val="000000"/>
                <w:sz w:val="17"/>
              </w:rPr>
              <w:t>Source</w:t>
            </w:r>
          </w:p>
        </w:tc>
      </w:tr>
      <w:tr w:rsidR="005F453D" w14:paraId="05FBF1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37" w14:textId="77777777" w:rsidR="005F453D" w:rsidRDefault="00000000">
            <w:pPr>
              <w:spacing w:line="360" w:lineRule="auto"/>
            </w:pPr>
            <w:r>
              <w:rPr>
                <w:rFonts w:ascii="inter" w:eastAsia="inter" w:hAnsi="inter" w:cs="inter"/>
                <w:color w:val="000000"/>
                <w:sz w:val="17"/>
              </w:rPr>
              <w:t>Clean energy investment (2024)</w:t>
            </w:r>
          </w:p>
        </w:tc>
        <w:tc>
          <w:tcPr>
            <w:tcW w:w="0" w:type="auto"/>
            <w:tcBorders>
              <w:top w:val="single" w:sz="1" w:space="0" w:color="000000"/>
              <w:bottom w:val="single" w:sz="1" w:space="0" w:color="000000"/>
              <w:right w:val="single" w:sz="1" w:space="0" w:color="000000"/>
            </w:tcBorders>
          </w:tcPr>
          <w:p w14:paraId="05FBF138" w14:textId="77777777" w:rsidR="005F453D" w:rsidRDefault="00000000">
            <w:pPr>
              <w:spacing w:line="360" w:lineRule="auto"/>
            </w:pPr>
            <w:r>
              <w:rPr>
                <w:rFonts w:ascii="inter" w:eastAsia="inter" w:hAnsi="inter" w:cs="inter"/>
                <w:color w:val="000000"/>
                <w:sz w:val="17"/>
              </w:rPr>
              <w:t>$40B</w:t>
            </w:r>
          </w:p>
        </w:tc>
        <w:tc>
          <w:tcPr>
            <w:tcW w:w="0" w:type="auto"/>
            <w:tcBorders>
              <w:top w:val="single" w:sz="1" w:space="0" w:color="000000"/>
              <w:bottom w:val="single" w:sz="1" w:space="0" w:color="000000"/>
            </w:tcBorders>
          </w:tcPr>
          <w:p w14:paraId="05FBF139" w14:textId="77777777" w:rsidR="005F453D" w:rsidRDefault="00000000">
            <w:pPr>
              <w:spacing w:line="360" w:lineRule="auto"/>
            </w:pPr>
            <w:r>
              <w:rPr>
                <w:rFonts w:ascii="inter" w:eastAsia="inter" w:hAnsi="inter" w:cs="inter"/>
                <w:color w:val="000000"/>
                <w:sz w:val="17"/>
              </w:rPr>
              <w:t>IEA, 2024</w:t>
            </w:r>
          </w:p>
        </w:tc>
      </w:tr>
      <w:tr w:rsidR="005F453D" w14:paraId="05FBF1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3B" w14:textId="77777777" w:rsidR="005F453D" w:rsidRDefault="00000000">
            <w:pPr>
              <w:spacing w:line="360" w:lineRule="auto"/>
            </w:pPr>
            <w:r>
              <w:rPr>
                <w:rFonts w:ascii="inter" w:eastAsia="inter" w:hAnsi="inter" w:cs="inter"/>
                <w:color w:val="000000"/>
                <w:sz w:val="17"/>
              </w:rPr>
              <w:t>Total energy investment (2024)</w:t>
            </w:r>
          </w:p>
        </w:tc>
        <w:tc>
          <w:tcPr>
            <w:tcW w:w="0" w:type="auto"/>
            <w:tcBorders>
              <w:top w:val="single" w:sz="1" w:space="0" w:color="000000"/>
              <w:bottom w:val="single" w:sz="1" w:space="0" w:color="000000"/>
              <w:right w:val="single" w:sz="1" w:space="0" w:color="000000"/>
            </w:tcBorders>
          </w:tcPr>
          <w:p w14:paraId="05FBF13C" w14:textId="77777777" w:rsidR="005F453D" w:rsidRDefault="00000000">
            <w:pPr>
              <w:spacing w:line="360" w:lineRule="auto"/>
            </w:pPr>
            <w:r>
              <w:rPr>
                <w:rFonts w:ascii="inter" w:eastAsia="inter" w:hAnsi="inter" w:cs="inter"/>
                <w:color w:val="000000"/>
                <w:sz w:val="17"/>
              </w:rPr>
              <w:t>$110B emerging markets</w:t>
            </w:r>
          </w:p>
        </w:tc>
        <w:tc>
          <w:tcPr>
            <w:tcW w:w="0" w:type="auto"/>
            <w:tcBorders>
              <w:top w:val="single" w:sz="1" w:space="0" w:color="000000"/>
              <w:bottom w:val="single" w:sz="1" w:space="0" w:color="000000"/>
            </w:tcBorders>
          </w:tcPr>
          <w:p w14:paraId="05FBF13D" w14:textId="77777777" w:rsidR="005F453D" w:rsidRDefault="00000000">
            <w:pPr>
              <w:spacing w:line="360" w:lineRule="auto"/>
            </w:pPr>
            <w:r>
              <w:rPr>
                <w:rFonts w:ascii="inter" w:eastAsia="inter" w:hAnsi="inter" w:cs="inter"/>
                <w:color w:val="000000"/>
                <w:sz w:val="17"/>
              </w:rPr>
              <w:t>IEA, 2024</w:t>
            </w:r>
          </w:p>
        </w:tc>
      </w:tr>
      <w:tr w:rsidR="005F453D" w14:paraId="05FBF1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3F" w14:textId="77777777" w:rsidR="005F453D" w:rsidRDefault="00000000">
            <w:pPr>
              <w:spacing w:line="360" w:lineRule="auto"/>
            </w:pPr>
            <w:r>
              <w:rPr>
                <w:rFonts w:ascii="inter" w:eastAsia="inter" w:hAnsi="inter" w:cs="inter"/>
                <w:color w:val="000000"/>
                <w:sz w:val="17"/>
              </w:rPr>
              <w:t>Global clean-energy gap</w:t>
            </w:r>
          </w:p>
        </w:tc>
        <w:tc>
          <w:tcPr>
            <w:tcW w:w="0" w:type="auto"/>
            <w:tcBorders>
              <w:top w:val="single" w:sz="1" w:space="0" w:color="000000"/>
              <w:bottom w:val="single" w:sz="1" w:space="0" w:color="000000"/>
              <w:right w:val="single" w:sz="1" w:space="0" w:color="000000"/>
            </w:tcBorders>
          </w:tcPr>
          <w:p w14:paraId="05FBF140" w14:textId="77777777" w:rsidR="005F453D" w:rsidRDefault="00000000">
            <w:pPr>
              <w:spacing w:line="360" w:lineRule="auto"/>
            </w:pPr>
            <w:r>
              <w:rPr>
                <w:rFonts w:ascii="inter" w:eastAsia="inter" w:hAnsi="inter" w:cs="inter"/>
                <w:color w:val="000000"/>
                <w:sz w:val="17"/>
              </w:rPr>
              <w:t>$60B / year</w:t>
            </w:r>
          </w:p>
        </w:tc>
        <w:tc>
          <w:tcPr>
            <w:tcW w:w="0" w:type="auto"/>
            <w:tcBorders>
              <w:top w:val="single" w:sz="1" w:space="0" w:color="000000"/>
              <w:bottom w:val="single" w:sz="1" w:space="0" w:color="000000"/>
            </w:tcBorders>
          </w:tcPr>
          <w:p w14:paraId="05FBF141" w14:textId="77777777" w:rsidR="005F453D" w:rsidRDefault="00000000">
            <w:pPr>
              <w:spacing w:line="360" w:lineRule="auto"/>
            </w:pPr>
            <w:proofErr w:type="spellStart"/>
            <w:r>
              <w:rPr>
                <w:rFonts w:ascii="inter" w:eastAsia="inter" w:hAnsi="inter" w:cs="inter"/>
                <w:color w:val="000000"/>
                <w:sz w:val="17"/>
              </w:rPr>
              <w:t>TechCabal</w:t>
            </w:r>
            <w:proofErr w:type="spellEnd"/>
            <w:r>
              <w:rPr>
                <w:rFonts w:ascii="inter" w:eastAsia="inter" w:hAnsi="inter" w:cs="inter"/>
                <w:color w:val="000000"/>
                <w:sz w:val="17"/>
              </w:rPr>
              <w:t>, 2025</w:t>
            </w:r>
          </w:p>
        </w:tc>
      </w:tr>
      <w:tr w:rsidR="005F453D" w14:paraId="05FBF1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43" w14:textId="77777777" w:rsidR="005F453D" w:rsidRDefault="00000000">
            <w:pPr>
              <w:spacing w:line="360" w:lineRule="auto"/>
            </w:pPr>
            <w:r>
              <w:rPr>
                <w:rFonts w:ascii="inter" w:eastAsia="inter" w:hAnsi="inter" w:cs="inter"/>
                <w:color w:val="000000"/>
                <w:sz w:val="17"/>
              </w:rPr>
              <w:t>Renewable capacity target (2034)</w:t>
            </w:r>
          </w:p>
        </w:tc>
        <w:tc>
          <w:tcPr>
            <w:tcW w:w="0" w:type="auto"/>
            <w:tcBorders>
              <w:top w:val="single" w:sz="1" w:space="0" w:color="000000"/>
              <w:bottom w:val="single" w:sz="1" w:space="0" w:color="000000"/>
              <w:right w:val="single" w:sz="1" w:space="0" w:color="000000"/>
            </w:tcBorders>
          </w:tcPr>
          <w:p w14:paraId="05FBF144" w14:textId="77777777" w:rsidR="005F453D" w:rsidRDefault="00000000">
            <w:pPr>
              <w:spacing w:line="360" w:lineRule="auto"/>
            </w:pPr>
            <w:r>
              <w:rPr>
                <w:rFonts w:ascii="inter" w:eastAsia="inter" w:hAnsi="inter" w:cs="inter"/>
                <w:color w:val="000000"/>
                <w:sz w:val="17"/>
              </w:rPr>
              <w:t>5,236 GW (CAGR 6-14%)</w:t>
            </w:r>
          </w:p>
        </w:tc>
        <w:tc>
          <w:tcPr>
            <w:tcW w:w="0" w:type="auto"/>
            <w:tcBorders>
              <w:top w:val="single" w:sz="1" w:space="0" w:color="000000"/>
              <w:bottom w:val="single" w:sz="1" w:space="0" w:color="000000"/>
            </w:tcBorders>
          </w:tcPr>
          <w:p w14:paraId="05FBF145" w14:textId="77777777" w:rsidR="005F453D" w:rsidRDefault="00000000">
            <w:pPr>
              <w:spacing w:line="360" w:lineRule="auto"/>
            </w:pPr>
            <w:r>
              <w:rPr>
                <w:rFonts w:ascii="inter" w:eastAsia="inter" w:hAnsi="inter" w:cs="inter"/>
                <w:color w:val="000000"/>
                <w:sz w:val="17"/>
              </w:rPr>
              <w:t>Mobility Foresights</w:t>
            </w:r>
          </w:p>
        </w:tc>
      </w:tr>
      <w:tr w:rsidR="005F453D" w14:paraId="05FBF1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47" w14:textId="77777777" w:rsidR="005F453D" w:rsidRDefault="00000000">
            <w:pPr>
              <w:spacing w:line="360" w:lineRule="auto"/>
            </w:pPr>
            <w:r>
              <w:rPr>
                <w:rFonts w:ascii="inter" w:eastAsia="inter" w:hAnsi="inter" w:cs="inter"/>
                <w:color w:val="000000"/>
                <w:sz w:val="17"/>
              </w:rPr>
              <w:t>Off-grid/underserved population</w:t>
            </w:r>
          </w:p>
        </w:tc>
        <w:tc>
          <w:tcPr>
            <w:tcW w:w="0" w:type="auto"/>
            <w:tcBorders>
              <w:top w:val="single" w:sz="1" w:space="0" w:color="000000"/>
              <w:bottom w:val="single" w:sz="1" w:space="0" w:color="000000"/>
              <w:right w:val="single" w:sz="1" w:space="0" w:color="000000"/>
            </w:tcBorders>
          </w:tcPr>
          <w:p w14:paraId="05FBF148" w14:textId="77777777" w:rsidR="005F453D" w:rsidRDefault="00000000">
            <w:pPr>
              <w:spacing w:line="360" w:lineRule="auto"/>
            </w:pPr>
            <w:r>
              <w:rPr>
                <w:rFonts w:ascii="inter" w:eastAsia="inter" w:hAnsi="inter" w:cs="inter"/>
                <w:color w:val="000000"/>
                <w:sz w:val="17"/>
              </w:rPr>
              <w:t>2B+ people</w:t>
            </w:r>
          </w:p>
        </w:tc>
        <w:tc>
          <w:tcPr>
            <w:tcW w:w="0" w:type="auto"/>
            <w:tcBorders>
              <w:top w:val="single" w:sz="1" w:space="0" w:color="000000"/>
              <w:bottom w:val="single" w:sz="1" w:space="0" w:color="000000"/>
            </w:tcBorders>
          </w:tcPr>
          <w:p w14:paraId="05FBF149" w14:textId="77777777" w:rsidR="005F453D" w:rsidRDefault="00000000">
            <w:pPr>
              <w:spacing w:line="360" w:lineRule="auto"/>
            </w:pPr>
            <w:r>
              <w:rPr>
                <w:rFonts w:ascii="inter" w:eastAsia="inter" w:hAnsi="inter" w:cs="inter"/>
                <w:color w:val="000000"/>
                <w:sz w:val="17"/>
              </w:rPr>
              <w:t>IRENA, 2024</w:t>
            </w:r>
          </w:p>
        </w:tc>
      </w:tr>
    </w:tbl>
    <w:p w14:paraId="05FBF14B" w14:textId="77777777" w:rsidR="005F453D" w:rsidRDefault="005F453D"/>
    <w:p w14:paraId="05FBF14C" w14:textId="77777777" w:rsidR="005F453D" w:rsidRDefault="00000000">
      <w:pPr>
        <w:spacing w:after="210" w:line="360" w:lineRule="auto"/>
      </w:pPr>
      <w:r>
        <w:rPr>
          <w:rFonts w:ascii="inter" w:eastAsia="inter" w:hAnsi="inter" w:cs="inter"/>
          <w:i/>
          <w:color w:val="000000"/>
        </w:rPr>
        <w:t>This table highlights the immense potential for growth in UGAE’s target markets—the annual investment gap and unmet needs serve as an explicit rationale for an intermediation business specifically positioned at the nexus of capital and impact.</w:t>
      </w:r>
    </w:p>
    <w:p w14:paraId="05FBF14D" w14:textId="77777777" w:rsidR="005F453D" w:rsidRDefault="00000000">
      <w:pPr>
        <w:spacing w:before="210" w:after="0" w:line="360" w:lineRule="auto"/>
      </w:pPr>
      <w:r>
        <w:rPr>
          <w:noProof/>
        </w:rPr>
      </w:r>
      <w:r>
        <w:rPr>
          <w:noProof/>
        </w:rPr>
        <w:pict w14:anchorId="05FBF23E">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BF14E" w14:textId="77777777" w:rsidR="005F453D" w:rsidRDefault="00000000">
      <w:pPr>
        <w:spacing w:before="157" w:after="157" w:line="270" w:lineRule="auto"/>
      </w:pPr>
      <w:r>
        <w:rPr>
          <w:rFonts w:ascii="inter" w:eastAsia="inter" w:hAnsi="inter" w:cs="inter"/>
          <w:b/>
          <w:color w:val="000000"/>
          <w:sz w:val="39"/>
        </w:rPr>
        <w:t>CHAPTER 2: SECTOR FOCUS &amp; SPECIALIZATION</w:t>
      </w:r>
    </w:p>
    <w:p w14:paraId="05FBF14F" w14:textId="77777777" w:rsidR="005F453D" w:rsidRDefault="00000000">
      <w:pPr>
        <w:spacing w:before="315" w:after="105" w:line="360" w:lineRule="auto"/>
        <w:ind w:left="-30"/>
      </w:pPr>
      <w:r>
        <w:rPr>
          <w:rFonts w:ascii="inter" w:eastAsia="inter" w:hAnsi="inter" w:cs="inter"/>
          <w:b/>
          <w:color w:val="000000"/>
          <w:sz w:val="24"/>
        </w:rPr>
        <w:t>2.1 Technological Scope</w:t>
      </w:r>
    </w:p>
    <w:p w14:paraId="05FBF150" w14:textId="77777777" w:rsidR="005F453D" w:rsidRDefault="00000000">
      <w:pPr>
        <w:spacing w:before="315" w:after="105" w:line="360" w:lineRule="auto"/>
        <w:ind w:left="-30"/>
      </w:pPr>
      <w:r>
        <w:rPr>
          <w:rFonts w:ascii="inter" w:eastAsia="inter" w:hAnsi="inter" w:cs="inter"/>
          <w:b/>
          <w:color w:val="000000"/>
          <w:sz w:val="24"/>
        </w:rPr>
        <w:t>2.1.1 Clean Energy</w:t>
      </w:r>
    </w:p>
    <w:p w14:paraId="05FBF151" w14:textId="77777777" w:rsidR="005F453D" w:rsidRDefault="00000000">
      <w:pPr>
        <w:spacing w:after="210" w:line="360" w:lineRule="auto"/>
      </w:pPr>
      <w:r>
        <w:rPr>
          <w:rFonts w:ascii="inter" w:eastAsia="inter" w:hAnsi="inter" w:cs="inter"/>
          <w:color w:val="000000"/>
        </w:rPr>
        <w:lastRenderedPageBreak/>
        <w:t>We prioritize scalable, bankable solutions in solar, wind, advanced storage, grid digitalization, and decentralized power (</w:t>
      </w:r>
      <w:proofErr w:type="gramStart"/>
      <w:r>
        <w:rPr>
          <w:rFonts w:ascii="inter" w:eastAsia="inter" w:hAnsi="inter" w:cs="inter"/>
          <w:color w:val="000000"/>
        </w:rPr>
        <w:t>mini-grids</w:t>
      </w:r>
      <w:proofErr w:type="gramEnd"/>
      <w:r>
        <w:rPr>
          <w:rFonts w:ascii="inter" w:eastAsia="inter" w:hAnsi="inter" w:cs="inter"/>
          <w:color w:val="000000"/>
        </w:rPr>
        <w:t>). UGAE’s expertise covers technical assessments, go-to-market, and localization of these innovations in new markets.</w:t>
      </w:r>
    </w:p>
    <w:p w14:paraId="05FBF152" w14:textId="77777777" w:rsidR="005F453D" w:rsidRDefault="00000000">
      <w:pPr>
        <w:spacing w:before="315" w:after="105" w:line="360" w:lineRule="auto"/>
        <w:ind w:left="-30"/>
      </w:pPr>
      <w:r>
        <w:rPr>
          <w:rFonts w:ascii="inter" w:eastAsia="inter" w:hAnsi="inter" w:cs="inter"/>
          <w:b/>
          <w:color w:val="000000"/>
          <w:sz w:val="24"/>
        </w:rPr>
        <w:t>2.1.2 Climate Tech</w:t>
      </w:r>
    </w:p>
    <w:p w14:paraId="05FBF153" w14:textId="77777777" w:rsidR="005F453D" w:rsidRDefault="00000000">
      <w:pPr>
        <w:spacing w:after="210" w:line="360" w:lineRule="auto"/>
      </w:pPr>
      <w:r>
        <w:rPr>
          <w:rFonts w:ascii="inter" w:eastAsia="inter" w:hAnsi="inter" w:cs="inter"/>
          <w:color w:val="000000"/>
        </w:rPr>
        <w:t xml:space="preserve">We support </w:t>
      </w:r>
      <w:proofErr w:type="gramStart"/>
      <w:r>
        <w:rPr>
          <w:rFonts w:ascii="inter" w:eastAsia="inter" w:hAnsi="inter" w:cs="inter"/>
          <w:color w:val="000000"/>
        </w:rPr>
        <w:t>a next wave</w:t>
      </w:r>
      <w:proofErr w:type="gramEnd"/>
      <w:r>
        <w:rPr>
          <w:rFonts w:ascii="inter" w:eastAsia="inter" w:hAnsi="inter" w:cs="inter"/>
          <w:color w:val="000000"/>
        </w:rPr>
        <w:t xml:space="preserve"> of solutions in water resource management, waste-to-value, and sustainable ag-tech—crucial for the adaptation and mitigation needs of emerging markets.</w:t>
      </w:r>
    </w:p>
    <w:p w14:paraId="05FBF154" w14:textId="77777777" w:rsidR="005F453D" w:rsidRDefault="00000000">
      <w:pPr>
        <w:spacing w:before="315" w:after="105" w:line="360" w:lineRule="auto"/>
        <w:ind w:left="-30"/>
      </w:pPr>
      <w:r>
        <w:rPr>
          <w:rFonts w:ascii="inter" w:eastAsia="inter" w:hAnsi="inter" w:cs="inter"/>
          <w:b/>
          <w:color w:val="000000"/>
          <w:sz w:val="24"/>
        </w:rPr>
        <w:t>2.1.3 Energy Efficiency</w:t>
      </w:r>
    </w:p>
    <w:p w14:paraId="05FBF155" w14:textId="77777777" w:rsidR="005F453D" w:rsidRDefault="00000000">
      <w:pPr>
        <w:spacing w:after="210" w:line="360" w:lineRule="auto"/>
      </w:pPr>
      <w:r>
        <w:rPr>
          <w:rFonts w:ascii="inter" w:eastAsia="inter" w:hAnsi="inter" w:cs="inter"/>
          <w:color w:val="000000"/>
        </w:rPr>
        <w:t xml:space="preserve">Industrial and building energy efficiency, digital management, and market mechanisms like EaaS (Energy-as-a-Service) are becoming increasingly investable and necessary for green </w:t>
      </w:r>
      <w:proofErr w:type="gramStart"/>
      <w:r>
        <w:rPr>
          <w:rFonts w:ascii="inter" w:eastAsia="inter" w:hAnsi="inter" w:cs="inter"/>
          <w:color w:val="000000"/>
        </w:rPr>
        <w:t>transition, and</w:t>
      </w:r>
      <w:proofErr w:type="gramEnd"/>
      <w:r>
        <w:rPr>
          <w:rFonts w:ascii="inter" w:eastAsia="inter" w:hAnsi="inter" w:cs="inter"/>
          <w:color w:val="000000"/>
        </w:rPr>
        <w:t xml:space="preserve"> constitute a strong UGAE vertical.</w:t>
      </w:r>
    </w:p>
    <w:p w14:paraId="05FBF156" w14:textId="77777777" w:rsidR="005F453D" w:rsidRDefault="00000000">
      <w:pPr>
        <w:spacing w:before="315" w:after="105" w:line="360" w:lineRule="auto"/>
        <w:ind w:left="-30"/>
      </w:pPr>
      <w:r>
        <w:rPr>
          <w:rFonts w:ascii="inter" w:eastAsia="inter" w:hAnsi="inter" w:cs="inter"/>
          <w:b/>
          <w:color w:val="000000"/>
          <w:sz w:val="24"/>
        </w:rPr>
        <w:t>2.2 Regulatory &amp; Certification Framework</w:t>
      </w:r>
    </w:p>
    <w:p w14:paraId="05FBF157" w14:textId="77777777" w:rsidR="005F453D" w:rsidRDefault="00000000">
      <w:pPr>
        <w:spacing w:before="315" w:after="105" w:line="360" w:lineRule="auto"/>
        <w:ind w:left="-30"/>
      </w:pPr>
      <w:r>
        <w:rPr>
          <w:rFonts w:ascii="inter" w:eastAsia="inter" w:hAnsi="inter" w:cs="inter"/>
          <w:b/>
          <w:color w:val="000000"/>
          <w:sz w:val="24"/>
        </w:rPr>
        <w:t>2.2.1 ESG &amp; Environmental</w:t>
      </w:r>
    </w:p>
    <w:p w14:paraId="05FBF158" w14:textId="77777777" w:rsidR="005F453D" w:rsidRDefault="00000000">
      <w:pPr>
        <w:spacing w:after="210" w:line="360" w:lineRule="auto"/>
      </w:pPr>
      <w:r>
        <w:rPr>
          <w:rFonts w:ascii="inter" w:eastAsia="inter" w:hAnsi="inter" w:cs="inter"/>
          <w:color w:val="000000"/>
        </w:rPr>
        <w:t>Compliance is not optional in emerging markets—it’s non-negotiable. UGAE navigates and implements ISO 14001 standards, robust impact measurement, and EIA preparation and review to secure project bankability and eligibility for responsible capital.</w:t>
      </w:r>
    </w:p>
    <w:p w14:paraId="05FBF159" w14:textId="77777777" w:rsidR="005F453D" w:rsidRDefault="00000000">
      <w:pPr>
        <w:spacing w:before="315" w:after="105" w:line="360" w:lineRule="auto"/>
        <w:ind w:left="-30"/>
      </w:pPr>
      <w:r>
        <w:rPr>
          <w:rFonts w:ascii="inter" w:eastAsia="inter" w:hAnsi="inter" w:cs="inter"/>
          <w:b/>
          <w:color w:val="000000"/>
          <w:sz w:val="24"/>
        </w:rPr>
        <w:t>2.2.2 Clean Energy Certification</w:t>
      </w:r>
    </w:p>
    <w:p w14:paraId="05FBF15A" w14:textId="77777777" w:rsidR="005F453D" w:rsidRDefault="00000000">
      <w:pPr>
        <w:spacing w:after="210" w:line="360" w:lineRule="auto"/>
      </w:pPr>
      <w:r>
        <w:rPr>
          <w:rFonts w:ascii="inter" w:eastAsia="inter" w:hAnsi="inter" w:cs="inter"/>
          <w:color w:val="000000"/>
        </w:rPr>
        <w:t>Our approach integrates internationally recognized certification frameworks—such as I-REC for renewable quantification and Gold Standard for verified carbon credits—to ensure projects remain on par with global “green finance” criteria. This not only attracts international investors but boosts project valuations and exit potential.</w:t>
      </w:r>
    </w:p>
    <w:p w14:paraId="05FBF15B" w14:textId="77777777" w:rsidR="005F453D" w:rsidRDefault="00000000">
      <w:pPr>
        <w:spacing w:before="210" w:after="0" w:line="360" w:lineRule="auto"/>
      </w:pPr>
      <w:r>
        <w:rPr>
          <w:noProof/>
        </w:rPr>
      </w:r>
      <w:r>
        <w:rPr>
          <w:noProof/>
        </w:rPr>
        <w:pict w14:anchorId="05FBF24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BF15C" w14:textId="77777777" w:rsidR="005F453D" w:rsidRDefault="00000000">
      <w:pPr>
        <w:spacing w:before="157" w:after="157" w:line="270" w:lineRule="auto"/>
      </w:pPr>
      <w:r>
        <w:rPr>
          <w:rFonts w:ascii="inter" w:eastAsia="inter" w:hAnsi="inter" w:cs="inter"/>
          <w:b/>
          <w:color w:val="000000"/>
          <w:sz w:val="39"/>
        </w:rPr>
        <w:t>CHAPTER 3: SERVICE PORTFOLIO &amp; BUSINESS MODEL</w:t>
      </w:r>
    </w:p>
    <w:p w14:paraId="05FBF15D" w14:textId="77777777" w:rsidR="005F453D" w:rsidRDefault="00000000">
      <w:pPr>
        <w:spacing w:before="315" w:after="105" w:line="360" w:lineRule="auto"/>
        <w:ind w:left="-30"/>
      </w:pPr>
      <w:r>
        <w:rPr>
          <w:rFonts w:ascii="inter" w:eastAsia="inter" w:hAnsi="inter" w:cs="inter"/>
          <w:b/>
          <w:color w:val="000000"/>
          <w:sz w:val="24"/>
        </w:rPr>
        <w:t>3.1 Service Offering</w:t>
      </w:r>
    </w:p>
    <w:p w14:paraId="05FBF15E" w14:textId="77777777" w:rsidR="005F453D" w:rsidRDefault="00000000">
      <w:pPr>
        <w:spacing w:after="210" w:line="360" w:lineRule="auto"/>
      </w:pPr>
      <w:r>
        <w:rPr>
          <w:rFonts w:ascii="inter" w:eastAsia="inter" w:hAnsi="inter" w:cs="inter"/>
          <w:color w:val="000000"/>
        </w:rPr>
        <w:lastRenderedPageBreak/>
        <w:t>We have built a modular suite of services, ranging from technical diligence to investment readiness, ESG certification, and ongoing advisory. Our digital platform functions as both a pipeline builder and a matchmaking tool for startups and investors.</w:t>
      </w:r>
    </w:p>
    <w:p w14:paraId="05FBF15F" w14:textId="77777777" w:rsidR="005F453D" w:rsidRDefault="00000000">
      <w:pPr>
        <w:spacing w:before="315" w:after="105" w:line="360" w:lineRule="auto"/>
        <w:ind w:left="-30"/>
      </w:pPr>
      <w:r>
        <w:rPr>
          <w:rFonts w:ascii="inter" w:eastAsia="inter" w:hAnsi="inter" w:cs="inter"/>
          <w:b/>
          <w:color w:val="000000"/>
          <w:sz w:val="24"/>
        </w:rPr>
        <w:t>3.1.1 Due Diligence &amp; Technical Assessment</w:t>
      </w:r>
    </w:p>
    <w:p w14:paraId="05FBF160" w14:textId="77777777" w:rsidR="005F453D" w:rsidRDefault="00000000">
      <w:pPr>
        <w:spacing w:after="210" w:line="360" w:lineRule="auto"/>
      </w:pPr>
      <w:r>
        <w:rPr>
          <w:rFonts w:ascii="inter" w:eastAsia="inter" w:hAnsi="inter" w:cs="inter"/>
          <w:color w:val="000000"/>
        </w:rPr>
        <w:t>We conduct robust technology readiness assessments (TRL), intellectual property reviews, and in-market scalability checks. Each assessment is tailored by sector and geography for credibility with global funders.</w:t>
      </w:r>
    </w:p>
    <w:p w14:paraId="05FBF161" w14:textId="77777777" w:rsidR="005F453D" w:rsidRDefault="00000000">
      <w:pPr>
        <w:spacing w:before="315" w:after="105" w:line="360" w:lineRule="auto"/>
        <w:ind w:left="-30"/>
      </w:pPr>
      <w:r>
        <w:rPr>
          <w:rFonts w:ascii="inter" w:eastAsia="inter" w:hAnsi="inter" w:cs="inter"/>
          <w:b/>
          <w:color w:val="000000"/>
          <w:sz w:val="24"/>
        </w:rPr>
        <w:t>3.1.2 ESG/Compliance Support</w:t>
      </w:r>
    </w:p>
    <w:p w14:paraId="05FBF162" w14:textId="77777777" w:rsidR="005F453D" w:rsidRDefault="00000000">
      <w:pPr>
        <w:spacing w:after="210" w:line="360" w:lineRule="auto"/>
      </w:pPr>
      <w:r>
        <w:rPr>
          <w:rFonts w:ascii="inter" w:eastAsia="inter" w:hAnsi="inter" w:cs="inter"/>
          <w:color w:val="000000"/>
        </w:rPr>
        <w:t>We support startups in implementing international ESG reporting, structuring for green bond eligibility, and preparing for third-party certification. This solves one of the main access barriers for emerging market innovators.</w:t>
      </w:r>
    </w:p>
    <w:p w14:paraId="05FBF163" w14:textId="77777777" w:rsidR="005F453D" w:rsidRDefault="00000000">
      <w:pPr>
        <w:spacing w:before="315" w:after="105" w:line="360" w:lineRule="auto"/>
        <w:ind w:left="-30"/>
      </w:pPr>
      <w:r>
        <w:rPr>
          <w:rFonts w:ascii="inter" w:eastAsia="inter" w:hAnsi="inter" w:cs="inter"/>
          <w:b/>
          <w:color w:val="000000"/>
          <w:sz w:val="24"/>
        </w:rPr>
        <w:t>3.1.3 Investment Readiness</w:t>
      </w:r>
    </w:p>
    <w:p w14:paraId="05FBF164" w14:textId="77777777" w:rsidR="005F453D" w:rsidRDefault="00000000">
      <w:pPr>
        <w:spacing w:after="210" w:line="360" w:lineRule="auto"/>
      </w:pPr>
      <w:r>
        <w:rPr>
          <w:rFonts w:ascii="inter" w:eastAsia="inter" w:hAnsi="inter" w:cs="inter"/>
          <w:color w:val="000000"/>
        </w:rPr>
        <w:t>Via our pre-acceleration programs, we ensure teams are prepared to meet investor expectations regarding business model, regulatory navigation, term sheets, and partnership negotiations.</w:t>
      </w:r>
    </w:p>
    <w:p w14:paraId="05FBF165" w14:textId="77777777" w:rsidR="005F453D" w:rsidRDefault="00000000">
      <w:pPr>
        <w:spacing w:before="315" w:after="105" w:line="360" w:lineRule="auto"/>
        <w:ind w:left="-30"/>
      </w:pPr>
      <w:r>
        <w:rPr>
          <w:rFonts w:ascii="inter" w:eastAsia="inter" w:hAnsi="inter" w:cs="inter"/>
          <w:b/>
          <w:color w:val="000000"/>
          <w:sz w:val="24"/>
        </w:rPr>
        <w:t>3.1.4 Digital Platform</w:t>
      </w:r>
    </w:p>
    <w:p w14:paraId="05FBF166" w14:textId="77777777" w:rsidR="005F453D" w:rsidRDefault="00000000">
      <w:pPr>
        <w:spacing w:after="210" w:line="360" w:lineRule="auto"/>
      </w:pPr>
      <w:r>
        <w:rPr>
          <w:rFonts w:ascii="inter" w:eastAsia="inter" w:hAnsi="inter" w:cs="inter"/>
          <w:color w:val="000000"/>
        </w:rPr>
        <w:t>Our platform offers real-time project tracking, portfolio monitoring and automated matching between innovators, investors, and foundations. It is the digital backbone of our business.</w:t>
      </w:r>
    </w:p>
    <w:p w14:paraId="05FBF167" w14:textId="77777777" w:rsidR="005F453D" w:rsidRDefault="00000000">
      <w:pPr>
        <w:spacing w:before="315" w:after="105" w:line="360" w:lineRule="auto"/>
        <w:ind w:left="-30"/>
      </w:pPr>
      <w:r>
        <w:rPr>
          <w:rFonts w:ascii="inter" w:eastAsia="inter" w:hAnsi="inter" w:cs="inter"/>
          <w:b/>
          <w:color w:val="000000"/>
          <w:sz w:val="24"/>
        </w:rPr>
        <w:t>3.1.5 Advisory and Strategic Partnerships</w:t>
      </w:r>
    </w:p>
    <w:p w14:paraId="05FBF168" w14:textId="77777777" w:rsidR="005F453D" w:rsidRDefault="00000000">
      <w:pPr>
        <w:spacing w:after="210" w:line="360" w:lineRule="auto"/>
      </w:pPr>
      <w:r>
        <w:rPr>
          <w:rFonts w:ascii="inter" w:eastAsia="inter" w:hAnsi="inter" w:cs="inter"/>
          <w:color w:val="000000"/>
        </w:rPr>
        <w:t>We catalyze cross-border partnerships by facilitating direct connections (MOU/JV structuring), consortium building for large-scale bids, and ongoing post-investment support.</w:t>
      </w:r>
    </w:p>
    <w:p w14:paraId="05FBF169" w14:textId="77777777" w:rsidR="005F453D" w:rsidRDefault="00000000">
      <w:pPr>
        <w:spacing w:after="210" w:line="360" w:lineRule="auto"/>
      </w:pPr>
      <w:r>
        <w:rPr>
          <w:rFonts w:ascii="inter" w:eastAsia="inter" w:hAnsi="inter" w:cs="inter"/>
          <w:b/>
          <w:color w:val="000000"/>
        </w:rPr>
        <w:t>Table 2. UGAE Main Services &amp; Annual Revenue Potential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83"/>
        <w:gridCol w:w="2374"/>
        <w:gridCol w:w="1809"/>
        <w:gridCol w:w="1648"/>
      </w:tblGrid>
      <w:tr w:rsidR="005F453D" w14:paraId="05FBF1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6A" w14:textId="77777777" w:rsidR="005F453D" w:rsidRDefault="00000000">
            <w:pPr>
              <w:spacing w:line="360" w:lineRule="auto"/>
            </w:pPr>
            <w:r>
              <w:rPr>
                <w:rFonts w:ascii="inter" w:eastAsia="inter" w:hAnsi="inter" w:cs="inter"/>
                <w:color w:val="000000"/>
                <w:sz w:val="17"/>
              </w:rPr>
              <w:t>Service</w:t>
            </w:r>
          </w:p>
        </w:tc>
        <w:tc>
          <w:tcPr>
            <w:tcW w:w="0" w:type="auto"/>
            <w:tcBorders>
              <w:top w:val="single" w:sz="1" w:space="0" w:color="000000"/>
              <w:bottom w:val="single" w:sz="1" w:space="0" w:color="000000"/>
              <w:right w:val="single" w:sz="1" w:space="0" w:color="000000"/>
            </w:tcBorders>
          </w:tcPr>
          <w:p w14:paraId="05FBF16B" w14:textId="77777777" w:rsidR="005F453D" w:rsidRDefault="00000000">
            <w:pPr>
              <w:spacing w:line="360" w:lineRule="auto"/>
            </w:pPr>
            <w:r>
              <w:rPr>
                <w:rFonts w:ascii="inter" w:eastAsia="inter" w:hAnsi="inter" w:cs="inter"/>
                <w:color w:val="000000"/>
                <w:sz w:val="17"/>
              </w:rPr>
              <w:t>Unit Price</w:t>
            </w:r>
          </w:p>
        </w:tc>
        <w:tc>
          <w:tcPr>
            <w:tcW w:w="0" w:type="auto"/>
            <w:tcBorders>
              <w:top w:val="single" w:sz="1" w:space="0" w:color="000000"/>
              <w:bottom w:val="single" w:sz="1" w:space="0" w:color="000000"/>
              <w:right w:val="single" w:sz="1" w:space="0" w:color="000000"/>
            </w:tcBorders>
          </w:tcPr>
          <w:p w14:paraId="05FBF16C" w14:textId="77777777" w:rsidR="005F453D" w:rsidRDefault="00000000">
            <w:pPr>
              <w:spacing w:line="360" w:lineRule="auto"/>
            </w:pPr>
            <w:r>
              <w:rPr>
                <w:rFonts w:ascii="inter" w:eastAsia="inter" w:hAnsi="inter" w:cs="inter"/>
                <w:color w:val="000000"/>
                <w:sz w:val="17"/>
              </w:rPr>
              <w:t>Annual Volume</w:t>
            </w:r>
          </w:p>
        </w:tc>
        <w:tc>
          <w:tcPr>
            <w:tcW w:w="0" w:type="auto"/>
            <w:tcBorders>
              <w:top w:val="single" w:sz="1" w:space="0" w:color="000000"/>
              <w:bottom w:val="single" w:sz="1" w:space="0" w:color="000000"/>
            </w:tcBorders>
          </w:tcPr>
          <w:p w14:paraId="05FBF16D" w14:textId="77777777" w:rsidR="005F453D" w:rsidRDefault="00000000">
            <w:pPr>
              <w:spacing w:line="360" w:lineRule="auto"/>
            </w:pPr>
            <w:r>
              <w:rPr>
                <w:rFonts w:ascii="inter" w:eastAsia="inter" w:hAnsi="inter" w:cs="inter"/>
                <w:color w:val="000000"/>
                <w:sz w:val="17"/>
              </w:rPr>
              <w:t>Potential Revenue</w:t>
            </w:r>
          </w:p>
        </w:tc>
      </w:tr>
      <w:tr w:rsidR="005F453D" w14:paraId="05FBF1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6F" w14:textId="77777777" w:rsidR="005F453D" w:rsidRDefault="00000000">
            <w:pPr>
              <w:spacing w:line="360" w:lineRule="auto"/>
            </w:pPr>
            <w:r>
              <w:rPr>
                <w:rFonts w:ascii="inter" w:eastAsia="inter" w:hAnsi="inter" w:cs="inter"/>
                <w:color w:val="000000"/>
                <w:sz w:val="17"/>
              </w:rPr>
              <w:t>Due Diligence</w:t>
            </w:r>
          </w:p>
        </w:tc>
        <w:tc>
          <w:tcPr>
            <w:tcW w:w="0" w:type="auto"/>
            <w:tcBorders>
              <w:top w:val="single" w:sz="1" w:space="0" w:color="000000"/>
              <w:bottom w:val="single" w:sz="1" w:space="0" w:color="000000"/>
              <w:right w:val="single" w:sz="1" w:space="0" w:color="000000"/>
            </w:tcBorders>
          </w:tcPr>
          <w:p w14:paraId="05FBF170" w14:textId="77777777" w:rsidR="005F453D" w:rsidRDefault="00000000">
            <w:pPr>
              <w:spacing w:line="360" w:lineRule="auto"/>
            </w:pPr>
            <w:r>
              <w:rPr>
                <w:rFonts w:ascii="inter" w:eastAsia="inter" w:hAnsi="inter" w:cs="inter"/>
                <w:color w:val="000000"/>
                <w:sz w:val="17"/>
              </w:rPr>
              <w:t>$2,000–4,000</w:t>
            </w:r>
          </w:p>
        </w:tc>
        <w:tc>
          <w:tcPr>
            <w:tcW w:w="0" w:type="auto"/>
            <w:tcBorders>
              <w:top w:val="single" w:sz="1" w:space="0" w:color="000000"/>
              <w:bottom w:val="single" w:sz="1" w:space="0" w:color="000000"/>
              <w:right w:val="single" w:sz="1" w:space="0" w:color="000000"/>
            </w:tcBorders>
          </w:tcPr>
          <w:p w14:paraId="05FBF171" w14:textId="77777777" w:rsidR="005F453D" w:rsidRDefault="00000000">
            <w:pPr>
              <w:spacing w:line="360" w:lineRule="auto"/>
            </w:pPr>
            <w:r>
              <w:rPr>
                <w:rFonts w:ascii="inter" w:eastAsia="inter" w:hAnsi="inter" w:cs="inter"/>
                <w:color w:val="000000"/>
                <w:sz w:val="17"/>
              </w:rPr>
              <w:t>30–50 startups</w:t>
            </w:r>
          </w:p>
        </w:tc>
        <w:tc>
          <w:tcPr>
            <w:tcW w:w="0" w:type="auto"/>
            <w:tcBorders>
              <w:top w:val="single" w:sz="1" w:space="0" w:color="000000"/>
              <w:bottom w:val="single" w:sz="1" w:space="0" w:color="000000"/>
            </w:tcBorders>
          </w:tcPr>
          <w:p w14:paraId="05FBF172" w14:textId="77777777" w:rsidR="005F453D" w:rsidRDefault="00000000">
            <w:pPr>
              <w:spacing w:line="360" w:lineRule="auto"/>
            </w:pPr>
            <w:r>
              <w:rPr>
                <w:rFonts w:ascii="inter" w:eastAsia="inter" w:hAnsi="inter" w:cs="inter"/>
                <w:color w:val="000000"/>
                <w:sz w:val="17"/>
              </w:rPr>
              <w:t>$60k–200k</w:t>
            </w:r>
          </w:p>
        </w:tc>
      </w:tr>
      <w:tr w:rsidR="005F453D" w14:paraId="05FBF1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74" w14:textId="77777777" w:rsidR="005F453D" w:rsidRDefault="00000000">
            <w:pPr>
              <w:spacing w:line="360" w:lineRule="auto"/>
            </w:pPr>
            <w:r>
              <w:rPr>
                <w:rFonts w:ascii="inter" w:eastAsia="inter" w:hAnsi="inter" w:cs="inter"/>
                <w:color w:val="000000"/>
                <w:sz w:val="17"/>
              </w:rPr>
              <w:t>ESG Compliance</w:t>
            </w:r>
          </w:p>
        </w:tc>
        <w:tc>
          <w:tcPr>
            <w:tcW w:w="0" w:type="auto"/>
            <w:tcBorders>
              <w:top w:val="single" w:sz="1" w:space="0" w:color="000000"/>
              <w:bottom w:val="single" w:sz="1" w:space="0" w:color="000000"/>
              <w:right w:val="single" w:sz="1" w:space="0" w:color="000000"/>
            </w:tcBorders>
          </w:tcPr>
          <w:p w14:paraId="05FBF175" w14:textId="77777777" w:rsidR="005F453D" w:rsidRDefault="00000000">
            <w:pPr>
              <w:spacing w:line="360" w:lineRule="auto"/>
            </w:pPr>
            <w:r>
              <w:rPr>
                <w:rFonts w:ascii="inter" w:eastAsia="inter" w:hAnsi="inter" w:cs="inter"/>
                <w:color w:val="000000"/>
                <w:sz w:val="17"/>
              </w:rPr>
              <w:t>$3,000–8,000</w:t>
            </w:r>
          </w:p>
        </w:tc>
        <w:tc>
          <w:tcPr>
            <w:tcW w:w="0" w:type="auto"/>
            <w:tcBorders>
              <w:top w:val="single" w:sz="1" w:space="0" w:color="000000"/>
              <w:bottom w:val="single" w:sz="1" w:space="0" w:color="000000"/>
              <w:right w:val="single" w:sz="1" w:space="0" w:color="000000"/>
            </w:tcBorders>
          </w:tcPr>
          <w:p w14:paraId="05FBF176" w14:textId="77777777" w:rsidR="005F453D" w:rsidRDefault="00000000">
            <w:pPr>
              <w:spacing w:line="360" w:lineRule="auto"/>
            </w:pPr>
            <w:r>
              <w:rPr>
                <w:rFonts w:ascii="inter" w:eastAsia="inter" w:hAnsi="inter" w:cs="inter"/>
                <w:color w:val="000000"/>
                <w:sz w:val="17"/>
              </w:rPr>
              <w:t>20–35 startups</w:t>
            </w:r>
          </w:p>
        </w:tc>
        <w:tc>
          <w:tcPr>
            <w:tcW w:w="0" w:type="auto"/>
            <w:tcBorders>
              <w:top w:val="single" w:sz="1" w:space="0" w:color="000000"/>
              <w:bottom w:val="single" w:sz="1" w:space="0" w:color="000000"/>
            </w:tcBorders>
          </w:tcPr>
          <w:p w14:paraId="05FBF177" w14:textId="77777777" w:rsidR="005F453D" w:rsidRDefault="00000000">
            <w:pPr>
              <w:spacing w:line="360" w:lineRule="auto"/>
            </w:pPr>
            <w:r>
              <w:rPr>
                <w:rFonts w:ascii="inter" w:eastAsia="inter" w:hAnsi="inter" w:cs="inter"/>
                <w:color w:val="000000"/>
                <w:sz w:val="17"/>
              </w:rPr>
              <w:t>$60k–280k</w:t>
            </w:r>
          </w:p>
        </w:tc>
      </w:tr>
      <w:tr w:rsidR="005F453D" w14:paraId="05FBF1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79" w14:textId="77777777" w:rsidR="005F453D" w:rsidRDefault="00000000">
            <w:pPr>
              <w:spacing w:line="360" w:lineRule="auto"/>
            </w:pPr>
            <w:r>
              <w:rPr>
                <w:rFonts w:ascii="inter" w:eastAsia="inter" w:hAnsi="inter" w:cs="inter"/>
                <w:color w:val="000000"/>
                <w:sz w:val="17"/>
              </w:rPr>
              <w:t>Pre-Acceleration</w:t>
            </w:r>
          </w:p>
        </w:tc>
        <w:tc>
          <w:tcPr>
            <w:tcW w:w="0" w:type="auto"/>
            <w:tcBorders>
              <w:top w:val="single" w:sz="1" w:space="0" w:color="000000"/>
              <w:bottom w:val="single" w:sz="1" w:space="0" w:color="000000"/>
              <w:right w:val="single" w:sz="1" w:space="0" w:color="000000"/>
            </w:tcBorders>
          </w:tcPr>
          <w:p w14:paraId="05FBF17A" w14:textId="77777777" w:rsidR="005F453D" w:rsidRDefault="00000000">
            <w:pPr>
              <w:spacing w:line="360" w:lineRule="auto"/>
            </w:pPr>
            <w:r>
              <w:rPr>
                <w:rFonts w:ascii="inter" w:eastAsia="inter" w:hAnsi="inter" w:cs="inter"/>
                <w:color w:val="000000"/>
                <w:sz w:val="17"/>
              </w:rPr>
              <w:t>$1,500–2,500</w:t>
            </w:r>
          </w:p>
        </w:tc>
        <w:tc>
          <w:tcPr>
            <w:tcW w:w="0" w:type="auto"/>
            <w:tcBorders>
              <w:top w:val="single" w:sz="1" w:space="0" w:color="000000"/>
              <w:bottom w:val="single" w:sz="1" w:space="0" w:color="000000"/>
              <w:right w:val="single" w:sz="1" w:space="0" w:color="000000"/>
            </w:tcBorders>
          </w:tcPr>
          <w:p w14:paraId="05FBF17B" w14:textId="77777777" w:rsidR="005F453D" w:rsidRDefault="00000000">
            <w:pPr>
              <w:spacing w:line="360" w:lineRule="auto"/>
            </w:pPr>
            <w:r>
              <w:rPr>
                <w:rFonts w:ascii="inter" w:eastAsia="inter" w:hAnsi="inter" w:cs="inter"/>
                <w:color w:val="000000"/>
                <w:sz w:val="17"/>
              </w:rPr>
              <w:t>40–80 trainees</w:t>
            </w:r>
          </w:p>
        </w:tc>
        <w:tc>
          <w:tcPr>
            <w:tcW w:w="0" w:type="auto"/>
            <w:tcBorders>
              <w:top w:val="single" w:sz="1" w:space="0" w:color="000000"/>
              <w:bottom w:val="single" w:sz="1" w:space="0" w:color="000000"/>
            </w:tcBorders>
          </w:tcPr>
          <w:p w14:paraId="05FBF17C" w14:textId="77777777" w:rsidR="005F453D" w:rsidRDefault="00000000">
            <w:pPr>
              <w:spacing w:line="360" w:lineRule="auto"/>
            </w:pPr>
            <w:r>
              <w:rPr>
                <w:rFonts w:ascii="inter" w:eastAsia="inter" w:hAnsi="inter" w:cs="inter"/>
                <w:color w:val="000000"/>
                <w:sz w:val="17"/>
              </w:rPr>
              <w:t>$60k–200k</w:t>
            </w:r>
          </w:p>
        </w:tc>
      </w:tr>
      <w:tr w:rsidR="005F453D" w14:paraId="05FBF1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7E" w14:textId="77777777" w:rsidR="005F453D" w:rsidRDefault="00000000">
            <w:pPr>
              <w:spacing w:line="360" w:lineRule="auto"/>
            </w:pPr>
            <w:r>
              <w:rPr>
                <w:rFonts w:ascii="inter" w:eastAsia="inter" w:hAnsi="inter" w:cs="inter"/>
                <w:color w:val="000000"/>
                <w:sz w:val="17"/>
              </w:rPr>
              <w:t>Digital Platform</w:t>
            </w:r>
          </w:p>
        </w:tc>
        <w:tc>
          <w:tcPr>
            <w:tcW w:w="0" w:type="auto"/>
            <w:tcBorders>
              <w:top w:val="single" w:sz="1" w:space="0" w:color="000000"/>
              <w:bottom w:val="single" w:sz="1" w:space="0" w:color="000000"/>
              <w:right w:val="single" w:sz="1" w:space="0" w:color="000000"/>
            </w:tcBorders>
          </w:tcPr>
          <w:p w14:paraId="05FBF17F" w14:textId="77777777" w:rsidR="005F453D" w:rsidRDefault="00000000">
            <w:pPr>
              <w:spacing w:line="360" w:lineRule="auto"/>
            </w:pPr>
            <w:r>
              <w:rPr>
                <w:rFonts w:ascii="inter" w:eastAsia="inter" w:hAnsi="inter" w:cs="inter"/>
                <w:color w:val="000000"/>
                <w:sz w:val="17"/>
              </w:rPr>
              <w:t>$5k–15k + 1–2% fee</w:t>
            </w:r>
          </w:p>
        </w:tc>
        <w:tc>
          <w:tcPr>
            <w:tcW w:w="0" w:type="auto"/>
            <w:tcBorders>
              <w:top w:val="single" w:sz="1" w:space="0" w:color="000000"/>
              <w:bottom w:val="single" w:sz="1" w:space="0" w:color="000000"/>
              <w:right w:val="single" w:sz="1" w:space="0" w:color="000000"/>
            </w:tcBorders>
          </w:tcPr>
          <w:p w14:paraId="05FBF180" w14:textId="77777777" w:rsidR="005F453D" w:rsidRDefault="00000000">
            <w:pPr>
              <w:spacing w:line="360" w:lineRule="auto"/>
            </w:pPr>
            <w:r>
              <w:rPr>
                <w:rFonts w:ascii="inter" w:eastAsia="inter" w:hAnsi="inter" w:cs="inter"/>
                <w:color w:val="000000"/>
                <w:sz w:val="17"/>
              </w:rPr>
              <w:t>5–12 partners</w:t>
            </w:r>
          </w:p>
        </w:tc>
        <w:tc>
          <w:tcPr>
            <w:tcW w:w="0" w:type="auto"/>
            <w:tcBorders>
              <w:top w:val="single" w:sz="1" w:space="0" w:color="000000"/>
              <w:bottom w:val="single" w:sz="1" w:space="0" w:color="000000"/>
            </w:tcBorders>
          </w:tcPr>
          <w:p w14:paraId="05FBF181" w14:textId="77777777" w:rsidR="005F453D" w:rsidRDefault="00000000">
            <w:pPr>
              <w:spacing w:line="360" w:lineRule="auto"/>
            </w:pPr>
            <w:r>
              <w:rPr>
                <w:rFonts w:ascii="inter" w:eastAsia="inter" w:hAnsi="inter" w:cs="inter"/>
                <w:color w:val="000000"/>
                <w:sz w:val="17"/>
              </w:rPr>
              <w:t>$25k–180k</w:t>
            </w:r>
          </w:p>
        </w:tc>
      </w:tr>
      <w:tr w:rsidR="005F453D" w14:paraId="05FBF1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83" w14:textId="77777777" w:rsidR="005F453D" w:rsidRDefault="00000000">
            <w:pPr>
              <w:spacing w:line="360" w:lineRule="auto"/>
            </w:pPr>
            <w:r>
              <w:rPr>
                <w:rFonts w:ascii="inter" w:eastAsia="inter" w:hAnsi="inter" w:cs="inter"/>
                <w:color w:val="000000"/>
                <w:sz w:val="17"/>
              </w:rPr>
              <w:t>Advisory/Facilitation</w:t>
            </w:r>
          </w:p>
        </w:tc>
        <w:tc>
          <w:tcPr>
            <w:tcW w:w="0" w:type="auto"/>
            <w:tcBorders>
              <w:top w:val="single" w:sz="1" w:space="0" w:color="000000"/>
              <w:bottom w:val="single" w:sz="1" w:space="0" w:color="000000"/>
              <w:right w:val="single" w:sz="1" w:space="0" w:color="000000"/>
            </w:tcBorders>
          </w:tcPr>
          <w:p w14:paraId="05FBF184" w14:textId="77777777" w:rsidR="005F453D" w:rsidRDefault="00000000">
            <w:pPr>
              <w:spacing w:line="360" w:lineRule="auto"/>
            </w:pPr>
            <w:r>
              <w:rPr>
                <w:rFonts w:ascii="inter" w:eastAsia="inter" w:hAnsi="inter" w:cs="inter"/>
                <w:color w:val="000000"/>
                <w:sz w:val="17"/>
              </w:rPr>
              <w:t>$200–400/day + success fee</w:t>
            </w:r>
          </w:p>
        </w:tc>
        <w:tc>
          <w:tcPr>
            <w:tcW w:w="0" w:type="auto"/>
            <w:tcBorders>
              <w:top w:val="single" w:sz="1" w:space="0" w:color="000000"/>
              <w:bottom w:val="single" w:sz="1" w:space="0" w:color="000000"/>
              <w:right w:val="single" w:sz="1" w:space="0" w:color="000000"/>
            </w:tcBorders>
          </w:tcPr>
          <w:p w14:paraId="05FBF185" w14:textId="77777777" w:rsidR="005F453D" w:rsidRDefault="00000000">
            <w:pPr>
              <w:spacing w:line="360" w:lineRule="auto"/>
            </w:pPr>
            <w:r>
              <w:rPr>
                <w:rFonts w:ascii="inter" w:eastAsia="inter" w:hAnsi="inter" w:cs="inter"/>
                <w:color w:val="000000"/>
                <w:sz w:val="17"/>
              </w:rPr>
              <w:t>100–200 days/deals</w:t>
            </w:r>
          </w:p>
        </w:tc>
        <w:tc>
          <w:tcPr>
            <w:tcW w:w="0" w:type="auto"/>
            <w:tcBorders>
              <w:top w:val="single" w:sz="1" w:space="0" w:color="000000"/>
              <w:bottom w:val="single" w:sz="1" w:space="0" w:color="000000"/>
            </w:tcBorders>
          </w:tcPr>
          <w:p w14:paraId="05FBF186" w14:textId="77777777" w:rsidR="005F453D" w:rsidRDefault="00000000">
            <w:pPr>
              <w:spacing w:line="360" w:lineRule="auto"/>
            </w:pPr>
            <w:r>
              <w:rPr>
                <w:rFonts w:ascii="inter" w:eastAsia="inter" w:hAnsi="inter" w:cs="inter"/>
                <w:color w:val="000000"/>
                <w:sz w:val="17"/>
              </w:rPr>
              <w:t>$20k–120k</w:t>
            </w:r>
          </w:p>
        </w:tc>
      </w:tr>
    </w:tbl>
    <w:p w14:paraId="05FBF188" w14:textId="77777777" w:rsidR="005F453D" w:rsidRDefault="005F453D"/>
    <w:p w14:paraId="05FBF189" w14:textId="77777777" w:rsidR="005F453D" w:rsidRDefault="00000000">
      <w:pPr>
        <w:spacing w:after="210" w:line="360" w:lineRule="auto"/>
      </w:pPr>
      <w:r>
        <w:rPr>
          <w:rFonts w:ascii="inter" w:eastAsia="inter" w:hAnsi="inter" w:cs="inter"/>
          <w:i/>
          <w:color w:val="000000"/>
        </w:rPr>
        <w:t>This table shows the modular, scalable nature of UGAE’s revenue model—allowing for fluid adaptation to market needs and maximizing value creation across a diverse portfolio of clients and regions.</w:t>
      </w:r>
    </w:p>
    <w:p w14:paraId="05FBF18A" w14:textId="77777777" w:rsidR="005F453D" w:rsidRDefault="00000000">
      <w:pPr>
        <w:spacing w:before="315" w:after="105" w:line="360" w:lineRule="auto"/>
        <w:ind w:left="-30"/>
      </w:pPr>
      <w:r>
        <w:rPr>
          <w:rFonts w:ascii="inter" w:eastAsia="inter" w:hAnsi="inter" w:cs="inter"/>
          <w:b/>
          <w:color w:val="000000"/>
          <w:sz w:val="24"/>
        </w:rPr>
        <w:t>3.2 Phased Geographic Strategy</w:t>
      </w:r>
    </w:p>
    <w:p w14:paraId="05FBF18B" w14:textId="77777777" w:rsidR="005F453D" w:rsidRDefault="00000000">
      <w:pPr>
        <w:spacing w:before="315" w:after="105" w:line="360" w:lineRule="auto"/>
        <w:ind w:left="-30"/>
      </w:pPr>
      <w:r>
        <w:rPr>
          <w:rFonts w:ascii="inter" w:eastAsia="inter" w:hAnsi="inter" w:cs="inter"/>
          <w:b/>
          <w:color w:val="000000"/>
          <w:sz w:val="24"/>
        </w:rPr>
        <w:t>3.2.1 Phase 1—Africa</w:t>
      </w:r>
    </w:p>
    <w:p w14:paraId="05FBF18C" w14:textId="77777777" w:rsidR="005F453D" w:rsidRDefault="00000000">
      <w:pPr>
        <w:spacing w:after="210" w:line="360" w:lineRule="auto"/>
      </w:pPr>
      <w:r>
        <w:rPr>
          <w:rFonts w:ascii="inter" w:eastAsia="inter" w:hAnsi="inter" w:cs="inter"/>
          <w:color w:val="000000"/>
        </w:rPr>
        <w:t>Pioneer markets with high need and demonstrated reform on regulatory frameworks (e.g., Nigeria, Ghana, Morocco, Kenya). UGAE supports “first movers” and invests in local capacity-building.</w:t>
      </w:r>
    </w:p>
    <w:p w14:paraId="05FBF18D" w14:textId="77777777" w:rsidR="005F453D" w:rsidRDefault="00000000">
      <w:pPr>
        <w:spacing w:before="315" w:after="105" w:line="360" w:lineRule="auto"/>
        <w:ind w:left="-30"/>
      </w:pPr>
      <w:r>
        <w:rPr>
          <w:rFonts w:ascii="inter" w:eastAsia="inter" w:hAnsi="inter" w:cs="inter"/>
          <w:b/>
          <w:color w:val="000000"/>
          <w:sz w:val="24"/>
        </w:rPr>
        <w:t>3.2.2 Phase 2—Asia-Pacific</w:t>
      </w:r>
    </w:p>
    <w:p w14:paraId="05FBF18E" w14:textId="77777777" w:rsidR="005F453D" w:rsidRDefault="00000000">
      <w:pPr>
        <w:spacing w:after="210" w:line="360" w:lineRule="auto"/>
      </w:pPr>
      <w:r>
        <w:rPr>
          <w:rFonts w:ascii="inter" w:eastAsia="inter" w:hAnsi="inter" w:cs="inter"/>
          <w:color w:val="000000"/>
        </w:rPr>
        <w:t>Building on the Singapore base, we extend services to Indonesia, Vietnam, Malaysia, and the Philippines as these markets liberalize clean tech regulation and attract global attention.</w:t>
      </w:r>
    </w:p>
    <w:p w14:paraId="05FBF18F" w14:textId="77777777" w:rsidR="005F453D" w:rsidRDefault="00000000">
      <w:pPr>
        <w:spacing w:before="315" w:after="105" w:line="360" w:lineRule="auto"/>
        <w:ind w:left="-30"/>
      </w:pPr>
      <w:r>
        <w:rPr>
          <w:rFonts w:ascii="inter" w:eastAsia="inter" w:hAnsi="inter" w:cs="inter"/>
          <w:b/>
          <w:color w:val="000000"/>
          <w:sz w:val="24"/>
        </w:rPr>
        <w:t>3.2.3 Phase 3—Global Emerging Markets</w:t>
      </w:r>
    </w:p>
    <w:p w14:paraId="05FBF190" w14:textId="77777777" w:rsidR="005F453D" w:rsidRDefault="00000000">
      <w:pPr>
        <w:spacing w:after="210" w:line="360" w:lineRule="auto"/>
      </w:pPr>
      <w:r>
        <w:rPr>
          <w:rFonts w:ascii="inter" w:eastAsia="inter" w:hAnsi="inter" w:cs="inter"/>
          <w:color w:val="000000"/>
        </w:rPr>
        <w:t>Eventually, the UGAE ecosystem will address access-to-energy challenges and scale green innovation in Latin America, South Asia, and similar growth corridors.</w:t>
      </w:r>
    </w:p>
    <w:p w14:paraId="05FBF191" w14:textId="77777777" w:rsidR="005F453D" w:rsidRDefault="00000000">
      <w:pPr>
        <w:spacing w:before="210" w:after="0" w:line="360" w:lineRule="auto"/>
      </w:pPr>
      <w:r>
        <w:rPr>
          <w:noProof/>
        </w:rPr>
      </w:r>
      <w:r>
        <w:rPr>
          <w:noProof/>
        </w:rPr>
        <w:pict w14:anchorId="05FBF242">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BF192" w14:textId="77777777" w:rsidR="005F453D" w:rsidRDefault="00000000">
      <w:pPr>
        <w:spacing w:before="157" w:after="157" w:line="270" w:lineRule="auto"/>
      </w:pPr>
      <w:r>
        <w:rPr>
          <w:rFonts w:ascii="inter" w:eastAsia="inter" w:hAnsi="inter" w:cs="inter"/>
          <w:b/>
          <w:color w:val="000000"/>
          <w:sz w:val="39"/>
        </w:rPr>
        <w:t>CHAPTER 4: MARKET POSITIONING &amp; STRATEGIC PARTNERSHIPS</w:t>
      </w:r>
    </w:p>
    <w:p w14:paraId="05FBF193" w14:textId="77777777" w:rsidR="005F453D" w:rsidRDefault="00000000">
      <w:pPr>
        <w:spacing w:before="315" w:after="105" w:line="360" w:lineRule="auto"/>
        <w:ind w:left="-30"/>
      </w:pPr>
      <w:r>
        <w:rPr>
          <w:rFonts w:ascii="inter" w:eastAsia="inter" w:hAnsi="inter" w:cs="inter"/>
          <w:b/>
          <w:color w:val="000000"/>
          <w:sz w:val="24"/>
        </w:rPr>
        <w:t>4.1 Investor &amp; Foundation Network</w:t>
      </w:r>
    </w:p>
    <w:p w14:paraId="05FBF194" w14:textId="77777777" w:rsidR="005F453D" w:rsidRDefault="00000000">
      <w:pPr>
        <w:spacing w:after="210" w:line="360" w:lineRule="auto"/>
      </w:pPr>
      <w:r>
        <w:rPr>
          <w:rFonts w:ascii="inter" w:eastAsia="inter" w:hAnsi="inter" w:cs="inter"/>
          <w:color w:val="000000"/>
        </w:rPr>
        <w:t>UGAE can only scale its mission through strategic alignment with influential foundations, major development finance institutions, and regional impact funds. Our engagement is structured for credibility and speed.</w:t>
      </w:r>
    </w:p>
    <w:p w14:paraId="05FBF195" w14:textId="77777777" w:rsidR="005F453D" w:rsidRDefault="00000000">
      <w:pPr>
        <w:spacing w:after="210" w:line="360" w:lineRule="auto"/>
      </w:pPr>
      <w:r>
        <w:rPr>
          <w:rFonts w:ascii="inter" w:eastAsia="inter" w:hAnsi="inter" w:cs="inter"/>
          <w:b/>
          <w:color w:val="000000"/>
        </w:rPr>
        <w:t>Table 3. Target Foundation/DFI Partners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23"/>
        <w:gridCol w:w="1967"/>
        <w:gridCol w:w="1178"/>
        <w:gridCol w:w="1703"/>
      </w:tblGrid>
      <w:tr w:rsidR="005F453D" w14:paraId="05FBF1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96" w14:textId="77777777" w:rsidR="005F453D" w:rsidRDefault="00000000">
            <w:pPr>
              <w:spacing w:line="360" w:lineRule="auto"/>
            </w:pPr>
            <w:r>
              <w:rPr>
                <w:rFonts w:ascii="inter" w:eastAsia="inter" w:hAnsi="inter" w:cs="inter"/>
                <w:color w:val="000000"/>
                <w:sz w:val="17"/>
              </w:rPr>
              <w:t>Institution</w:t>
            </w:r>
          </w:p>
        </w:tc>
        <w:tc>
          <w:tcPr>
            <w:tcW w:w="0" w:type="auto"/>
            <w:tcBorders>
              <w:top w:val="single" w:sz="1" w:space="0" w:color="000000"/>
              <w:bottom w:val="single" w:sz="1" w:space="0" w:color="000000"/>
              <w:right w:val="single" w:sz="1" w:space="0" w:color="000000"/>
            </w:tcBorders>
          </w:tcPr>
          <w:p w14:paraId="05FBF197" w14:textId="77777777" w:rsidR="005F453D" w:rsidRDefault="00000000">
            <w:pPr>
              <w:spacing w:line="360" w:lineRule="auto"/>
            </w:pPr>
            <w:r>
              <w:rPr>
                <w:rFonts w:ascii="inter" w:eastAsia="inter" w:hAnsi="inter" w:cs="inter"/>
                <w:color w:val="000000"/>
                <w:sz w:val="17"/>
              </w:rPr>
              <w:t>Focus Area</w:t>
            </w:r>
          </w:p>
        </w:tc>
        <w:tc>
          <w:tcPr>
            <w:tcW w:w="0" w:type="auto"/>
            <w:tcBorders>
              <w:top w:val="single" w:sz="1" w:space="0" w:color="000000"/>
              <w:bottom w:val="single" w:sz="1" w:space="0" w:color="000000"/>
              <w:right w:val="single" w:sz="1" w:space="0" w:color="000000"/>
            </w:tcBorders>
          </w:tcPr>
          <w:p w14:paraId="05FBF198" w14:textId="77777777" w:rsidR="005F453D" w:rsidRDefault="00000000">
            <w:pPr>
              <w:spacing w:line="360" w:lineRule="auto"/>
            </w:pPr>
            <w:r>
              <w:rPr>
                <w:rFonts w:ascii="inter" w:eastAsia="inter" w:hAnsi="inter" w:cs="inter"/>
                <w:color w:val="000000"/>
                <w:sz w:val="17"/>
              </w:rPr>
              <w:t>Ticket Size</w:t>
            </w:r>
          </w:p>
        </w:tc>
        <w:tc>
          <w:tcPr>
            <w:tcW w:w="0" w:type="auto"/>
            <w:tcBorders>
              <w:top w:val="single" w:sz="1" w:space="0" w:color="000000"/>
              <w:bottom w:val="single" w:sz="1" w:space="0" w:color="000000"/>
            </w:tcBorders>
          </w:tcPr>
          <w:p w14:paraId="05FBF199" w14:textId="77777777" w:rsidR="005F453D" w:rsidRDefault="00000000">
            <w:pPr>
              <w:spacing w:line="360" w:lineRule="auto"/>
            </w:pPr>
            <w:r>
              <w:rPr>
                <w:rFonts w:ascii="inter" w:eastAsia="inter" w:hAnsi="inter" w:cs="inter"/>
                <w:color w:val="000000"/>
                <w:sz w:val="17"/>
              </w:rPr>
              <w:t>Geography</w:t>
            </w:r>
          </w:p>
        </w:tc>
      </w:tr>
      <w:tr w:rsidR="005F453D" w14:paraId="05FBF1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9B" w14:textId="77777777" w:rsidR="005F453D" w:rsidRDefault="00000000">
            <w:pPr>
              <w:spacing w:line="360" w:lineRule="auto"/>
            </w:pPr>
            <w:r>
              <w:rPr>
                <w:rFonts w:ascii="inter" w:eastAsia="inter" w:hAnsi="inter" w:cs="inter"/>
                <w:color w:val="000000"/>
                <w:sz w:val="17"/>
              </w:rPr>
              <w:t>New Energy Nexus</w:t>
            </w:r>
          </w:p>
        </w:tc>
        <w:tc>
          <w:tcPr>
            <w:tcW w:w="0" w:type="auto"/>
            <w:tcBorders>
              <w:top w:val="single" w:sz="1" w:space="0" w:color="000000"/>
              <w:bottom w:val="single" w:sz="1" w:space="0" w:color="000000"/>
              <w:right w:val="single" w:sz="1" w:space="0" w:color="000000"/>
            </w:tcBorders>
          </w:tcPr>
          <w:p w14:paraId="05FBF19C" w14:textId="77777777" w:rsidR="005F453D" w:rsidRDefault="00000000">
            <w:pPr>
              <w:spacing w:line="360" w:lineRule="auto"/>
            </w:pPr>
            <w:r>
              <w:rPr>
                <w:rFonts w:ascii="inter" w:eastAsia="inter" w:hAnsi="inter" w:cs="inter"/>
                <w:color w:val="000000"/>
                <w:sz w:val="17"/>
              </w:rPr>
              <w:t>Clean energy accel.</w:t>
            </w:r>
          </w:p>
        </w:tc>
        <w:tc>
          <w:tcPr>
            <w:tcW w:w="0" w:type="auto"/>
            <w:tcBorders>
              <w:top w:val="single" w:sz="1" w:space="0" w:color="000000"/>
              <w:bottom w:val="single" w:sz="1" w:space="0" w:color="000000"/>
              <w:right w:val="single" w:sz="1" w:space="0" w:color="000000"/>
            </w:tcBorders>
          </w:tcPr>
          <w:p w14:paraId="05FBF19D" w14:textId="77777777" w:rsidR="005F453D" w:rsidRDefault="00000000">
            <w:pPr>
              <w:spacing w:line="360" w:lineRule="auto"/>
            </w:pPr>
            <w:r>
              <w:rPr>
                <w:rFonts w:ascii="inter" w:eastAsia="inter" w:hAnsi="inter" w:cs="inter"/>
                <w:color w:val="000000"/>
                <w:sz w:val="17"/>
              </w:rPr>
              <w:t>$50K–500K</w:t>
            </w:r>
          </w:p>
        </w:tc>
        <w:tc>
          <w:tcPr>
            <w:tcW w:w="0" w:type="auto"/>
            <w:tcBorders>
              <w:top w:val="single" w:sz="1" w:space="0" w:color="000000"/>
              <w:bottom w:val="single" w:sz="1" w:space="0" w:color="000000"/>
            </w:tcBorders>
          </w:tcPr>
          <w:p w14:paraId="05FBF19E" w14:textId="77777777" w:rsidR="005F453D" w:rsidRDefault="00000000">
            <w:pPr>
              <w:spacing w:line="360" w:lineRule="auto"/>
            </w:pPr>
            <w:r>
              <w:rPr>
                <w:rFonts w:ascii="inter" w:eastAsia="inter" w:hAnsi="inter" w:cs="inter"/>
                <w:color w:val="000000"/>
                <w:sz w:val="17"/>
              </w:rPr>
              <w:t>Global</w:t>
            </w:r>
          </w:p>
        </w:tc>
      </w:tr>
      <w:tr w:rsidR="005F453D" w14:paraId="05FBF1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A0" w14:textId="77777777" w:rsidR="005F453D" w:rsidRDefault="00000000">
            <w:pPr>
              <w:spacing w:line="360" w:lineRule="auto"/>
            </w:pPr>
            <w:r>
              <w:rPr>
                <w:rFonts w:ascii="inter" w:eastAsia="inter" w:hAnsi="inter" w:cs="inter"/>
                <w:color w:val="000000"/>
                <w:sz w:val="17"/>
              </w:rPr>
              <w:t>EIT InnoEnergy</w:t>
            </w:r>
          </w:p>
        </w:tc>
        <w:tc>
          <w:tcPr>
            <w:tcW w:w="0" w:type="auto"/>
            <w:tcBorders>
              <w:top w:val="single" w:sz="1" w:space="0" w:color="000000"/>
              <w:bottom w:val="single" w:sz="1" w:space="0" w:color="000000"/>
              <w:right w:val="single" w:sz="1" w:space="0" w:color="000000"/>
            </w:tcBorders>
          </w:tcPr>
          <w:p w14:paraId="05FBF1A1" w14:textId="77777777" w:rsidR="005F453D" w:rsidRDefault="00000000">
            <w:pPr>
              <w:spacing w:line="360" w:lineRule="auto"/>
            </w:pPr>
            <w:r>
              <w:rPr>
                <w:rFonts w:ascii="inter" w:eastAsia="inter" w:hAnsi="inter" w:cs="inter"/>
                <w:color w:val="000000"/>
                <w:sz w:val="17"/>
              </w:rPr>
              <w:t>EU innovation</w:t>
            </w:r>
          </w:p>
        </w:tc>
        <w:tc>
          <w:tcPr>
            <w:tcW w:w="0" w:type="auto"/>
            <w:tcBorders>
              <w:top w:val="single" w:sz="1" w:space="0" w:color="000000"/>
              <w:bottom w:val="single" w:sz="1" w:space="0" w:color="000000"/>
              <w:right w:val="single" w:sz="1" w:space="0" w:color="000000"/>
            </w:tcBorders>
          </w:tcPr>
          <w:p w14:paraId="05FBF1A2" w14:textId="77777777" w:rsidR="005F453D" w:rsidRDefault="00000000">
            <w:pPr>
              <w:spacing w:line="360" w:lineRule="auto"/>
            </w:pPr>
            <w:r>
              <w:rPr>
                <w:rFonts w:ascii="inter" w:eastAsia="inter" w:hAnsi="inter" w:cs="inter"/>
                <w:color w:val="000000"/>
                <w:sz w:val="17"/>
              </w:rPr>
              <w:t>€100K–2M</w:t>
            </w:r>
          </w:p>
        </w:tc>
        <w:tc>
          <w:tcPr>
            <w:tcW w:w="0" w:type="auto"/>
            <w:tcBorders>
              <w:top w:val="single" w:sz="1" w:space="0" w:color="000000"/>
              <w:bottom w:val="single" w:sz="1" w:space="0" w:color="000000"/>
            </w:tcBorders>
          </w:tcPr>
          <w:p w14:paraId="05FBF1A3" w14:textId="77777777" w:rsidR="005F453D" w:rsidRDefault="00000000">
            <w:pPr>
              <w:spacing w:line="360" w:lineRule="auto"/>
            </w:pPr>
            <w:r>
              <w:rPr>
                <w:rFonts w:ascii="inter" w:eastAsia="inter" w:hAnsi="inter" w:cs="inter"/>
                <w:color w:val="000000"/>
                <w:sz w:val="17"/>
              </w:rPr>
              <w:t xml:space="preserve">EU/emerging </w:t>
            </w:r>
            <w:proofErr w:type="spellStart"/>
            <w:r>
              <w:rPr>
                <w:rFonts w:ascii="inter" w:eastAsia="inter" w:hAnsi="inter" w:cs="inter"/>
                <w:color w:val="000000"/>
                <w:sz w:val="17"/>
              </w:rPr>
              <w:t>mkts</w:t>
            </w:r>
            <w:proofErr w:type="spellEnd"/>
          </w:p>
        </w:tc>
      </w:tr>
      <w:tr w:rsidR="005F453D" w14:paraId="05FBF1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A5" w14:textId="77777777" w:rsidR="005F453D" w:rsidRDefault="00000000">
            <w:pPr>
              <w:spacing w:line="360" w:lineRule="auto"/>
            </w:pPr>
            <w:r>
              <w:rPr>
                <w:rFonts w:ascii="inter" w:eastAsia="inter" w:hAnsi="inter" w:cs="inter"/>
                <w:color w:val="000000"/>
                <w:sz w:val="17"/>
              </w:rPr>
              <w:t xml:space="preserve">Elemental </w:t>
            </w:r>
            <w:proofErr w:type="spellStart"/>
            <w:r>
              <w:rPr>
                <w:rFonts w:ascii="inter" w:eastAsia="inter" w:hAnsi="inter" w:cs="inter"/>
                <w:color w:val="000000"/>
                <w:sz w:val="17"/>
              </w:rPr>
              <w:t>Excelerator</w:t>
            </w:r>
            <w:proofErr w:type="spellEnd"/>
          </w:p>
        </w:tc>
        <w:tc>
          <w:tcPr>
            <w:tcW w:w="0" w:type="auto"/>
            <w:tcBorders>
              <w:top w:val="single" w:sz="1" w:space="0" w:color="000000"/>
              <w:bottom w:val="single" w:sz="1" w:space="0" w:color="000000"/>
              <w:right w:val="single" w:sz="1" w:space="0" w:color="000000"/>
            </w:tcBorders>
          </w:tcPr>
          <w:p w14:paraId="05FBF1A6" w14:textId="77777777" w:rsidR="005F453D" w:rsidRDefault="00000000">
            <w:pPr>
              <w:spacing w:line="360" w:lineRule="auto"/>
            </w:pPr>
            <w:r>
              <w:rPr>
                <w:rFonts w:ascii="inter" w:eastAsia="inter" w:hAnsi="inter" w:cs="inter"/>
                <w:color w:val="000000"/>
                <w:sz w:val="17"/>
              </w:rPr>
              <w:t>Climate acceleration</w:t>
            </w:r>
          </w:p>
        </w:tc>
        <w:tc>
          <w:tcPr>
            <w:tcW w:w="0" w:type="auto"/>
            <w:tcBorders>
              <w:top w:val="single" w:sz="1" w:space="0" w:color="000000"/>
              <w:bottom w:val="single" w:sz="1" w:space="0" w:color="000000"/>
              <w:right w:val="single" w:sz="1" w:space="0" w:color="000000"/>
            </w:tcBorders>
          </w:tcPr>
          <w:p w14:paraId="05FBF1A7" w14:textId="77777777" w:rsidR="005F453D" w:rsidRDefault="00000000">
            <w:pPr>
              <w:spacing w:line="360" w:lineRule="auto"/>
            </w:pPr>
            <w:r>
              <w:rPr>
                <w:rFonts w:ascii="inter" w:eastAsia="inter" w:hAnsi="inter" w:cs="inter"/>
                <w:color w:val="000000"/>
                <w:sz w:val="17"/>
              </w:rPr>
              <w:t>$100K–1M</w:t>
            </w:r>
          </w:p>
        </w:tc>
        <w:tc>
          <w:tcPr>
            <w:tcW w:w="0" w:type="auto"/>
            <w:tcBorders>
              <w:top w:val="single" w:sz="1" w:space="0" w:color="000000"/>
              <w:bottom w:val="single" w:sz="1" w:space="0" w:color="000000"/>
            </w:tcBorders>
          </w:tcPr>
          <w:p w14:paraId="05FBF1A8" w14:textId="77777777" w:rsidR="005F453D" w:rsidRDefault="00000000">
            <w:pPr>
              <w:spacing w:line="360" w:lineRule="auto"/>
            </w:pPr>
            <w:r>
              <w:rPr>
                <w:rFonts w:ascii="inter" w:eastAsia="inter" w:hAnsi="inter" w:cs="inter"/>
                <w:color w:val="000000"/>
                <w:sz w:val="17"/>
              </w:rPr>
              <w:t>US/Asia-Pac</w:t>
            </w:r>
          </w:p>
        </w:tc>
      </w:tr>
      <w:tr w:rsidR="005F453D" w14:paraId="05FBF1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AA" w14:textId="77777777" w:rsidR="005F453D" w:rsidRDefault="00000000">
            <w:pPr>
              <w:spacing w:line="360" w:lineRule="auto"/>
            </w:pPr>
            <w:r>
              <w:rPr>
                <w:rFonts w:ascii="inter" w:eastAsia="inter" w:hAnsi="inter" w:cs="inter"/>
                <w:color w:val="000000"/>
                <w:sz w:val="17"/>
              </w:rPr>
              <w:lastRenderedPageBreak/>
              <w:t>Clean Technology Fund</w:t>
            </w:r>
          </w:p>
        </w:tc>
        <w:tc>
          <w:tcPr>
            <w:tcW w:w="0" w:type="auto"/>
            <w:tcBorders>
              <w:top w:val="single" w:sz="1" w:space="0" w:color="000000"/>
              <w:bottom w:val="single" w:sz="1" w:space="0" w:color="000000"/>
              <w:right w:val="single" w:sz="1" w:space="0" w:color="000000"/>
            </w:tcBorders>
          </w:tcPr>
          <w:p w14:paraId="05FBF1AB" w14:textId="77777777" w:rsidR="005F453D" w:rsidRDefault="00000000">
            <w:pPr>
              <w:spacing w:line="360" w:lineRule="auto"/>
            </w:pPr>
            <w:r>
              <w:rPr>
                <w:rFonts w:ascii="inter" w:eastAsia="inter" w:hAnsi="inter" w:cs="inter"/>
                <w:color w:val="000000"/>
                <w:sz w:val="17"/>
              </w:rPr>
              <w:t>Large-scale projects</w:t>
            </w:r>
          </w:p>
        </w:tc>
        <w:tc>
          <w:tcPr>
            <w:tcW w:w="0" w:type="auto"/>
            <w:tcBorders>
              <w:top w:val="single" w:sz="1" w:space="0" w:color="000000"/>
              <w:bottom w:val="single" w:sz="1" w:space="0" w:color="000000"/>
              <w:right w:val="single" w:sz="1" w:space="0" w:color="000000"/>
            </w:tcBorders>
          </w:tcPr>
          <w:p w14:paraId="05FBF1AC" w14:textId="77777777" w:rsidR="005F453D" w:rsidRDefault="00000000">
            <w:pPr>
              <w:spacing w:line="360" w:lineRule="auto"/>
            </w:pPr>
            <w:r>
              <w:rPr>
                <w:rFonts w:ascii="inter" w:eastAsia="inter" w:hAnsi="inter" w:cs="inter"/>
                <w:color w:val="000000"/>
                <w:sz w:val="17"/>
              </w:rPr>
              <w:t>$5M–50M</w:t>
            </w:r>
          </w:p>
        </w:tc>
        <w:tc>
          <w:tcPr>
            <w:tcW w:w="0" w:type="auto"/>
            <w:tcBorders>
              <w:top w:val="single" w:sz="1" w:space="0" w:color="000000"/>
              <w:bottom w:val="single" w:sz="1" w:space="0" w:color="000000"/>
            </w:tcBorders>
          </w:tcPr>
          <w:p w14:paraId="05FBF1AD" w14:textId="77777777" w:rsidR="005F453D" w:rsidRDefault="00000000">
            <w:pPr>
              <w:spacing w:line="360" w:lineRule="auto"/>
            </w:pPr>
            <w:r>
              <w:rPr>
                <w:rFonts w:ascii="inter" w:eastAsia="inter" w:hAnsi="inter" w:cs="inter"/>
                <w:color w:val="000000"/>
                <w:sz w:val="17"/>
              </w:rPr>
              <w:t xml:space="preserve">Emerging </w:t>
            </w:r>
            <w:proofErr w:type="spellStart"/>
            <w:r>
              <w:rPr>
                <w:rFonts w:ascii="inter" w:eastAsia="inter" w:hAnsi="inter" w:cs="inter"/>
                <w:color w:val="000000"/>
                <w:sz w:val="17"/>
              </w:rPr>
              <w:t>mkts</w:t>
            </w:r>
            <w:proofErr w:type="spellEnd"/>
          </w:p>
        </w:tc>
      </w:tr>
      <w:tr w:rsidR="005F453D" w14:paraId="05FBF1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AF" w14:textId="77777777" w:rsidR="005F453D" w:rsidRDefault="00000000">
            <w:pPr>
              <w:spacing w:line="360" w:lineRule="auto"/>
            </w:pPr>
            <w:r>
              <w:rPr>
                <w:rFonts w:ascii="inter" w:eastAsia="inter" w:hAnsi="inter" w:cs="inter"/>
                <w:color w:val="000000"/>
                <w:sz w:val="17"/>
              </w:rPr>
              <w:t>Shell Foundation</w:t>
            </w:r>
          </w:p>
        </w:tc>
        <w:tc>
          <w:tcPr>
            <w:tcW w:w="0" w:type="auto"/>
            <w:tcBorders>
              <w:top w:val="single" w:sz="1" w:space="0" w:color="000000"/>
              <w:bottom w:val="single" w:sz="1" w:space="0" w:color="000000"/>
              <w:right w:val="single" w:sz="1" w:space="0" w:color="000000"/>
            </w:tcBorders>
          </w:tcPr>
          <w:p w14:paraId="05FBF1B0" w14:textId="77777777" w:rsidR="005F453D" w:rsidRDefault="00000000">
            <w:pPr>
              <w:spacing w:line="360" w:lineRule="auto"/>
            </w:pPr>
            <w:r>
              <w:rPr>
                <w:rFonts w:ascii="inter" w:eastAsia="inter" w:hAnsi="inter" w:cs="inter"/>
                <w:color w:val="000000"/>
                <w:sz w:val="17"/>
              </w:rPr>
              <w:t>Inclusive green energy</w:t>
            </w:r>
          </w:p>
        </w:tc>
        <w:tc>
          <w:tcPr>
            <w:tcW w:w="0" w:type="auto"/>
            <w:tcBorders>
              <w:top w:val="single" w:sz="1" w:space="0" w:color="000000"/>
              <w:bottom w:val="single" w:sz="1" w:space="0" w:color="000000"/>
              <w:right w:val="single" w:sz="1" w:space="0" w:color="000000"/>
            </w:tcBorders>
          </w:tcPr>
          <w:p w14:paraId="05FBF1B1" w14:textId="77777777" w:rsidR="005F453D" w:rsidRDefault="00000000">
            <w:pPr>
              <w:spacing w:line="360" w:lineRule="auto"/>
            </w:pPr>
            <w:r>
              <w:rPr>
                <w:rFonts w:ascii="inter" w:eastAsia="inter" w:hAnsi="inter" w:cs="inter"/>
                <w:color w:val="000000"/>
                <w:sz w:val="17"/>
              </w:rPr>
              <w:t>£100K–1M</w:t>
            </w:r>
          </w:p>
        </w:tc>
        <w:tc>
          <w:tcPr>
            <w:tcW w:w="0" w:type="auto"/>
            <w:tcBorders>
              <w:top w:val="single" w:sz="1" w:space="0" w:color="000000"/>
              <w:bottom w:val="single" w:sz="1" w:space="0" w:color="000000"/>
            </w:tcBorders>
          </w:tcPr>
          <w:p w14:paraId="05FBF1B2" w14:textId="77777777" w:rsidR="005F453D" w:rsidRDefault="00000000">
            <w:pPr>
              <w:spacing w:line="360" w:lineRule="auto"/>
            </w:pPr>
            <w:proofErr w:type="spellStart"/>
            <w:r>
              <w:rPr>
                <w:rFonts w:ascii="inter" w:eastAsia="inter" w:hAnsi="inter" w:cs="inter"/>
                <w:color w:val="000000"/>
                <w:sz w:val="17"/>
              </w:rPr>
              <w:t>Africa+Asia</w:t>
            </w:r>
            <w:proofErr w:type="spellEnd"/>
          </w:p>
        </w:tc>
      </w:tr>
      <w:tr w:rsidR="005F453D" w14:paraId="05FBF1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B4" w14:textId="77777777" w:rsidR="005F453D" w:rsidRDefault="00000000">
            <w:pPr>
              <w:spacing w:line="360" w:lineRule="auto"/>
            </w:pPr>
            <w:r>
              <w:rPr>
                <w:rFonts w:ascii="inter" w:eastAsia="inter" w:hAnsi="inter" w:cs="inter"/>
                <w:color w:val="000000"/>
                <w:sz w:val="17"/>
              </w:rPr>
              <w:t>IFC/ADB/AfDB/GCF</w:t>
            </w:r>
          </w:p>
        </w:tc>
        <w:tc>
          <w:tcPr>
            <w:tcW w:w="0" w:type="auto"/>
            <w:tcBorders>
              <w:top w:val="single" w:sz="1" w:space="0" w:color="000000"/>
              <w:bottom w:val="single" w:sz="1" w:space="0" w:color="000000"/>
              <w:right w:val="single" w:sz="1" w:space="0" w:color="000000"/>
            </w:tcBorders>
          </w:tcPr>
          <w:p w14:paraId="05FBF1B5" w14:textId="77777777" w:rsidR="005F453D" w:rsidRDefault="00000000">
            <w:pPr>
              <w:spacing w:line="360" w:lineRule="auto"/>
            </w:pPr>
            <w:r>
              <w:rPr>
                <w:rFonts w:ascii="inter" w:eastAsia="inter" w:hAnsi="inter" w:cs="inter"/>
                <w:color w:val="000000"/>
                <w:sz w:val="17"/>
              </w:rPr>
              <w:t>DFI-level scaling</w:t>
            </w:r>
          </w:p>
        </w:tc>
        <w:tc>
          <w:tcPr>
            <w:tcW w:w="0" w:type="auto"/>
            <w:tcBorders>
              <w:top w:val="single" w:sz="1" w:space="0" w:color="000000"/>
              <w:bottom w:val="single" w:sz="1" w:space="0" w:color="000000"/>
              <w:right w:val="single" w:sz="1" w:space="0" w:color="000000"/>
            </w:tcBorders>
          </w:tcPr>
          <w:p w14:paraId="05FBF1B6" w14:textId="77777777" w:rsidR="005F453D" w:rsidRDefault="00000000">
            <w:pPr>
              <w:spacing w:line="360" w:lineRule="auto"/>
            </w:pPr>
            <w:r>
              <w:rPr>
                <w:rFonts w:ascii="inter" w:eastAsia="inter" w:hAnsi="inter" w:cs="inter"/>
                <w:color w:val="000000"/>
                <w:sz w:val="17"/>
              </w:rPr>
              <w:t>$5M–100M</w:t>
            </w:r>
          </w:p>
        </w:tc>
        <w:tc>
          <w:tcPr>
            <w:tcW w:w="0" w:type="auto"/>
            <w:tcBorders>
              <w:top w:val="single" w:sz="1" w:space="0" w:color="000000"/>
              <w:bottom w:val="single" w:sz="1" w:space="0" w:color="000000"/>
            </w:tcBorders>
          </w:tcPr>
          <w:p w14:paraId="05FBF1B7" w14:textId="77777777" w:rsidR="005F453D" w:rsidRDefault="00000000">
            <w:pPr>
              <w:spacing w:line="360" w:lineRule="auto"/>
            </w:pPr>
            <w:r>
              <w:rPr>
                <w:rFonts w:ascii="inter" w:eastAsia="inter" w:hAnsi="inter" w:cs="inter"/>
                <w:color w:val="000000"/>
                <w:sz w:val="17"/>
              </w:rPr>
              <w:t>Afr./Asia/Pac.</w:t>
            </w:r>
          </w:p>
        </w:tc>
      </w:tr>
    </w:tbl>
    <w:p w14:paraId="05FBF1B9" w14:textId="77777777" w:rsidR="005F453D" w:rsidRDefault="005F453D"/>
    <w:p w14:paraId="05FBF1BA" w14:textId="77777777" w:rsidR="005F453D" w:rsidRDefault="00000000">
      <w:pPr>
        <w:spacing w:after="210" w:line="360" w:lineRule="auto"/>
      </w:pPr>
      <w:r>
        <w:rPr>
          <w:rFonts w:ascii="inter" w:eastAsia="inter" w:hAnsi="inter" w:cs="inter"/>
          <w:i/>
          <w:color w:val="000000"/>
        </w:rPr>
        <w:t>This table demonstrates that UGAE’s network and service are designed to interface seamlessly with both the capital and technical requirements of the world’s largest clean energy and impact financiers.</w:t>
      </w:r>
    </w:p>
    <w:p w14:paraId="05FBF1BB" w14:textId="77777777" w:rsidR="005F453D" w:rsidRDefault="00000000">
      <w:pPr>
        <w:spacing w:before="315" w:after="105" w:line="360" w:lineRule="auto"/>
        <w:ind w:left="-30"/>
      </w:pPr>
      <w:r>
        <w:rPr>
          <w:rFonts w:ascii="inter" w:eastAsia="inter" w:hAnsi="inter" w:cs="inter"/>
          <w:b/>
          <w:color w:val="000000"/>
          <w:sz w:val="24"/>
        </w:rPr>
        <w:t>4.2 Competitive Advantages</w:t>
      </w:r>
    </w:p>
    <w:p w14:paraId="05FBF1BC" w14:textId="77777777" w:rsidR="005F453D" w:rsidRDefault="00000000">
      <w:pPr>
        <w:spacing w:before="315" w:after="105" w:line="360" w:lineRule="auto"/>
        <w:ind w:left="-30"/>
      </w:pPr>
      <w:r>
        <w:rPr>
          <w:rFonts w:ascii="inter" w:eastAsia="inter" w:hAnsi="inter" w:cs="inter"/>
          <w:b/>
          <w:color w:val="000000"/>
          <w:sz w:val="24"/>
        </w:rPr>
        <w:t>4.2.1 Multi-Regional Expansion</w:t>
      </w:r>
    </w:p>
    <w:p w14:paraId="05FBF1BD" w14:textId="77777777" w:rsidR="005F453D" w:rsidRDefault="00000000">
      <w:pPr>
        <w:spacing w:after="210" w:line="360" w:lineRule="auto"/>
      </w:pPr>
      <w:r>
        <w:rPr>
          <w:rFonts w:ascii="inter" w:eastAsia="inter" w:hAnsi="inter" w:cs="inter"/>
          <w:color w:val="000000"/>
        </w:rPr>
        <w:t>From inception, UGAE is designed as a cross-continental facilitator—using Singapore’s business environment and government support as a launchpad for pan-emerging-market engagement.</w:t>
      </w:r>
    </w:p>
    <w:p w14:paraId="05FBF1BE" w14:textId="77777777" w:rsidR="005F453D" w:rsidRDefault="00000000">
      <w:pPr>
        <w:spacing w:before="315" w:after="105" w:line="360" w:lineRule="auto"/>
        <w:ind w:left="-30"/>
      </w:pPr>
      <w:r>
        <w:rPr>
          <w:rFonts w:ascii="inter" w:eastAsia="inter" w:hAnsi="inter" w:cs="inter"/>
          <w:b/>
          <w:color w:val="000000"/>
          <w:sz w:val="24"/>
        </w:rPr>
        <w:t>4.2.2 Clean Tech Specialization</w:t>
      </w:r>
    </w:p>
    <w:p w14:paraId="05FBF1BF" w14:textId="77777777" w:rsidR="005F453D" w:rsidRDefault="00000000">
      <w:pPr>
        <w:spacing w:after="210" w:line="360" w:lineRule="auto"/>
      </w:pPr>
      <w:r>
        <w:rPr>
          <w:rFonts w:ascii="inter" w:eastAsia="inter" w:hAnsi="inter" w:cs="inter"/>
          <w:color w:val="000000"/>
        </w:rPr>
        <w:t>Full-spectrum technical and regulatory services position UGAE as more than a broker: we’re risk mitigators, educators, and ongoing partners.</w:t>
      </w:r>
    </w:p>
    <w:p w14:paraId="05FBF1C0" w14:textId="77777777" w:rsidR="005F453D" w:rsidRDefault="00000000">
      <w:pPr>
        <w:spacing w:before="315" w:after="105" w:line="360" w:lineRule="auto"/>
        <w:ind w:left="-30"/>
      </w:pPr>
      <w:r>
        <w:rPr>
          <w:rFonts w:ascii="inter" w:eastAsia="inter" w:hAnsi="inter" w:cs="inter"/>
          <w:b/>
          <w:color w:val="000000"/>
          <w:sz w:val="24"/>
        </w:rPr>
        <w:t>4.2.3 Integrated Platform Approach</w:t>
      </w:r>
    </w:p>
    <w:p w14:paraId="05FBF1C1" w14:textId="77777777" w:rsidR="005F453D" w:rsidRDefault="00000000">
      <w:pPr>
        <w:spacing w:after="210" w:line="360" w:lineRule="auto"/>
      </w:pPr>
      <w:r>
        <w:rPr>
          <w:rFonts w:ascii="inter" w:eastAsia="inter" w:hAnsi="inter" w:cs="inter"/>
          <w:color w:val="000000"/>
        </w:rPr>
        <w:t>No other actor provides the seamless blend of digital project sourcing, evaluation, and post-investment support across Africa and Asia-Pacific.</w:t>
      </w:r>
    </w:p>
    <w:p w14:paraId="05FBF1C2" w14:textId="77777777" w:rsidR="005F453D" w:rsidRDefault="00000000">
      <w:pPr>
        <w:spacing w:before="210" w:after="0" w:line="360" w:lineRule="auto"/>
      </w:pPr>
      <w:r>
        <w:rPr>
          <w:noProof/>
        </w:rPr>
      </w:r>
      <w:r>
        <w:rPr>
          <w:noProof/>
        </w:rPr>
        <w:pict w14:anchorId="05FBF244">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BF1C3" w14:textId="77777777" w:rsidR="005F453D" w:rsidRDefault="00000000">
      <w:pPr>
        <w:spacing w:before="157" w:after="157" w:line="270" w:lineRule="auto"/>
      </w:pPr>
      <w:r>
        <w:rPr>
          <w:rFonts w:ascii="inter" w:eastAsia="inter" w:hAnsi="inter" w:cs="inter"/>
          <w:b/>
          <w:color w:val="000000"/>
          <w:sz w:val="39"/>
        </w:rPr>
        <w:t>CHAPTER 5: FINANCIAL PROJECTIONS &amp; PERFORMANCE METRICS</w:t>
      </w:r>
    </w:p>
    <w:p w14:paraId="05FBF1C4" w14:textId="77777777" w:rsidR="005F453D" w:rsidRDefault="00000000">
      <w:pPr>
        <w:spacing w:before="315" w:after="105" w:line="360" w:lineRule="auto"/>
        <w:ind w:left="-30"/>
      </w:pPr>
      <w:r>
        <w:rPr>
          <w:rFonts w:ascii="inter" w:eastAsia="inter" w:hAnsi="inter" w:cs="inter"/>
          <w:b/>
          <w:color w:val="000000"/>
          <w:sz w:val="24"/>
        </w:rPr>
        <w:t>5.1 Revenue &amp; Growth Outlook</w:t>
      </w:r>
    </w:p>
    <w:p w14:paraId="05FBF1C5" w14:textId="77777777" w:rsidR="005F453D" w:rsidRDefault="00000000">
      <w:pPr>
        <w:spacing w:after="210" w:line="360" w:lineRule="auto"/>
      </w:pPr>
      <w:r>
        <w:rPr>
          <w:rFonts w:ascii="inter" w:eastAsia="inter" w:hAnsi="inter" w:cs="inter"/>
          <w:color w:val="000000"/>
        </w:rPr>
        <w:t>Our revenue trajectory is intentionally conservative, prioritizing quality of impact and client fit. We anticipate 10–15% annual revenue growth fueled primarily by the deepest emerging market needs.</w:t>
      </w:r>
    </w:p>
    <w:p w14:paraId="05FBF1C6" w14:textId="77777777" w:rsidR="005F453D" w:rsidRDefault="00000000">
      <w:pPr>
        <w:spacing w:after="210" w:line="360" w:lineRule="auto"/>
      </w:pPr>
      <w:r>
        <w:rPr>
          <w:rFonts w:ascii="inter" w:eastAsia="inter" w:hAnsi="inter" w:cs="inter"/>
          <w:b/>
          <w:color w:val="000000"/>
        </w:rPr>
        <w:t>Table 4. Five-Year Revenue Projection (USD)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92"/>
        <w:gridCol w:w="1693"/>
        <w:gridCol w:w="1188"/>
        <w:gridCol w:w="2137"/>
      </w:tblGrid>
      <w:tr w:rsidR="005F453D" w14:paraId="05FBF1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C7" w14:textId="77777777" w:rsidR="005F453D" w:rsidRDefault="00000000">
            <w:pPr>
              <w:spacing w:line="360" w:lineRule="auto"/>
            </w:pPr>
            <w:r>
              <w:rPr>
                <w:rFonts w:ascii="inter" w:eastAsia="inter" w:hAnsi="inter" w:cs="inter"/>
                <w:color w:val="000000"/>
                <w:sz w:val="17"/>
              </w:rPr>
              <w:t>Year</w:t>
            </w:r>
          </w:p>
        </w:tc>
        <w:tc>
          <w:tcPr>
            <w:tcW w:w="0" w:type="auto"/>
            <w:tcBorders>
              <w:top w:val="single" w:sz="1" w:space="0" w:color="000000"/>
              <w:bottom w:val="single" w:sz="1" w:space="0" w:color="000000"/>
              <w:right w:val="single" w:sz="1" w:space="0" w:color="000000"/>
            </w:tcBorders>
          </w:tcPr>
          <w:p w14:paraId="05FBF1C8" w14:textId="77777777" w:rsidR="005F453D" w:rsidRDefault="00000000">
            <w:pPr>
              <w:spacing w:line="360" w:lineRule="auto"/>
            </w:pPr>
            <w:r>
              <w:rPr>
                <w:rFonts w:ascii="inter" w:eastAsia="inter" w:hAnsi="inter" w:cs="inter"/>
                <w:color w:val="000000"/>
                <w:sz w:val="17"/>
              </w:rPr>
              <w:t>Revenue Target</w:t>
            </w:r>
          </w:p>
        </w:tc>
        <w:tc>
          <w:tcPr>
            <w:tcW w:w="0" w:type="auto"/>
            <w:tcBorders>
              <w:top w:val="single" w:sz="1" w:space="0" w:color="000000"/>
              <w:bottom w:val="single" w:sz="1" w:space="0" w:color="000000"/>
              <w:right w:val="single" w:sz="1" w:space="0" w:color="000000"/>
            </w:tcBorders>
          </w:tcPr>
          <w:p w14:paraId="05FBF1C9" w14:textId="77777777" w:rsidR="005F453D" w:rsidRDefault="00000000">
            <w:pPr>
              <w:spacing w:line="360" w:lineRule="auto"/>
            </w:pPr>
            <w:r>
              <w:rPr>
                <w:rFonts w:ascii="inter" w:eastAsia="inter" w:hAnsi="inter" w:cs="inter"/>
                <w:color w:val="000000"/>
                <w:sz w:val="17"/>
              </w:rPr>
              <w:t>Growth (%)</w:t>
            </w:r>
          </w:p>
        </w:tc>
        <w:tc>
          <w:tcPr>
            <w:tcW w:w="0" w:type="auto"/>
            <w:tcBorders>
              <w:top w:val="single" w:sz="1" w:space="0" w:color="000000"/>
              <w:bottom w:val="single" w:sz="1" w:space="0" w:color="000000"/>
            </w:tcBorders>
          </w:tcPr>
          <w:p w14:paraId="05FBF1CA" w14:textId="77777777" w:rsidR="005F453D" w:rsidRDefault="00000000">
            <w:pPr>
              <w:spacing w:line="360" w:lineRule="auto"/>
            </w:pPr>
            <w:r>
              <w:rPr>
                <w:rFonts w:ascii="inter" w:eastAsia="inter" w:hAnsi="inter" w:cs="inter"/>
                <w:color w:val="000000"/>
                <w:sz w:val="17"/>
              </w:rPr>
              <w:t>Clients (est.)</w:t>
            </w:r>
          </w:p>
        </w:tc>
      </w:tr>
      <w:tr w:rsidR="005F453D" w14:paraId="05FBF1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CC" w14:textId="77777777" w:rsidR="005F453D" w:rsidRDefault="00000000">
            <w:pPr>
              <w:spacing w:line="360" w:lineRule="auto"/>
            </w:pPr>
            <w:r>
              <w:rPr>
                <w:rFonts w:ascii="inter" w:eastAsia="inter" w:hAnsi="inter" w:cs="inter"/>
                <w:color w:val="000000"/>
                <w:sz w:val="17"/>
              </w:rPr>
              <w:lastRenderedPageBreak/>
              <w:t>Year 1</w:t>
            </w:r>
          </w:p>
        </w:tc>
        <w:tc>
          <w:tcPr>
            <w:tcW w:w="0" w:type="auto"/>
            <w:tcBorders>
              <w:top w:val="single" w:sz="1" w:space="0" w:color="000000"/>
              <w:bottom w:val="single" w:sz="1" w:space="0" w:color="000000"/>
              <w:right w:val="single" w:sz="1" w:space="0" w:color="000000"/>
            </w:tcBorders>
          </w:tcPr>
          <w:p w14:paraId="05FBF1CD" w14:textId="77777777" w:rsidR="005F453D" w:rsidRDefault="00000000">
            <w:pPr>
              <w:spacing w:line="360" w:lineRule="auto"/>
            </w:pPr>
            <w:r>
              <w:rPr>
                <w:rFonts w:ascii="inter" w:eastAsia="inter" w:hAnsi="inter" w:cs="inter"/>
                <w:color w:val="000000"/>
                <w:sz w:val="17"/>
              </w:rPr>
              <w:t>$280,000</w:t>
            </w:r>
          </w:p>
        </w:tc>
        <w:tc>
          <w:tcPr>
            <w:tcW w:w="0" w:type="auto"/>
            <w:tcBorders>
              <w:top w:val="single" w:sz="1" w:space="0" w:color="000000"/>
              <w:bottom w:val="single" w:sz="1" w:space="0" w:color="000000"/>
              <w:right w:val="single" w:sz="1" w:space="0" w:color="000000"/>
            </w:tcBorders>
          </w:tcPr>
          <w:p w14:paraId="05FBF1CE" w14:textId="77777777" w:rsidR="005F453D"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tcBorders>
          </w:tcPr>
          <w:p w14:paraId="05FBF1CF" w14:textId="77777777" w:rsidR="005F453D" w:rsidRDefault="00000000">
            <w:pPr>
              <w:spacing w:line="360" w:lineRule="auto"/>
            </w:pPr>
            <w:r>
              <w:rPr>
                <w:rFonts w:ascii="inter" w:eastAsia="inter" w:hAnsi="inter" w:cs="inter"/>
                <w:color w:val="000000"/>
                <w:sz w:val="17"/>
              </w:rPr>
              <w:t>20–30 startups/partners</w:t>
            </w:r>
          </w:p>
        </w:tc>
      </w:tr>
      <w:tr w:rsidR="005F453D" w14:paraId="05FBF1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D1" w14:textId="77777777" w:rsidR="005F453D" w:rsidRDefault="00000000">
            <w:pPr>
              <w:spacing w:line="360" w:lineRule="auto"/>
            </w:pPr>
            <w:r>
              <w:rPr>
                <w:rFonts w:ascii="inter" w:eastAsia="inter" w:hAnsi="inter" w:cs="inter"/>
                <w:color w:val="000000"/>
                <w:sz w:val="17"/>
              </w:rPr>
              <w:t>Year 2</w:t>
            </w:r>
          </w:p>
        </w:tc>
        <w:tc>
          <w:tcPr>
            <w:tcW w:w="0" w:type="auto"/>
            <w:tcBorders>
              <w:top w:val="single" w:sz="1" w:space="0" w:color="000000"/>
              <w:bottom w:val="single" w:sz="1" w:space="0" w:color="000000"/>
              <w:right w:val="single" w:sz="1" w:space="0" w:color="000000"/>
            </w:tcBorders>
          </w:tcPr>
          <w:p w14:paraId="05FBF1D2" w14:textId="77777777" w:rsidR="005F453D" w:rsidRDefault="00000000">
            <w:pPr>
              <w:spacing w:line="360" w:lineRule="auto"/>
            </w:pPr>
            <w:r>
              <w:rPr>
                <w:rFonts w:ascii="inter" w:eastAsia="inter" w:hAnsi="inter" w:cs="inter"/>
                <w:color w:val="000000"/>
                <w:sz w:val="17"/>
              </w:rPr>
              <w:t>$308,000–322,000</w:t>
            </w:r>
          </w:p>
        </w:tc>
        <w:tc>
          <w:tcPr>
            <w:tcW w:w="0" w:type="auto"/>
            <w:tcBorders>
              <w:top w:val="single" w:sz="1" w:space="0" w:color="000000"/>
              <w:bottom w:val="single" w:sz="1" w:space="0" w:color="000000"/>
              <w:right w:val="single" w:sz="1" w:space="0" w:color="000000"/>
            </w:tcBorders>
          </w:tcPr>
          <w:p w14:paraId="05FBF1D3" w14:textId="77777777" w:rsidR="005F453D" w:rsidRDefault="00000000">
            <w:pPr>
              <w:spacing w:line="360" w:lineRule="auto"/>
            </w:pPr>
            <w:r>
              <w:rPr>
                <w:rFonts w:ascii="inter" w:eastAsia="inter" w:hAnsi="inter" w:cs="inter"/>
                <w:color w:val="000000"/>
                <w:sz w:val="17"/>
              </w:rPr>
              <w:t>10–15</w:t>
            </w:r>
          </w:p>
        </w:tc>
        <w:tc>
          <w:tcPr>
            <w:tcW w:w="0" w:type="auto"/>
            <w:tcBorders>
              <w:top w:val="single" w:sz="1" w:space="0" w:color="000000"/>
              <w:bottom w:val="single" w:sz="1" w:space="0" w:color="000000"/>
            </w:tcBorders>
          </w:tcPr>
          <w:p w14:paraId="05FBF1D4" w14:textId="77777777" w:rsidR="005F453D" w:rsidRDefault="00000000">
            <w:pPr>
              <w:spacing w:line="360" w:lineRule="auto"/>
            </w:pPr>
            <w:r>
              <w:rPr>
                <w:rFonts w:ascii="inter" w:eastAsia="inter" w:hAnsi="inter" w:cs="inter"/>
                <w:color w:val="000000"/>
                <w:sz w:val="17"/>
              </w:rPr>
              <w:t>30–40</w:t>
            </w:r>
          </w:p>
        </w:tc>
      </w:tr>
      <w:tr w:rsidR="005F453D" w14:paraId="05FBF1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D6" w14:textId="77777777" w:rsidR="005F453D" w:rsidRDefault="00000000">
            <w:pPr>
              <w:spacing w:line="360" w:lineRule="auto"/>
            </w:pPr>
            <w:r>
              <w:rPr>
                <w:rFonts w:ascii="inter" w:eastAsia="inter" w:hAnsi="inter" w:cs="inter"/>
                <w:color w:val="000000"/>
                <w:sz w:val="17"/>
              </w:rPr>
              <w:t>Year 3</w:t>
            </w:r>
          </w:p>
        </w:tc>
        <w:tc>
          <w:tcPr>
            <w:tcW w:w="0" w:type="auto"/>
            <w:tcBorders>
              <w:top w:val="single" w:sz="1" w:space="0" w:color="000000"/>
              <w:bottom w:val="single" w:sz="1" w:space="0" w:color="000000"/>
              <w:right w:val="single" w:sz="1" w:space="0" w:color="000000"/>
            </w:tcBorders>
          </w:tcPr>
          <w:p w14:paraId="05FBF1D7" w14:textId="77777777" w:rsidR="005F453D" w:rsidRDefault="00000000">
            <w:pPr>
              <w:spacing w:line="360" w:lineRule="auto"/>
            </w:pPr>
            <w:r>
              <w:rPr>
                <w:rFonts w:ascii="inter" w:eastAsia="inter" w:hAnsi="inter" w:cs="inter"/>
                <w:color w:val="000000"/>
                <w:sz w:val="17"/>
              </w:rPr>
              <w:t>$339,000–370,000</w:t>
            </w:r>
          </w:p>
        </w:tc>
        <w:tc>
          <w:tcPr>
            <w:tcW w:w="0" w:type="auto"/>
            <w:tcBorders>
              <w:top w:val="single" w:sz="1" w:space="0" w:color="000000"/>
              <w:bottom w:val="single" w:sz="1" w:space="0" w:color="000000"/>
              <w:right w:val="single" w:sz="1" w:space="0" w:color="000000"/>
            </w:tcBorders>
          </w:tcPr>
          <w:p w14:paraId="05FBF1D8" w14:textId="77777777" w:rsidR="005F453D" w:rsidRDefault="00000000">
            <w:pPr>
              <w:spacing w:line="360" w:lineRule="auto"/>
            </w:pPr>
            <w:r>
              <w:rPr>
                <w:rFonts w:ascii="inter" w:eastAsia="inter" w:hAnsi="inter" w:cs="inter"/>
                <w:color w:val="000000"/>
                <w:sz w:val="17"/>
              </w:rPr>
              <w:t>10–15</w:t>
            </w:r>
          </w:p>
        </w:tc>
        <w:tc>
          <w:tcPr>
            <w:tcW w:w="0" w:type="auto"/>
            <w:tcBorders>
              <w:top w:val="single" w:sz="1" w:space="0" w:color="000000"/>
              <w:bottom w:val="single" w:sz="1" w:space="0" w:color="000000"/>
            </w:tcBorders>
          </w:tcPr>
          <w:p w14:paraId="05FBF1D9" w14:textId="77777777" w:rsidR="005F453D" w:rsidRDefault="00000000">
            <w:pPr>
              <w:spacing w:line="360" w:lineRule="auto"/>
            </w:pPr>
            <w:r>
              <w:rPr>
                <w:rFonts w:ascii="inter" w:eastAsia="inter" w:hAnsi="inter" w:cs="inter"/>
                <w:color w:val="000000"/>
                <w:sz w:val="17"/>
              </w:rPr>
              <w:t>40–55</w:t>
            </w:r>
          </w:p>
        </w:tc>
      </w:tr>
      <w:tr w:rsidR="005F453D" w14:paraId="05FBF1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DB" w14:textId="77777777" w:rsidR="005F453D" w:rsidRDefault="00000000">
            <w:pPr>
              <w:spacing w:line="360" w:lineRule="auto"/>
            </w:pPr>
            <w:r>
              <w:rPr>
                <w:rFonts w:ascii="inter" w:eastAsia="inter" w:hAnsi="inter" w:cs="inter"/>
                <w:color w:val="000000"/>
                <w:sz w:val="17"/>
              </w:rPr>
              <w:t>Year 4</w:t>
            </w:r>
          </w:p>
        </w:tc>
        <w:tc>
          <w:tcPr>
            <w:tcW w:w="0" w:type="auto"/>
            <w:tcBorders>
              <w:top w:val="single" w:sz="1" w:space="0" w:color="000000"/>
              <w:bottom w:val="single" w:sz="1" w:space="0" w:color="000000"/>
              <w:right w:val="single" w:sz="1" w:space="0" w:color="000000"/>
            </w:tcBorders>
          </w:tcPr>
          <w:p w14:paraId="05FBF1DC" w14:textId="77777777" w:rsidR="005F453D" w:rsidRDefault="00000000">
            <w:pPr>
              <w:spacing w:line="360" w:lineRule="auto"/>
            </w:pPr>
            <w:r>
              <w:rPr>
                <w:rFonts w:ascii="inter" w:eastAsia="inter" w:hAnsi="inter" w:cs="inter"/>
                <w:color w:val="000000"/>
                <w:sz w:val="17"/>
              </w:rPr>
              <w:t>$373,000–426,000</w:t>
            </w:r>
          </w:p>
        </w:tc>
        <w:tc>
          <w:tcPr>
            <w:tcW w:w="0" w:type="auto"/>
            <w:tcBorders>
              <w:top w:val="single" w:sz="1" w:space="0" w:color="000000"/>
              <w:bottom w:val="single" w:sz="1" w:space="0" w:color="000000"/>
              <w:right w:val="single" w:sz="1" w:space="0" w:color="000000"/>
            </w:tcBorders>
          </w:tcPr>
          <w:p w14:paraId="05FBF1DD" w14:textId="77777777" w:rsidR="005F453D" w:rsidRDefault="00000000">
            <w:pPr>
              <w:spacing w:line="360" w:lineRule="auto"/>
            </w:pPr>
            <w:r>
              <w:rPr>
                <w:rFonts w:ascii="inter" w:eastAsia="inter" w:hAnsi="inter" w:cs="inter"/>
                <w:color w:val="000000"/>
                <w:sz w:val="17"/>
              </w:rPr>
              <w:t>10–15</w:t>
            </w:r>
          </w:p>
        </w:tc>
        <w:tc>
          <w:tcPr>
            <w:tcW w:w="0" w:type="auto"/>
            <w:tcBorders>
              <w:top w:val="single" w:sz="1" w:space="0" w:color="000000"/>
              <w:bottom w:val="single" w:sz="1" w:space="0" w:color="000000"/>
            </w:tcBorders>
          </w:tcPr>
          <w:p w14:paraId="05FBF1DE" w14:textId="77777777" w:rsidR="005F453D" w:rsidRDefault="00000000">
            <w:pPr>
              <w:spacing w:line="360" w:lineRule="auto"/>
            </w:pPr>
            <w:r>
              <w:rPr>
                <w:rFonts w:ascii="inter" w:eastAsia="inter" w:hAnsi="inter" w:cs="inter"/>
                <w:color w:val="000000"/>
                <w:sz w:val="17"/>
              </w:rPr>
              <w:t>50–70</w:t>
            </w:r>
          </w:p>
        </w:tc>
      </w:tr>
      <w:tr w:rsidR="005F453D" w14:paraId="05FBF1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E0" w14:textId="77777777" w:rsidR="005F453D" w:rsidRDefault="00000000">
            <w:pPr>
              <w:spacing w:line="360" w:lineRule="auto"/>
            </w:pPr>
            <w:r>
              <w:rPr>
                <w:rFonts w:ascii="inter" w:eastAsia="inter" w:hAnsi="inter" w:cs="inter"/>
                <w:color w:val="000000"/>
                <w:sz w:val="17"/>
              </w:rPr>
              <w:t>Year 5</w:t>
            </w:r>
          </w:p>
        </w:tc>
        <w:tc>
          <w:tcPr>
            <w:tcW w:w="0" w:type="auto"/>
            <w:tcBorders>
              <w:top w:val="single" w:sz="1" w:space="0" w:color="000000"/>
              <w:bottom w:val="single" w:sz="1" w:space="0" w:color="000000"/>
              <w:right w:val="single" w:sz="1" w:space="0" w:color="000000"/>
            </w:tcBorders>
          </w:tcPr>
          <w:p w14:paraId="05FBF1E1" w14:textId="77777777" w:rsidR="005F453D" w:rsidRDefault="00000000">
            <w:pPr>
              <w:spacing w:line="360" w:lineRule="auto"/>
            </w:pPr>
            <w:r>
              <w:rPr>
                <w:rFonts w:ascii="inter" w:eastAsia="inter" w:hAnsi="inter" w:cs="inter"/>
                <w:color w:val="000000"/>
                <w:sz w:val="17"/>
              </w:rPr>
              <w:t>$410,000–490,000</w:t>
            </w:r>
          </w:p>
        </w:tc>
        <w:tc>
          <w:tcPr>
            <w:tcW w:w="0" w:type="auto"/>
            <w:tcBorders>
              <w:top w:val="single" w:sz="1" w:space="0" w:color="000000"/>
              <w:bottom w:val="single" w:sz="1" w:space="0" w:color="000000"/>
              <w:right w:val="single" w:sz="1" w:space="0" w:color="000000"/>
            </w:tcBorders>
          </w:tcPr>
          <w:p w14:paraId="05FBF1E2" w14:textId="77777777" w:rsidR="005F453D" w:rsidRDefault="00000000">
            <w:pPr>
              <w:spacing w:line="360" w:lineRule="auto"/>
            </w:pPr>
            <w:r>
              <w:rPr>
                <w:rFonts w:ascii="inter" w:eastAsia="inter" w:hAnsi="inter" w:cs="inter"/>
                <w:color w:val="000000"/>
                <w:sz w:val="17"/>
              </w:rPr>
              <w:t>10–15</w:t>
            </w:r>
          </w:p>
        </w:tc>
        <w:tc>
          <w:tcPr>
            <w:tcW w:w="0" w:type="auto"/>
            <w:tcBorders>
              <w:top w:val="single" w:sz="1" w:space="0" w:color="000000"/>
              <w:bottom w:val="single" w:sz="1" w:space="0" w:color="000000"/>
            </w:tcBorders>
          </w:tcPr>
          <w:p w14:paraId="05FBF1E3" w14:textId="77777777" w:rsidR="005F453D" w:rsidRDefault="00000000">
            <w:pPr>
              <w:spacing w:line="360" w:lineRule="auto"/>
            </w:pPr>
            <w:r>
              <w:rPr>
                <w:rFonts w:ascii="inter" w:eastAsia="inter" w:hAnsi="inter" w:cs="inter"/>
                <w:color w:val="000000"/>
                <w:sz w:val="17"/>
              </w:rPr>
              <w:t>65–90</w:t>
            </w:r>
          </w:p>
        </w:tc>
      </w:tr>
    </w:tbl>
    <w:p w14:paraId="05FBF1E5" w14:textId="77777777" w:rsidR="005F453D" w:rsidRDefault="005F453D"/>
    <w:p w14:paraId="05FBF1E6" w14:textId="77777777" w:rsidR="005F453D" w:rsidRDefault="00000000">
      <w:pPr>
        <w:spacing w:after="210" w:line="360" w:lineRule="auto"/>
      </w:pPr>
      <w:r>
        <w:rPr>
          <w:rFonts w:ascii="inter" w:eastAsia="inter" w:hAnsi="inter" w:cs="inter"/>
          <w:i/>
          <w:color w:val="000000"/>
        </w:rPr>
        <w:t>This projection builds in milestone-based growth, with scalability over time linked to platform automation and regional expansion. Revenue per client is intentionally modest, reflecting focus on early-stage, high-impact engagements.</w:t>
      </w:r>
    </w:p>
    <w:p w14:paraId="05FBF1E7" w14:textId="77777777" w:rsidR="005F453D" w:rsidRDefault="00000000">
      <w:pPr>
        <w:spacing w:before="315" w:after="105" w:line="360" w:lineRule="auto"/>
        <w:ind w:left="-30"/>
      </w:pPr>
      <w:r>
        <w:rPr>
          <w:rFonts w:ascii="inter" w:eastAsia="inter" w:hAnsi="inter" w:cs="inter"/>
          <w:b/>
          <w:color w:val="000000"/>
          <w:sz w:val="24"/>
        </w:rPr>
        <w:t>5.2 Cost &amp; Profitability Overview</w:t>
      </w:r>
    </w:p>
    <w:p w14:paraId="05FBF1E8" w14:textId="77777777" w:rsidR="005F453D" w:rsidRDefault="00000000">
      <w:pPr>
        <w:spacing w:after="210" w:line="360" w:lineRule="auto"/>
      </w:pPr>
      <w:r>
        <w:rPr>
          <w:rFonts w:ascii="inter" w:eastAsia="inter" w:hAnsi="inter" w:cs="inter"/>
          <w:color w:val="000000"/>
        </w:rPr>
        <w:t>Costs are tightly controlled, with staff, operations, and market development as the principal outlays. Profitability is expected by Year 3 as scale efficiencies and platform revenues kick in.</w:t>
      </w:r>
    </w:p>
    <w:p w14:paraId="05FBF1E9" w14:textId="77777777" w:rsidR="005F453D" w:rsidRDefault="00000000">
      <w:pPr>
        <w:spacing w:after="210" w:line="360" w:lineRule="auto"/>
      </w:pPr>
      <w:r>
        <w:rPr>
          <w:rFonts w:ascii="inter" w:eastAsia="inter" w:hAnsi="inter" w:cs="inter"/>
          <w:b/>
          <w:color w:val="000000"/>
        </w:rPr>
        <w:t>Table 5. Illustrative Cost Breakdown (Year 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51"/>
        <w:gridCol w:w="1207"/>
        <w:gridCol w:w="1143"/>
      </w:tblGrid>
      <w:tr w:rsidR="005F453D" w14:paraId="05FBF1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EA" w14:textId="77777777" w:rsidR="005F453D" w:rsidRDefault="00000000">
            <w:pPr>
              <w:spacing w:line="360" w:lineRule="auto"/>
            </w:pPr>
            <w:r>
              <w:rPr>
                <w:rFonts w:ascii="inter" w:eastAsia="inter" w:hAnsi="inter" w:cs="inter"/>
                <w:color w:val="000000"/>
                <w:sz w:val="17"/>
              </w:rPr>
              <w:t>Cost Category</w:t>
            </w:r>
          </w:p>
        </w:tc>
        <w:tc>
          <w:tcPr>
            <w:tcW w:w="0" w:type="auto"/>
            <w:tcBorders>
              <w:top w:val="single" w:sz="1" w:space="0" w:color="000000"/>
              <w:bottom w:val="single" w:sz="1" w:space="0" w:color="000000"/>
              <w:right w:val="single" w:sz="1" w:space="0" w:color="000000"/>
            </w:tcBorders>
          </w:tcPr>
          <w:p w14:paraId="05FBF1EB" w14:textId="77777777" w:rsidR="005F453D" w:rsidRDefault="00000000">
            <w:pPr>
              <w:spacing w:line="360" w:lineRule="auto"/>
            </w:pPr>
            <w:r>
              <w:rPr>
                <w:rFonts w:ascii="inter" w:eastAsia="inter" w:hAnsi="inter" w:cs="inter"/>
                <w:color w:val="000000"/>
                <w:sz w:val="17"/>
              </w:rPr>
              <w:t>Est. Amount</w:t>
            </w:r>
          </w:p>
        </w:tc>
        <w:tc>
          <w:tcPr>
            <w:tcW w:w="0" w:type="auto"/>
            <w:tcBorders>
              <w:top w:val="single" w:sz="1" w:space="0" w:color="000000"/>
              <w:bottom w:val="single" w:sz="1" w:space="0" w:color="000000"/>
            </w:tcBorders>
          </w:tcPr>
          <w:p w14:paraId="05FBF1EC" w14:textId="77777777" w:rsidR="005F453D" w:rsidRDefault="00000000">
            <w:pPr>
              <w:spacing w:line="360" w:lineRule="auto"/>
            </w:pPr>
            <w:r>
              <w:rPr>
                <w:rFonts w:ascii="inter" w:eastAsia="inter" w:hAnsi="inter" w:cs="inter"/>
                <w:color w:val="000000"/>
                <w:sz w:val="17"/>
              </w:rPr>
              <w:t>% Revenue</w:t>
            </w:r>
          </w:p>
        </w:tc>
      </w:tr>
      <w:tr w:rsidR="005F453D" w14:paraId="05FBF1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EE" w14:textId="77777777" w:rsidR="005F453D" w:rsidRDefault="00000000">
            <w:pPr>
              <w:spacing w:line="360" w:lineRule="auto"/>
            </w:pPr>
            <w:r>
              <w:rPr>
                <w:rFonts w:ascii="inter" w:eastAsia="inter" w:hAnsi="inter" w:cs="inter"/>
                <w:color w:val="000000"/>
                <w:sz w:val="17"/>
              </w:rPr>
              <w:t>Personnel</w:t>
            </w:r>
          </w:p>
        </w:tc>
        <w:tc>
          <w:tcPr>
            <w:tcW w:w="0" w:type="auto"/>
            <w:tcBorders>
              <w:top w:val="single" w:sz="1" w:space="0" w:color="000000"/>
              <w:bottom w:val="single" w:sz="1" w:space="0" w:color="000000"/>
              <w:right w:val="single" w:sz="1" w:space="0" w:color="000000"/>
            </w:tcBorders>
          </w:tcPr>
          <w:p w14:paraId="05FBF1EF" w14:textId="77777777" w:rsidR="005F453D" w:rsidRDefault="00000000">
            <w:pPr>
              <w:spacing w:line="360" w:lineRule="auto"/>
            </w:pPr>
            <w:r>
              <w:rPr>
                <w:rFonts w:ascii="inter" w:eastAsia="inter" w:hAnsi="inter" w:cs="inter"/>
                <w:color w:val="000000"/>
                <w:sz w:val="17"/>
              </w:rPr>
              <w:t>$120,000</w:t>
            </w:r>
          </w:p>
        </w:tc>
        <w:tc>
          <w:tcPr>
            <w:tcW w:w="0" w:type="auto"/>
            <w:tcBorders>
              <w:top w:val="single" w:sz="1" w:space="0" w:color="000000"/>
              <w:bottom w:val="single" w:sz="1" w:space="0" w:color="000000"/>
            </w:tcBorders>
          </w:tcPr>
          <w:p w14:paraId="05FBF1F0" w14:textId="77777777" w:rsidR="005F453D" w:rsidRDefault="00000000">
            <w:pPr>
              <w:spacing w:line="360" w:lineRule="auto"/>
            </w:pPr>
            <w:r>
              <w:rPr>
                <w:rFonts w:ascii="inter" w:eastAsia="inter" w:hAnsi="inter" w:cs="inter"/>
                <w:color w:val="000000"/>
                <w:sz w:val="17"/>
              </w:rPr>
              <w:t>~43%</w:t>
            </w:r>
          </w:p>
        </w:tc>
      </w:tr>
      <w:tr w:rsidR="005F453D" w14:paraId="05FBF1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F2" w14:textId="77777777" w:rsidR="005F453D" w:rsidRDefault="00000000">
            <w:pPr>
              <w:spacing w:line="360" w:lineRule="auto"/>
            </w:pPr>
            <w:r>
              <w:rPr>
                <w:rFonts w:ascii="inter" w:eastAsia="inter" w:hAnsi="inter" w:cs="inter"/>
                <w:color w:val="000000"/>
                <w:sz w:val="17"/>
              </w:rPr>
              <w:t>Operations/Office</w:t>
            </w:r>
          </w:p>
        </w:tc>
        <w:tc>
          <w:tcPr>
            <w:tcW w:w="0" w:type="auto"/>
            <w:tcBorders>
              <w:top w:val="single" w:sz="1" w:space="0" w:color="000000"/>
              <w:bottom w:val="single" w:sz="1" w:space="0" w:color="000000"/>
              <w:right w:val="single" w:sz="1" w:space="0" w:color="000000"/>
            </w:tcBorders>
          </w:tcPr>
          <w:p w14:paraId="05FBF1F3" w14:textId="77777777" w:rsidR="005F453D" w:rsidRDefault="00000000">
            <w:pPr>
              <w:spacing w:line="360" w:lineRule="auto"/>
            </w:pPr>
            <w:r>
              <w:rPr>
                <w:rFonts w:ascii="inter" w:eastAsia="inter" w:hAnsi="inter" w:cs="inter"/>
                <w:color w:val="000000"/>
                <w:sz w:val="17"/>
              </w:rPr>
              <w:t>$36,000</w:t>
            </w:r>
          </w:p>
        </w:tc>
        <w:tc>
          <w:tcPr>
            <w:tcW w:w="0" w:type="auto"/>
            <w:tcBorders>
              <w:top w:val="single" w:sz="1" w:space="0" w:color="000000"/>
              <w:bottom w:val="single" w:sz="1" w:space="0" w:color="000000"/>
            </w:tcBorders>
          </w:tcPr>
          <w:p w14:paraId="05FBF1F4" w14:textId="77777777" w:rsidR="005F453D" w:rsidRDefault="00000000">
            <w:pPr>
              <w:spacing w:line="360" w:lineRule="auto"/>
            </w:pPr>
            <w:r>
              <w:rPr>
                <w:rFonts w:ascii="inter" w:eastAsia="inter" w:hAnsi="inter" w:cs="inter"/>
                <w:color w:val="000000"/>
                <w:sz w:val="17"/>
              </w:rPr>
              <w:t>~13%</w:t>
            </w:r>
          </w:p>
        </w:tc>
      </w:tr>
      <w:tr w:rsidR="005F453D" w14:paraId="05FBF1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F6" w14:textId="77777777" w:rsidR="005F453D" w:rsidRDefault="00000000">
            <w:pPr>
              <w:spacing w:line="360" w:lineRule="auto"/>
            </w:pPr>
            <w:r>
              <w:rPr>
                <w:rFonts w:ascii="inter" w:eastAsia="inter" w:hAnsi="inter" w:cs="inter"/>
                <w:color w:val="000000"/>
                <w:sz w:val="17"/>
              </w:rPr>
              <w:t>Tech/Platform</w:t>
            </w:r>
          </w:p>
        </w:tc>
        <w:tc>
          <w:tcPr>
            <w:tcW w:w="0" w:type="auto"/>
            <w:tcBorders>
              <w:top w:val="single" w:sz="1" w:space="0" w:color="000000"/>
              <w:bottom w:val="single" w:sz="1" w:space="0" w:color="000000"/>
              <w:right w:val="single" w:sz="1" w:space="0" w:color="000000"/>
            </w:tcBorders>
          </w:tcPr>
          <w:p w14:paraId="05FBF1F7" w14:textId="77777777" w:rsidR="005F453D" w:rsidRDefault="00000000">
            <w:pPr>
              <w:spacing w:line="360" w:lineRule="auto"/>
            </w:pPr>
            <w:r>
              <w:rPr>
                <w:rFonts w:ascii="inter" w:eastAsia="inter" w:hAnsi="inter" w:cs="inter"/>
                <w:color w:val="000000"/>
                <w:sz w:val="17"/>
              </w:rPr>
              <w:t>$28,000</w:t>
            </w:r>
          </w:p>
        </w:tc>
        <w:tc>
          <w:tcPr>
            <w:tcW w:w="0" w:type="auto"/>
            <w:tcBorders>
              <w:top w:val="single" w:sz="1" w:space="0" w:color="000000"/>
              <w:bottom w:val="single" w:sz="1" w:space="0" w:color="000000"/>
            </w:tcBorders>
          </w:tcPr>
          <w:p w14:paraId="05FBF1F8" w14:textId="77777777" w:rsidR="005F453D" w:rsidRDefault="00000000">
            <w:pPr>
              <w:spacing w:line="360" w:lineRule="auto"/>
            </w:pPr>
            <w:r>
              <w:rPr>
                <w:rFonts w:ascii="inter" w:eastAsia="inter" w:hAnsi="inter" w:cs="inter"/>
                <w:color w:val="000000"/>
                <w:sz w:val="17"/>
              </w:rPr>
              <w:t>~10%</w:t>
            </w:r>
          </w:p>
        </w:tc>
      </w:tr>
      <w:tr w:rsidR="005F453D" w14:paraId="05FBF1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FA" w14:textId="77777777" w:rsidR="005F453D" w:rsidRDefault="00000000">
            <w:pPr>
              <w:spacing w:line="360" w:lineRule="auto"/>
            </w:pPr>
            <w:r>
              <w:rPr>
                <w:rFonts w:ascii="inter" w:eastAsia="inter" w:hAnsi="inter" w:cs="inter"/>
                <w:color w:val="000000"/>
                <w:sz w:val="17"/>
              </w:rPr>
              <w:t>Marketing/Dev</w:t>
            </w:r>
          </w:p>
        </w:tc>
        <w:tc>
          <w:tcPr>
            <w:tcW w:w="0" w:type="auto"/>
            <w:tcBorders>
              <w:top w:val="single" w:sz="1" w:space="0" w:color="000000"/>
              <w:bottom w:val="single" w:sz="1" w:space="0" w:color="000000"/>
              <w:right w:val="single" w:sz="1" w:space="0" w:color="000000"/>
            </w:tcBorders>
          </w:tcPr>
          <w:p w14:paraId="05FBF1FB" w14:textId="77777777" w:rsidR="005F453D" w:rsidRDefault="00000000">
            <w:pPr>
              <w:spacing w:line="360" w:lineRule="auto"/>
            </w:pPr>
            <w:r>
              <w:rPr>
                <w:rFonts w:ascii="inter" w:eastAsia="inter" w:hAnsi="inter" w:cs="inter"/>
                <w:color w:val="000000"/>
                <w:sz w:val="17"/>
              </w:rPr>
              <w:t>$21,000</w:t>
            </w:r>
          </w:p>
        </w:tc>
        <w:tc>
          <w:tcPr>
            <w:tcW w:w="0" w:type="auto"/>
            <w:tcBorders>
              <w:top w:val="single" w:sz="1" w:space="0" w:color="000000"/>
              <w:bottom w:val="single" w:sz="1" w:space="0" w:color="000000"/>
            </w:tcBorders>
          </w:tcPr>
          <w:p w14:paraId="05FBF1FC" w14:textId="77777777" w:rsidR="005F453D" w:rsidRDefault="00000000">
            <w:pPr>
              <w:spacing w:line="360" w:lineRule="auto"/>
            </w:pPr>
            <w:r>
              <w:rPr>
                <w:rFonts w:ascii="inter" w:eastAsia="inter" w:hAnsi="inter" w:cs="inter"/>
                <w:color w:val="000000"/>
                <w:sz w:val="17"/>
              </w:rPr>
              <w:t>~8%</w:t>
            </w:r>
          </w:p>
        </w:tc>
      </w:tr>
      <w:tr w:rsidR="005F453D" w14:paraId="05FBF2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1FE" w14:textId="77777777" w:rsidR="005F453D" w:rsidRDefault="00000000">
            <w:pPr>
              <w:spacing w:line="360" w:lineRule="auto"/>
            </w:pPr>
            <w:r>
              <w:rPr>
                <w:rFonts w:ascii="inter" w:eastAsia="inter" w:hAnsi="inter" w:cs="inter"/>
                <w:color w:val="000000"/>
                <w:sz w:val="17"/>
              </w:rPr>
              <w:t>Travel/Development</w:t>
            </w:r>
          </w:p>
        </w:tc>
        <w:tc>
          <w:tcPr>
            <w:tcW w:w="0" w:type="auto"/>
            <w:tcBorders>
              <w:top w:val="single" w:sz="1" w:space="0" w:color="000000"/>
              <w:bottom w:val="single" w:sz="1" w:space="0" w:color="000000"/>
              <w:right w:val="single" w:sz="1" w:space="0" w:color="000000"/>
            </w:tcBorders>
          </w:tcPr>
          <w:p w14:paraId="05FBF1FF" w14:textId="77777777" w:rsidR="005F453D" w:rsidRDefault="00000000">
            <w:pPr>
              <w:spacing w:line="360" w:lineRule="auto"/>
            </w:pPr>
            <w:r>
              <w:rPr>
                <w:rFonts w:ascii="inter" w:eastAsia="inter" w:hAnsi="inter" w:cs="inter"/>
                <w:color w:val="000000"/>
                <w:sz w:val="17"/>
              </w:rPr>
              <w:t>$35,000</w:t>
            </w:r>
          </w:p>
        </w:tc>
        <w:tc>
          <w:tcPr>
            <w:tcW w:w="0" w:type="auto"/>
            <w:tcBorders>
              <w:top w:val="single" w:sz="1" w:space="0" w:color="000000"/>
              <w:bottom w:val="single" w:sz="1" w:space="0" w:color="000000"/>
            </w:tcBorders>
          </w:tcPr>
          <w:p w14:paraId="05FBF200" w14:textId="77777777" w:rsidR="005F453D" w:rsidRDefault="00000000">
            <w:pPr>
              <w:spacing w:line="360" w:lineRule="auto"/>
            </w:pPr>
            <w:r>
              <w:rPr>
                <w:rFonts w:ascii="inter" w:eastAsia="inter" w:hAnsi="inter" w:cs="inter"/>
                <w:color w:val="000000"/>
                <w:sz w:val="17"/>
              </w:rPr>
              <w:t>~13%</w:t>
            </w:r>
          </w:p>
        </w:tc>
      </w:tr>
      <w:tr w:rsidR="005F453D" w14:paraId="05FBF2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202" w14:textId="77777777" w:rsidR="005F453D" w:rsidRDefault="00000000">
            <w:pPr>
              <w:spacing w:line="360" w:lineRule="auto"/>
            </w:pPr>
            <w:r>
              <w:rPr>
                <w:rFonts w:ascii="inter" w:eastAsia="inter" w:hAnsi="inter" w:cs="inter"/>
                <w:color w:val="000000"/>
                <w:sz w:val="17"/>
              </w:rPr>
              <w:t>Compliance &amp; Legal</w:t>
            </w:r>
          </w:p>
        </w:tc>
        <w:tc>
          <w:tcPr>
            <w:tcW w:w="0" w:type="auto"/>
            <w:tcBorders>
              <w:top w:val="single" w:sz="1" w:space="0" w:color="000000"/>
              <w:bottom w:val="single" w:sz="1" w:space="0" w:color="000000"/>
              <w:right w:val="single" w:sz="1" w:space="0" w:color="000000"/>
            </w:tcBorders>
          </w:tcPr>
          <w:p w14:paraId="05FBF203" w14:textId="77777777" w:rsidR="005F453D" w:rsidRDefault="00000000">
            <w:pPr>
              <w:spacing w:line="360" w:lineRule="auto"/>
            </w:pPr>
            <w:r>
              <w:rPr>
                <w:rFonts w:ascii="inter" w:eastAsia="inter" w:hAnsi="inter" w:cs="inter"/>
                <w:color w:val="000000"/>
                <w:sz w:val="17"/>
              </w:rPr>
              <w:t>$14,000</w:t>
            </w:r>
          </w:p>
        </w:tc>
        <w:tc>
          <w:tcPr>
            <w:tcW w:w="0" w:type="auto"/>
            <w:tcBorders>
              <w:top w:val="single" w:sz="1" w:space="0" w:color="000000"/>
              <w:bottom w:val="single" w:sz="1" w:space="0" w:color="000000"/>
            </w:tcBorders>
          </w:tcPr>
          <w:p w14:paraId="05FBF204" w14:textId="77777777" w:rsidR="005F453D" w:rsidRDefault="00000000">
            <w:pPr>
              <w:spacing w:line="360" w:lineRule="auto"/>
            </w:pPr>
            <w:r>
              <w:rPr>
                <w:rFonts w:ascii="inter" w:eastAsia="inter" w:hAnsi="inter" w:cs="inter"/>
                <w:color w:val="000000"/>
                <w:sz w:val="17"/>
              </w:rPr>
              <w:t>~5%</w:t>
            </w:r>
          </w:p>
        </w:tc>
      </w:tr>
      <w:tr w:rsidR="005F453D" w14:paraId="05FBF2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206" w14:textId="77777777" w:rsidR="005F453D" w:rsidRDefault="00000000">
            <w:pPr>
              <w:spacing w:line="360" w:lineRule="auto"/>
            </w:pPr>
            <w:r>
              <w:rPr>
                <w:rFonts w:ascii="inter" w:eastAsia="inter" w:hAnsi="inter" w:cs="inter"/>
                <w:color w:val="000000"/>
                <w:sz w:val="17"/>
              </w:rPr>
              <w:t>Contingency</w:t>
            </w:r>
          </w:p>
        </w:tc>
        <w:tc>
          <w:tcPr>
            <w:tcW w:w="0" w:type="auto"/>
            <w:tcBorders>
              <w:top w:val="single" w:sz="1" w:space="0" w:color="000000"/>
              <w:bottom w:val="single" w:sz="1" w:space="0" w:color="000000"/>
              <w:right w:val="single" w:sz="1" w:space="0" w:color="000000"/>
            </w:tcBorders>
          </w:tcPr>
          <w:p w14:paraId="05FBF207" w14:textId="77777777" w:rsidR="005F453D" w:rsidRDefault="00000000">
            <w:pPr>
              <w:spacing w:line="360" w:lineRule="auto"/>
            </w:pPr>
            <w:r>
              <w:rPr>
                <w:rFonts w:ascii="inter" w:eastAsia="inter" w:hAnsi="inter" w:cs="inter"/>
                <w:color w:val="000000"/>
                <w:sz w:val="17"/>
              </w:rPr>
              <w:t>$14,000</w:t>
            </w:r>
          </w:p>
        </w:tc>
        <w:tc>
          <w:tcPr>
            <w:tcW w:w="0" w:type="auto"/>
            <w:tcBorders>
              <w:top w:val="single" w:sz="1" w:space="0" w:color="000000"/>
              <w:bottom w:val="single" w:sz="1" w:space="0" w:color="000000"/>
            </w:tcBorders>
          </w:tcPr>
          <w:p w14:paraId="05FBF208" w14:textId="77777777" w:rsidR="005F453D" w:rsidRDefault="00000000">
            <w:pPr>
              <w:spacing w:line="360" w:lineRule="auto"/>
            </w:pPr>
            <w:r>
              <w:rPr>
                <w:rFonts w:ascii="inter" w:eastAsia="inter" w:hAnsi="inter" w:cs="inter"/>
                <w:color w:val="000000"/>
                <w:sz w:val="17"/>
              </w:rPr>
              <w:t>~5%</w:t>
            </w:r>
          </w:p>
        </w:tc>
      </w:tr>
      <w:tr w:rsidR="005F453D" w14:paraId="05FBF2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20A" w14:textId="77777777" w:rsidR="005F453D" w:rsidRDefault="00000000">
            <w:pPr>
              <w:spacing w:line="360" w:lineRule="auto"/>
            </w:pPr>
            <w:r>
              <w:rPr>
                <w:rFonts w:ascii="inter" w:eastAsia="inter" w:hAnsi="inter" w:cs="inter"/>
                <w:b/>
                <w:color w:val="000000"/>
                <w:sz w:val="17"/>
              </w:rPr>
              <w:t>Total</w:t>
            </w:r>
          </w:p>
        </w:tc>
        <w:tc>
          <w:tcPr>
            <w:tcW w:w="0" w:type="auto"/>
            <w:tcBorders>
              <w:top w:val="single" w:sz="1" w:space="0" w:color="000000"/>
              <w:bottom w:val="single" w:sz="1" w:space="0" w:color="000000"/>
              <w:right w:val="single" w:sz="1" w:space="0" w:color="000000"/>
            </w:tcBorders>
          </w:tcPr>
          <w:p w14:paraId="05FBF20B" w14:textId="77777777" w:rsidR="005F453D" w:rsidRDefault="00000000">
            <w:pPr>
              <w:spacing w:line="360" w:lineRule="auto"/>
            </w:pPr>
            <w:r>
              <w:rPr>
                <w:rFonts w:ascii="inter" w:eastAsia="inter" w:hAnsi="inter" w:cs="inter"/>
                <w:color w:val="000000"/>
                <w:sz w:val="17"/>
              </w:rPr>
              <w:t>$268,000</w:t>
            </w:r>
          </w:p>
        </w:tc>
        <w:tc>
          <w:tcPr>
            <w:tcW w:w="0" w:type="auto"/>
            <w:tcBorders>
              <w:top w:val="single" w:sz="1" w:space="0" w:color="000000"/>
              <w:bottom w:val="single" w:sz="1" w:space="0" w:color="000000"/>
            </w:tcBorders>
          </w:tcPr>
          <w:p w14:paraId="05FBF20C" w14:textId="77777777" w:rsidR="005F453D" w:rsidRDefault="00000000">
            <w:pPr>
              <w:spacing w:line="360" w:lineRule="auto"/>
            </w:pPr>
            <w:r>
              <w:rPr>
                <w:rFonts w:ascii="inter" w:eastAsia="inter" w:hAnsi="inter" w:cs="inter"/>
                <w:color w:val="000000"/>
                <w:sz w:val="17"/>
              </w:rPr>
              <w:t>~96%</w:t>
            </w:r>
          </w:p>
        </w:tc>
      </w:tr>
    </w:tbl>
    <w:p w14:paraId="05FBF20E" w14:textId="77777777" w:rsidR="005F453D" w:rsidRDefault="005F453D"/>
    <w:p w14:paraId="05FBF20F" w14:textId="77777777" w:rsidR="005F453D" w:rsidRDefault="00000000">
      <w:pPr>
        <w:spacing w:after="210" w:line="360" w:lineRule="auto"/>
      </w:pPr>
      <w:r>
        <w:rPr>
          <w:rFonts w:ascii="inter" w:eastAsia="inter" w:hAnsi="inter" w:cs="inter"/>
          <w:i/>
          <w:color w:val="000000"/>
        </w:rPr>
        <w:t>This table shows that most expenditure is variable and can adjust with market demand, team size, and the pace of market entry. UGAE’s cost structure is both scalable and resilient.</w:t>
      </w:r>
    </w:p>
    <w:p w14:paraId="05FBF210" w14:textId="77777777" w:rsidR="005F453D" w:rsidRDefault="00000000">
      <w:pPr>
        <w:spacing w:before="315" w:after="105" w:line="360" w:lineRule="auto"/>
        <w:ind w:left="-30"/>
      </w:pPr>
      <w:r>
        <w:rPr>
          <w:rFonts w:ascii="inter" w:eastAsia="inter" w:hAnsi="inter" w:cs="inter"/>
          <w:b/>
          <w:color w:val="000000"/>
          <w:sz w:val="24"/>
        </w:rPr>
        <w:t>5.3 KPIs &amp; Milestones</w:t>
      </w:r>
    </w:p>
    <w:p w14:paraId="05FBF211" w14:textId="77777777" w:rsidR="005F453D" w:rsidRDefault="00000000">
      <w:pPr>
        <w:spacing w:after="210" w:line="360" w:lineRule="auto"/>
      </w:pPr>
      <w:r>
        <w:rPr>
          <w:rFonts w:ascii="inter" w:eastAsia="inter" w:hAnsi="inter" w:cs="inter"/>
          <w:color w:val="000000"/>
        </w:rPr>
        <w:lastRenderedPageBreak/>
        <w:t xml:space="preserve">Our focus is on measurable outputs: number of startups funded, clean energy MWs enabled, jobs </w:t>
      </w:r>
      <w:proofErr w:type="gramStart"/>
      <w:r>
        <w:rPr>
          <w:rFonts w:ascii="inter" w:eastAsia="inter" w:hAnsi="inter" w:cs="inter"/>
          <w:color w:val="000000"/>
        </w:rPr>
        <w:t>created, and</w:t>
      </w:r>
      <w:proofErr w:type="gramEnd"/>
      <w:r>
        <w:rPr>
          <w:rFonts w:ascii="inter" w:eastAsia="inter" w:hAnsi="inter" w:cs="inter"/>
          <w:color w:val="000000"/>
        </w:rPr>
        <w:t xml:space="preserve"> repeat founder/foundation engagement rates. Progress is tracked quarterly.</w:t>
      </w:r>
    </w:p>
    <w:p w14:paraId="05FBF212" w14:textId="77777777" w:rsidR="005F453D" w:rsidRDefault="00000000">
      <w:pPr>
        <w:spacing w:before="210" w:after="0" w:line="360" w:lineRule="auto"/>
      </w:pPr>
      <w:r>
        <w:rPr>
          <w:noProof/>
        </w:rPr>
      </w:r>
      <w:r>
        <w:rPr>
          <w:noProof/>
        </w:rPr>
        <w:pict w14:anchorId="05FBF246">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BF213" w14:textId="77777777" w:rsidR="005F453D" w:rsidRDefault="00000000">
      <w:pPr>
        <w:spacing w:before="157" w:after="157" w:line="270" w:lineRule="auto"/>
      </w:pPr>
      <w:r>
        <w:rPr>
          <w:rFonts w:ascii="inter" w:eastAsia="inter" w:hAnsi="inter" w:cs="inter"/>
          <w:b/>
          <w:color w:val="000000"/>
          <w:sz w:val="39"/>
        </w:rPr>
        <w:t>CHAPTER 6: IMPACT, RISK &amp; EXECUTION ROADMAP</w:t>
      </w:r>
    </w:p>
    <w:p w14:paraId="05FBF214" w14:textId="77777777" w:rsidR="005F453D" w:rsidRDefault="00000000">
      <w:pPr>
        <w:spacing w:before="315" w:after="105" w:line="360" w:lineRule="auto"/>
        <w:ind w:left="-30"/>
      </w:pPr>
      <w:r>
        <w:rPr>
          <w:rFonts w:ascii="inter" w:eastAsia="inter" w:hAnsi="inter" w:cs="inter"/>
          <w:b/>
          <w:color w:val="000000"/>
          <w:sz w:val="24"/>
        </w:rPr>
        <w:t>6.1 Risk Management</w:t>
      </w:r>
    </w:p>
    <w:p w14:paraId="05FBF215" w14:textId="77777777" w:rsidR="005F453D" w:rsidRDefault="00000000">
      <w:pPr>
        <w:spacing w:before="315" w:after="105" w:line="360" w:lineRule="auto"/>
        <w:ind w:left="-30"/>
      </w:pPr>
      <w:r>
        <w:rPr>
          <w:rFonts w:ascii="inter" w:eastAsia="inter" w:hAnsi="inter" w:cs="inter"/>
          <w:b/>
          <w:color w:val="000000"/>
          <w:sz w:val="24"/>
        </w:rPr>
        <w:t>6.1.1 Market &amp; Policy Risk</w:t>
      </w:r>
    </w:p>
    <w:p w14:paraId="05FBF216" w14:textId="77777777" w:rsidR="005F453D" w:rsidRDefault="00000000">
      <w:pPr>
        <w:spacing w:after="210" w:line="360" w:lineRule="auto"/>
      </w:pPr>
      <w:r>
        <w:rPr>
          <w:rFonts w:ascii="inter" w:eastAsia="inter" w:hAnsi="inter" w:cs="inter"/>
          <w:color w:val="000000"/>
        </w:rPr>
        <w:t>UGAE will hedge early by operating in multiple regulatory environments and sector verticals, not relying solely on any one market or client group.</w:t>
      </w:r>
    </w:p>
    <w:p w14:paraId="05FBF217" w14:textId="77777777" w:rsidR="005F453D" w:rsidRDefault="00000000">
      <w:pPr>
        <w:spacing w:before="315" w:after="105" w:line="360" w:lineRule="auto"/>
        <w:ind w:left="-30"/>
      </w:pPr>
      <w:r>
        <w:rPr>
          <w:rFonts w:ascii="inter" w:eastAsia="inter" w:hAnsi="inter" w:cs="inter"/>
          <w:b/>
          <w:color w:val="000000"/>
          <w:sz w:val="24"/>
        </w:rPr>
        <w:t>6.1.2 Execution &amp; Team Risk</w:t>
      </w:r>
    </w:p>
    <w:p w14:paraId="05FBF218" w14:textId="77777777" w:rsidR="005F453D" w:rsidRDefault="00000000">
      <w:pPr>
        <w:spacing w:after="210" w:line="360" w:lineRule="auto"/>
      </w:pPr>
      <w:r>
        <w:rPr>
          <w:rFonts w:ascii="inter" w:eastAsia="inter" w:hAnsi="inter" w:cs="inter"/>
          <w:color w:val="000000"/>
        </w:rPr>
        <w:t>Our use of local partners, modular hiring, and continuous training mitigates the risk of local barriers or key personnel turnover.</w:t>
      </w:r>
    </w:p>
    <w:p w14:paraId="05FBF219" w14:textId="77777777" w:rsidR="005F453D" w:rsidRDefault="00000000">
      <w:pPr>
        <w:spacing w:before="315" w:after="105" w:line="360" w:lineRule="auto"/>
        <w:ind w:left="-30"/>
      </w:pPr>
      <w:r>
        <w:rPr>
          <w:rFonts w:ascii="inter" w:eastAsia="inter" w:hAnsi="inter" w:cs="inter"/>
          <w:b/>
          <w:color w:val="000000"/>
          <w:sz w:val="24"/>
        </w:rPr>
        <w:t>6.1.3 Financial &amp; Investment Risk</w:t>
      </w:r>
    </w:p>
    <w:p w14:paraId="05FBF21A" w14:textId="77777777" w:rsidR="005F453D" w:rsidRDefault="00000000">
      <w:pPr>
        <w:spacing w:after="210" w:line="360" w:lineRule="auto"/>
      </w:pPr>
      <w:r>
        <w:rPr>
          <w:rFonts w:ascii="inter" w:eastAsia="inter" w:hAnsi="inter" w:cs="inter"/>
          <w:color w:val="000000"/>
        </w:rPr>
        <w:t>Prudent milestone-based spending, strict client screening, and a focus on impact/venture hybrid capital insulates UGAE from the worst systemic shocks.</w:t>
      </w:r>
    </w:p>
    <w:p w14:paraId="05FBF21B" w14:textId="77777777" w:rsidR="005F453D" w:rsidRDefault="00000000">
      <w:pPr>
        <w:spacing w:before="315" w:after="105" w:line="360" w:lineRule="auto"/>
        <w:ind w:left="-30"/>
      </w:pPr>
      <w:r>
        <w:rPr>
          <w:rFonts w:ascii="inter" w:eastAsia="inter" w:hAnsi="inter" w:cs="inter"/>
          <w:b/>
          <w:color w:val="000000"/>
          <w:sz w:val="24"/>
        </w:rPr>
        <w:t>6.2 Impact Measurement</w:t>
      </w:r>
    </w:p>
    <w:p w14:paraId="05FBF21C" w14:textId="77777777" w:rsidR="005F453D" w:rsidRDefault="00000000">
      <w:pPr>
        <w:spacing w:after="210" w:line="360" w:lineRule="auto"/>
      </w:pPr>
      <w:r>
        <w:rPr>
          <w:rFonts w:ascii="inter" w:eastAsia="inter" w:hAnsi="inter" w:cs="inter"/>
          <w:color w:val="000000"/>
        </w:rPr>
        <w:t>Each project is tracked by energy delivered, CO2 reductions, jobs created, and likelihood of further funding (Series A). UGAE is committed to transparent, third-party audited impact reporting as standard.</w:t>
      </w:r>
    </w:p>
    <w:p w14:paraId="05FBF21D" w14:textId="77777777" w:rsidR="005F453D" w:rsidRDefault="00000000">
      <w:pPr>
        <w:spacing w:after="210" w:line="360" w:lineRule="auto"/>
      </w:pPr>
      <w:r>
        <w:rPr>
          <w:rFonts w:ascii="inter" w:eastAsia="inter" w:hAnsi="inter" w:cs="inter"/>
          <w:b/>
          <w:color w:val="000000"/>
        </w:rPr>
        <w:t>Table 6. Sample Impact Metrics (5-Year Goals)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0"/>
        <w:gridCol w:w="787"/>
        <w:gridCol w:w="925"/>
      </w:tblGrid>
      <w:tr w:rsidR="005F453D" w14:paraId="05FBF2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21E" w14:textId="77777777" w:rsidR="005F453D"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05FBF21F" w14:textId="77777777" w:rsidR="005F453D" w:rsidRDefault="00000000">
            <w:pPr>
              <w:spacing w:line="360" w:lineRule="auto"/>
            </w:pPr>
            <w:r>
              <w:rPr>
                <w:rFonts w:ascii="inter" w:eastAsia="inter" w:hAnsi="inter" w:cs="inter"/>
                <w:color w:val="000000"/>
                <w:sz w:val="17"/>
              </w:rPr>
              <w:t>Year 1</w:t>
            </w:r>
          </w:p>
        </w:tc>
        <w:tc>
          <w:tcPr>
            <w:tcW w:w="0" w:type="auto"/>
            <w:tcBorders>
              <w:top w:val="single" w:sz="1" w:space="0" w:color="000000"/>
              <w:bottom w:val="single" w:sz="1" w:space="0" w:color="000000"/>
            </w:tcBorders>
          </w:tcPr>
          <w:p w14:paraId="05FBF220" w14:textId="77777777" w:rsidR="005F453D" w:rsidRDefault="00000000">
            <w:pPr>
              <w:spacing w:line="360" w:lineRule="auto"/>
            </w:pPr>
            <w:r>
              <w:rPr>
                <w:rFonts w:ascii="inter" w:eastAsia="inter" w:hAnsi="inter" w:cs="inter"/>
                <w:color w:val="000000"/>
                <w:sz w:val="17"/>
              </w:rPr>
              <w:t>Year 5</w:t>
            </w:r>
          </w:p>
        </w:tc>
      </w:tr>
      <w:tr w:rsidR="005F453D" w14:paraId="05FBF2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222" w14:textId="77777777" w:rsidR="005F453D" w:rsidRDefault="00000000">
            <w:pPr>
              <w:spacing w:line="360" w:lineRule="auto"/>
            </w:pPr>
            <w:r>
              <w:rPr>
                <w:rFonts w:ascii="inter" w:eastAsia="inter" w:hAnsi="inter" w:cs="inter"/>
                <w:color w:val="000000"/>
                <w:sz w:val="17"/>
              </w:rPr>
              <w:t>Clean energy MW</w:t>
            </w:r>
          </w:p>
        </w:tc>
        <w:tc>
          <w:tcPr>
            <w:tcW w:w="0" w:type="auto"/>
            <w:tcBorders>
              <w:top w:val="single" w:sz="1" w:space="0" w:color="000000"/>
              <w:bottom w:val="single" w:sz="1" w:space="0" w:color="000000"/>
              <w:right w:val="single" w:sz="1" w:space="0" w:color="000000"/>
            </w:tcBorders>
          </w:tcPr>
          <w:p w14:paraId="05FBF223" w14:textId="77777777" w:rsidR="005F453D"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tcBorders>
          </w:tcPr>
          <w:p w14:paraId="05FBF224" w14:textId="77777777" w:rsidR="005F453D" w:rsidRDefault="00000000">
            <w:pPr>
              <w:spacing w:line="360" w:lineRule="auto"/>
            </w:pPr>
            <w:r>
              <w:rPr>
                <w:rFonts w:ascii="inter" w:eastAsia="inter" w:hAnsi="inter" w:cs="inter"/>
                <w:color w:val="000000"/>
                <w:sz w:val="17"/>
              </w:rPr>
              <w:t>150</w:t>
            </w:r>
          </w:p>
        </w:tc>
      </w:tr>
      <w:tr w:rsidR="005F453D" w14:paraId="05FBF2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226" w14:textId="77777777" w:rsidR="005F453D" w:rsidRDefault="00000000">
            <w:pPr>
              <w:spacing w:line="360" w:lineRule="auto"/>
            </w:pPr>
            <w:r>
              <w:rPr>
                <w:rFonts w:ascii="inter" w:eastAsia="inter" w:hAnsi="inter" w:cs="inter"/>
                <w:color w:val="000000"/>
                <w:sz w:val="17"/>
              </w:rPr>
              <w:t>CO2 avoided (tons)</w:t>
            </w:r>
          </w:p>
        </w:tc>
        <w:tc>
          <w:tcPr>
            <w:tcW w:w="0" w:type="auto"/>
            <w:tcBorders>
              <w:top w:val="single" w:sz="1" w:space="0" w:color="000000"/>
              <w:bottom w:val="single" w:sz="1" w:space="0" w:color="000000"/>
              <w:right w:val="single" w:sz="1" w:space="0" w:color="000000"/>
            </w:tcBorders>
          </w:tcPr>
          <w:p w14:paraId="05FBF227" w14:textId="77777777" w:rsidR="005F453D" w:rsidRDefault="00000000">
            <w:pPr>
              <w:spacing w:line="360" w:lineRule="auto"/>
            </w:pPr>
            <w:r>
              <w:rPr>
                <w:rFonts w:ascii="inter" w:eastAsia="inter" w:hAnsi="inter" w:cs="inter"/>
                <w:color w:val="000000"/>
                <w:sz w:val="17"/>
              </w:rPr>
              <w:t>5,000</w:t>
            </w:r>
          </w:p>
        </w:tc>
        <w:tc>
          <w:tcPr>
            <w:tcW w:w="0" w:type="auto"/>
            <w:tcBorders>
              <w:top w:val="single" w:sz="1" w:space="0" w:color="000000"/>
              <w:bottom w:val="single" w:sz="1" w:space="0" w:color="000000"/>
            </w:tcBorders>
          </w:tcPr>
          <w:p w14:paraId="05FBF228" w14:textId="77777777" w:rsidR="005F453D" w:rsidRDefault="00000000">
            <w:pPr>
              <w:spacing w:line="360" w:lineRule="auto"/>
            </w:pPr>
            <w:r>
              <w:rPr>
                <w:rFonts w:ascii="inter" w:eastAsia="inter" w:hAnsi="inter" w:cs="inter"/>
                <w:color w:val="000000"/>
                <w:sz w:val="17"/>
              </w:rPr>
              <w:t>100,000</w:t>
            </w:r>
          </w:p>
        </w:tc>
      </w:tr>
      <w:tr w:rsidR="005F453D" w14:paraId="05FBF2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22A" w14:textId="77777777" w:rsidR="005F453D" w:rsidRDefault="00000000">
            <w:pPr>
              <w:spacing w:line="360" w:lineRule="auto"/>
            </w:pPr>
            <w:r>
              <w:rPr>
                <w:rFonts w:ascii="inter" w:eastAsia="inter" w:hAnsi="inter" w:cs="inter"/>
                <w:color w:val="000000"/>
                <w:sz w:val="17"/>
              </w:rPr>
              <w:t>Jobs created</w:t>
            </w:r>
          </w:p>
        </w:tc>
        <w:tc>
          <w:tcPr>
            <w:tcW w:w="0" w:type="auto"/>
            <w:tcBorders>
              <w:top w:val="single" w:sz="1" w:space="0" w:color="000000"/>
              <w:bottom w:val="single" w:sz="1" w:space="0" w:color="000000"/>
              <w:right w:val="single" w:sz="1" w:space="0" w:color="000000"/>
            </w:tcBorders>
          </w:tcPr>
          <w:p w14:paraId="05FBF22B" w14:textId="77777777" w:rsidR="005F453D" w:rsidRDefault="00000000">
            <w:pPr>
              <w:spacing w:line="360" w:lineRule="auto"/>
            </w:pPr>
            <w:r>
              <w:rPr>
                <w:rFonts w:ascii="inter" w:eastAsia="inter" w:hAnsi="inter" w:cs="inter"/>
                <w:color w:val="000000"/>
                <w:sz w:val="17"/>
              </w:rPr>
              <w:t>100</w:t>
            </w:r>
          </w:p>
        </w:tc>
        <w:tc>
          <w:tcPr>
            <w:tcW w:w="0" w:type="auto"/>
            <w:tcBorders>
              <w:top w:val="single" w:sz="1" w:space="0" w:color="000000"/>
              <w:bottom w:val="single" w:sz="1" w:space="0" w:color="000000"/>
            </w:tcBorders>
          </w:tcPr>
          <w:p w14:paraId="05FBF22C" w14:textId="77777777" w:rsidR="005F453D" w:rsidRDefault="00000000">
            <w:pPr>
              <w:spacing w:line="360" w:lineRule="auto"/>
            </w:pPr>
            <w:r>
              <w:rPr>
                <w:rFonts w:ascii="inter" w:eastAsia="inter" w:hAnsi="inter" w:cs="inter"/>
                <w:color w:val="000000"/>
                <w:sz w:val="17"/>
              </w:rPr>
              <w:t>1,500</w:t>
            </w:r>
          </w:p>
        </w:tc>
      </w:tr>
      <w:tr w:rsidR="005F453D" w14:paraId="05FBF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BF22E" w14:textId="77777777" w:rsidR="005F453D" w:rsidRDefault="00000000">
            <w:pPr>
              <w:spacing w:line="360" w:lineRule="auto"/>
            </w:pPr>
            <w:r>
              <w:rPr>
                <w:rFonts w:ascii="inter" w:eastAsia="inter" w:hAnsi="inter" w:cs="inter"/>
                <w:color w:val="000000"/>
                <w:sz w:val="17"/>
              </w:rPr>
              <w:t>Startups supported</w:t>
            </w:r>
          </w:p>
        </w:tc>
        <w:tc>
          <w:tcPr>
            <w:tcW w:w="0" w:type="auto"/>
            <w:tcBorders>
              <w:top w:val="single" w:sz="1" w:space="0" w:color="000000"/>
              <w:bottom w:val="single" w:sz="1" w:space="0" w:color="000000"/>
              <w:right w:val="single" w:sz="1" w:space="0" w:color="000000"/>
            </w:tcBorders>
          </w:tcPr>
          <w:p w14:paraId="05FBF22F" w14:textId="77777777" w:rsidR="005F453D"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05FBF230" w14:textId="77777777" w:rsidR="005F453D" w:rsidRDefault="00000000">
            <w:pPr>
              <w:spacing w:line="360" w:lineRule="auto"/>
            </w:pPr>
            <w:r>
              <w:rPr>
                <w:rFonts w:ascii="inter" w:eastAsia="inter" w:hAnsi="inter" w:cs="inter"/>
                <w:color w:val="000000"/>
                <w:sz w:val="17"/>
              </w:rPr>
              <w:t>120</w:t>
            </w:r>
          </w:p>
        </w:tc>
      </w:tr>
    </w:tbl>
    <w:p w14:paraId="05FBF232" w14:textId="77777777" w:rsidR="005F453D" w:rsidRDefault="005F453D"/>
    <w:p w14:paraId="05FBF233" w14:textId="77777777" w:rsidR="005F453D" w:rsidRDefault="00000000">
      <w:pPr>
        <w:spacing w:after="210" w:line="360" w:lineRule="auto"/>
      </w:pPr>
      <w:r>
        <w:rPr>
          <w:rFonts w:ascii="inter" w:eastAsia="inter" w:hAnsi="inter" w:cs="inter"/>
          <w:i/>
          <w:color w:val="000000"/>
        </w:rPr>
        <w:lastRenderedPageBreak/>
        <w:t>Impact tracking anchors UGAE’s value proposition. By setting targets for energy, carbon, and jobs, we align internal incentives, external reporting, and long-run value creation for society and our investors.</w:t>
      </w:r>
    </w:p>
    <w:p w14:paraId="05FBF234" w14:textId="77777777" w:rsidR="005F453D" w:rsidRDefault="00000000">
      <w:pPr>
        <w:spacing w:before="315" w:after="105" w:line="360" w:lineRule="auto"/>
        <w:ind w:left="-30"/>
      </w:pPr>
      <w:r>
        <w:rPr>
          <w:rFonts w:ascii="inter" w:eastAsia="inter" w:hAnsi="inter" w:cs="inter"/>
          <w:b/>
          <w:color w:val="000000"/>
          <w:sz w:val="24"/>
        </w:rPr>
        <w:t>6.3 Implementation &amp; Growth Roadmap</w:t>
      </w:r>
    </w:p>
    <w:p w14:paraId="05FBF235" w14:textId="77777777" w:rsidR="005F453D" w:rsidRDefault="00000000">
      <w:pPr>
        <w:spacing w:after="210" w:line="360" w:lineRule="auto"/>
      </w:pPr>
      <w:r>
        <w:rPr>
          <w:rFonts w:ascii="inter" w:eastAsia="inter" w:hAnsi="inter" w:cs="inter"/>
          <w:color w:val="000000"/>
        </w:rPr>
        <w:t>Activities follow a clear quarterly plan: initial team build-up, first market entries, and pilot platform launch in Year 1; foundation partnerships and digital expansion in Year 2; and cross-continental scaling from Year 3 onward. Every major milestone has both operational and impact-related KPIs attached.</w:t>
      </w:r>
    </w:p>
    <w:p w14:paraId="05FBF236" w14:textId="77777777" w:rsidR="005F453D" w:rsidRDefault="00000000">
      <w:pPr>
        <w:spacing w:before="210" w:after="0" w:line="360" w:lineRule="auto"/>
      </w:pPr>
      <w:r>
        <w:rPr>
          <w:noProof/>
        </w:rPr>
      </w:r>
      <w:r>
        <w:rPr>
          <w:noProof/>
        </w:rPr>
        <w:pict w14:anchorId="05FBF24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BF237" w14:textId="77777777" w:rsidR="005F453D" w:rsidRDefault="00000000">
      <w:pPr>
        <w:spacing w:before="315" w:after="105" w:line="360" w:lineRule="auto"/>
        <w:ind w:left="-30"/>
      </w:pPr>
      <w:r>
        <w:rPr>
          <w:rFonts w:ascii="inter" w:eastAsia="inter" w:hAnsi="inter" w:cs="inter"/>
          <w:b/>
          <w:color w:val="000000"/>
          <w:sz w:val="24"/>
        </w:rPr>
        <w:t>Contact</w:t>
      </w:r>
    </w:p>
    <w:p w14:paraId="05FBF238" w14:textId="77777777" w:rsidR="005F453D" w:rsidRDefault="00000000">
      <w:pPr>
        <w:spacing w:after="210" w:line="360" w:lineRule="auto"/>
      </w:pPr>
      <w:r>
        <w:rPr>
          <w:rFonts w:ascii="inter" w:eastAsia="inter" w:hAnsi="inter" w:cs="inter"/>
          <w:color w:val="000000"/>
        </w:rPr>
        <w:t>Universal Green Accelerator Ecosystem (UGAE PTE. LTD.)</w:t>
      </w:r>
      <w:r>
        <w:rPr>
          <w:rFonts w:ascii="inter" w:eastAsia="inter" w:hAnsi="inter" w:cs="inter"/>
          <w:color w:val="000000"/>
        </w:rPr>
        <w:br/>
        <w:t>Registered Office: 160 Robinson Road, #24-09, Singapore 068914</w:t>
      </w:r>
      <w:r>
        <w:rPr>
          <w:rFonts w:ascii="inter" w:eastAsia="inter" w:hAnsi="inter" w:cs="inter"/>
          <w:color w:val="000000"/>
        </w:rPr>
        <w:br/>
        <w:t xml:space="preserve">Contact: </w:t>
      </w:r>
      <w:hyperlink r:id="rId5">
        <w:r w:rsidR="005F453D">
          <w:rPr>
            <w:rFonts w:ascii="inter" w:eastAsia="inter" w:hAnsi="inter" w:cs="inter"/>
            <w:u w:val="single"/>
          </w:rPr>
          <w:t>investors@ugae.org</w:t>
        </w:r>
      </w:hyperlink>
      <w:r>
        <w:rPr>
          <w:rFonts w:ascii="inter" w:eastAsia="inter" w:hAnsi="inter" w:cs="inter"/>
          <w:color w:val="000000"/>
        </w:rPr>
        <w:br/>
        <w:t xml:space="preserve">Website: </w:t>
      </w:r>
      <w:hyperlink r:id="rId6">
        <w:r w:rsidR="005F453D">
          <w:rPr>
            <w:rFonts w:ascii="inter" w:eastAsia="inter" w:hAnsi="inter" w:cs="inter"/>
            <w:u w:val="single"/>
          </w:rPr>
          <w:t>www.ugae.org</w:t>
        </w:r>
      </w:hyperlink>
    </w:p>
    <w:p w14:paraId="05FBF239" w14:textId="77777777" w:rsidR="005F453D" w:rsidRDefault="00000000">
      <w:pPr>
        <w:spacing w:before="210" w:after="0" w:line="360" w:lineRule="auto"/>
      </w:pPr>
      <w:r>
        <w:rPr>
          <w:noProof/>
        </w:rPr>
      </w:r>
      <w:r>
        <w:rPr>
          <w:noProof/>
        </w:rPr>
        <w:pict w14:anchorId="05FBF24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15D157" w14:textId="77777777" w:rsidR="000524A4" w:rsidRDefault="00000000">
      <w:pPr>
        <w:spacing w:after="210" w:line="360" w:lineRule="auto"/>
        <w:rPr>
          <w:rFonts w:ascii="inter" w:eastAsia="inter" w:hAnsi="inter" w:cs="inter"/>
          <w:i/>
          <w:color w:val="000000"/>
        </w:rPr>
      </w:pPr>
      <w:r>
        <w:rPr>
          <w:rFonts w:ascii="inter" w:eastAsia="inter" w:hAnsi="inter" w:cs="inter"/>
          <w:i/>
          <w:color w:val="000000"/>
        </w:rPr>
        <w:t>Bridging Continents, Powering Clean Energy, Creating Sustainable Impact</w:t>
      </w:r>
    </w:p>
    <w:p w14:paraId="05FBF23A" w14:textId="1E81E56B" w:rsidR="005F453D" w:rsidRPr="000524A4" w:rsidRDefault="005F453D" w:rsidP="000524A4"/>
    <w:sectPr w:rsidR="005F453D" w:rsidRPr="000524A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DE4"/>
    <w:multiLevelType w:val="hybridMultilevel"/>
    <w:tmpl w:val="901626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34551DC"/>
    <w:multiLevelType w:val="hybridMultilevel"/>
    <w:tmpl w:val="60982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9237C0"/>
    <w:multiLevelType w:val="hybridMultilevel"/>
    <w:tmpl w:val="05DADF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9745ECE"/>
    <w:multiLevelType w:val="hybridMultilevel"/>
    <w:tmpl w:val="B31AA3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4AB1EE1"/>
    <w:multiLevelType w:val="hybridMultilevel"/>
    <w:tmpl w:val="9F425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4C729AA"/>
    <w:multiLevelType w:val="hybridMultilevel"/>
    <w:tmpl w:val="395036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A776A61"/>
    <w:multiLevelType w:val="hybridMultilevel"/>
    <w:tmpl w:val="97AA04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DF85F40"/>
    <w:multiLevelType w:val="hybridMultilevel"/>
    <w:tmpl w:val="DB90DC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24649540">
    <w:abstractNumId w:val="3"/>
  </w:num>
  <w:num w:numId="2" w16cid:durableId="1609849366">
    <w:abstractNumId w:val="5"/>
  </w:num>
  <w:num w:numId="3" w16cid:durableId="1080757044">
    <w:abstractNumId w:val="0"/>
  </w:num>
  <w:num w:numId="4" w16cid:durableId="1988585838">
    <w:abstractNumId w:val="7"/>
  </w:num>
  <w:num w:numId="5" w16cid:durableId="1267152690">
    <w:abstractNumId w:val="4"/>
  </w:num>
  <w:num w:numId="6" w16cid:durableId="2147233248">
    <w:abstractNumId w:val="2"/>
  </w:num>
  <w:num w:numId="7" w16cid:durableId="1389185072">
    <w:abstractNumId w:val="1"/>
  </w:num>
  <w:num w:numId="8" w16cid:durableId="846097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53D"/>
    <w:rsid w:val="00012DDA"/>
    <w:rsid w:val="00020AC9"/>
    <w:rsid w:val="000524A4"/>
    <w:rsid w:val="003B21F6"/>
    <w:rsid w:val="004B2FBA"/>
    <w:rsid w:val="005F453D"/>
    <w:rsid w:val="00612942"/>
    <w:rsid w:val="006F7B59"/>
    <w:rsid w:val="00774110"/>
    <w:rsid w:val="007F27A3"/>
    <w:rsid w:val="008228E4"/>
    <w:rsid w:val="00950C8C"/>
    <w:rsid w:val="00A037EC"/>
    <w:rsid w:val="00BA3320"/>
    <w:rsid w:val="00BF6FB2"/>
    <w:rsid w:val="00CD5BD9"/>
    <w:rsid w:val="00D23FF2"/>
    <w:rsid w:val="00E84288"/>
    <w:rsid w:val="00F744F9"/>
    <w:rsid w:val="00FF6B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5FBF12A"/>
  <w15:docId w15:val="{8026DA6B-97FD-4C05-B63B-3CCCDF80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C8C"/>
  </w:style>
  <w:style w:type="paragraph" w:styleId="Titre1">
    <w:name w:val="heading 1"/>
    <w:basedOn w:val="Normal"/>
    <w:next w:val="Normal"/>
    <w:link w:val="Titre1Car"/>
    <w:uiPriority w:val="9"/>
    <w:qFormat/>
    <w:rsid w:val="00950C8C"/>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50C8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semiHidden/>
    <w:unhideWhenUsed/>
    <w:qFormat/>
    <w:rsid w:val="00950C8C"/>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950C8C"/>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950C8C"/>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950C8C"/>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950C8C"/>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950C8C"/>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950C8C"/>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 w:type="character" w:customStyle="1" w:styleId="Titre1Car">
    <w:name w:val="Titre 1 Car"/>
    <w:basedOn w:val="Policepardfaut"/>
    <w:link w:val="Titre1"/>
    <w:uiPriority w:val="9"/>
    <w:rsid w:val="00950C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50C8C"/>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semiHidden/>
    <w:rsid w:val="00950C8C"/>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950C8C"/>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950C8C"/>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950C8C"/>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950C8C"/>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950C8C"/>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950C8C"/>
    <w:rPr>
      <w:b/>
      <w:bCs/>
      <w:i/>
      <w:iCs/>
    </w:rPr>
  </w:style>
  <w:style w:type="paragraph" w:styleId="Lgende">
    <w:name w:val="caption"/>
    <w:basedOn w:val="Normal"/>
    <w:next w:val="Normal"/>
    <w:uiPriority w:val="35"/>
    <w:semiHidden/>
    <w:unhideWhenUsed/>
    <w:qFormat/>
    <w:rsid w:val="00950C8C"/>
    <w:pPr>
      <w:spacing w:line="240" w:lineRule="auto"/>
    </w:pPr>
    <w:rPr>
      <w:b/>
      <w:bCs/>
      <w:color w:val="404040" w:themeColor="text1" w:themeTint="BF"/>
      <w:sz w:val="16"/>
      <w:szCs w:val="16"/>
    </w:rPr>
  </w:style>
  <w:style w:type="paragraph" w:styleId="Titre">
    <w:name w:val="Title"/>
    <w:basedOn w:val="Normal"/>
    <w:next w:val="Normal"/>
    <w:link w:val="TitreCar"/>
    <w:uiPriority w:val="10"/>
    <w:qFormat/>
    <w:rsid w:val="00950C8C"/>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reCar">
    <w:name w:val="Titre Car"/>
    <w:basedOn w:val="Policepardfaut"/>
    <w:link w:val="Titre"/>
    <w:uiPriority w:val="10"/>
    <w:rsid w:val="00950C8C"/>
    <w:rPr>
      <w:rFonts w:asciiTheme="majorHAnsi" w:eastAsiaTheme="majorEastAsia" w:hAnsiTheme="majorHAnsi" w:cstheme="majorBidi"/>
      <w:caps/>
      <w:color w:val="0E2841" w:themeColor="text2"/>
      <w:spacing w:val="30"/>
      <w:sz w:val="72"/>
      <w:szCs w:val="72"/>
    </w:rPr>
  </w:style>
  <w:style w:type="paragraph" w:styleId="Sous-titre">
    <w:name w:val="Subtitle"/>
    <w:basedOn w:val="Normal"/>
    <w:next w:val="Normal"/>
    <w:link w:val="Sous-titreCar"/>
    <w:uiPriority w:val="11"/>
    <w:qFormat/>
    <w:rsid w:val="00950C8C"/>
    <w:pPr>
      <w:numPr>
        <w:ilvl w:val="1"/>
      </w:numPr>
      <w:jc w:val="center"/>
    </w:pPr>
    <w:rPr>
      <w:color w:val="0E2841" w:themeColor="text2"/>
      <w:sz w:val="28"/>
      <w:szCs w:val="28"/>
    </w:rPr>
  </w:style>
  <w:style w:type="character" w:customStyle="1" w:styleId="Sous-titreCar">
    <w:name w:val="Sous-titre Car"/>
    <w:basedOn w:val="Policepardfaut"/>
    <w:link w:val="Sous-titre"/>
    <w:uiPriority w:val="11"/>
    <w:rsid w:val="00950C8C"/>
    <w:rPr>
      <w:color w:val="0E2841" w:themeColor="text2"/>
      <w:sz w:val="28"/>
      <w:szCs w:val="28"/>
    </w:rPr>
  </w:style>
  <w:style w:type="character" w:styleId="lev">
    <w:name w:val="Strong"/>
    <w:basedOn w:val="Policepardfaut"/>
    <w:uiPriority w:val="22"/>
    <w:qFormat/>
    <w:rsid w:val="00950C8C"/>
    <w:rPr>
      <w:b/>
      <w:bCs/>
    </w:rPr>
  </w:style>
  <w:style w:type="character" w:styleId="Accentuation">
    <w:name w:val="Emphasis"/>
    <w:basedOn w:val="Policepardfaut"/>
    <w:uiPriority w:val="20"/>
    <w:qFormat/>
    <w:rsid w:val="00950C8C"/>
    <w:rPr>
      <w:i/>
      <w:iCs/>
      <w:color w:val="000000" w:themeColor="text1"/>
    </w:rPr>
  </w:style>
  <w:style w:type="paragraph" w:styleId="Sansinterligne">
    <w:name w:val="No Spacing"/>
    <w:uiPriority w:val="1"/>
    <w:qFormat/>
    <w:rsid w:val="00950C8C"/>
    <w:pPr>
      <w:spacing w:after="0" w:line="240" w:lineRule="auto"/>
    </w:pPr>
  </w:style>
  <w:style w:type="paragraph" w:styleId="Citation">
    <w:name w:val="Quote"/>
    <w:basedOn w:val="Normal"/>
    <w:next w:val="Normal"/>
    <w:link w:val="CitationCar"/>
    <w:uiPriority w:val="29"/>
    <w:qFormat/>
    <w:rsid w:val="00950C8C"/>
    <w:pPr>
      <w:spacing w:before="160"/>
      <w:ind w:left="720" w:right="720"/>
      <w:jc w:val="center"/>
    </w:pPr>
    <w:rPr>
      <w:i/>
      <w:iCs/>
      <w:color w:val="124F1A" w:themeColor="accent3" w:themeShade="BF"/>
      <w:sz w:val="24"/>
      <w:szCs w:val="24"/>
    </w:rPr>
  </w:style>
  <w:style w:type="character" w:customStyle="1" w:styleId="CitationCar">
    <w:name w:val="Citation Car"/>
    <w:basedOn w:val="Policepardfaut"/>
    <w:link w:val="Citation"/>
    <w:uiPriority w:val="29"/>
    <w:rsid w:val="00950C8C"/>
    <w:rPr>
      <w:i/>
      <w:iCs/>
      <w:color w:val="124F1A" w:themeColor="accent3" w:themeShade="BF"/>
      <w:sz w:val="24"/>
      <w:szCs w:val="24"/>
    </w:rPr>
  </w:style>
  <w:style w:type="paragraph" w:styleId="Citationintense">
    <w:name w:val="Intense Quote"/>
    <w:basedOn w:val="Normal"/>
    <w:next w:val="Normal"/>
    <w:link w:val="CitationintenseCar"/>
    <w:uiPriority w:val="30"/>
    <w:qFormat/>
    <w:rsid w:val="00950C8C"/>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tionintenseCar">
    <w:name w:val="Citation intense Car"/>
    <w:basedOn w:val="Policepardfaut"/>
    <w:link w:val="Citationintense"/>
    <w:uiPriority w:val="30"/>
    <w:rsid w:val="00950C8C"/>
    <w:rPr>
      <w:rFonts w:asciiTheme="majorHAnsi" w:eastAsiaTheme="majorEastAsia" w:hAnsiTheme="majorHAnsi" w:cstheme="majorBidi"/>
      <w:caps/>
      <w:color w:val="0F4761" w:themeColor="accent1" w:themeShade="BF"/>
      <w:sz w:val="28"/>
      <w:szCs w:val="28"/>
    </w:rPr>
  </w:style>
  <w:style w:type="character" w:styleId="Accentuationlgre">
    <w:name w:val="Subtle Emphasis"/>
    <w:basedOn w:val="Policepardfaut"/>
    <w:uiPriority w:val="19"/>
    <w:qFormat/>
    <w:rsid w:val="00950C8C"/>
    <w:rPr>
      <w:i/>
      <w:iCs/>
      <w:color w:val="595959" w:themeColor="text1" w:themeTint="A6"/>
    </w:rPr>
  </w:style>
  <w:style w:type="character" w:styleId="Accentuationintense">
    <w:name w:val="Intense Emphasis"/>
    <w:basedOn w:val="Policepardfaut"/>
    <w:uiPriority w:val="21"/>
    <w:qFormat/>
    <w:rsid w:val="00950C8C"/>
    <w:rPr>
      <w:b/>
      <w:bCs/>
      <w:i/>
      <w:iCs/>
      <w:color w:val="auto"/>
    </w:rPr>
  </w:style>
  <w:style w:type="character" w:styleId="Rfrencelgre">
    <w:name w:val="Subtle Reference"/>
    <w:basedOn w:val="Policepardfaut"/>
    <w:uiPriority w:val="31"/>
    <w:qFormat/>
    <w:rsid w:val="00950C8C"/>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950C8C"/>
    <w:rPr>
      <w:b/>
      <w:bCs/>
      <w:caps w:val="0"/>
      <w:smallCaps/>
      <w:color w:val="auto"/>
      <w:spacing w:val="0"/>
      <w:u w:val="single"/>
    </w:rPr>
  </w:style>
  <w:style w:type="character" w:styleId="Titredulivre">
    <w:name w:val="Book Title"/>
    <w:basedOn w:val="Policepardfaut"/>
    <w:uiPriority w:val="33"/>
    <w:qFormat/>
    <w:rsid w:val="00950C8C"/>
    <w:rPr>
      <w:b/>
      <w:bCs/>
      <w:caps w:val="0"/>
      <w:smallCaps/>
      <w:spacing w:val="0"/>
    </w:rPr>
  </w:style>
  <w:style w:type="paragraph" w:styleId="En-ttedetabledesmatires">
    <w:name w:val="TOC Heading"/>
    <w:basedOn w:val="Titre1"/>
    <w:next w:val="Normal"/>
    <w:uiPriority w:val="39"/>
    <w:semiHidden/>
    <w:unhideWhenUsed/>
    <w:qFormat/>
    <w:rsid w:val="00950C8C"/>
    <w:pPr>
      <w:outlineLvl w:val="9"/>
    </w:pPr>
  </w:style>
  <w:style w:type="paragraph" w:styleId="Paragraphedeliste">
    <w:name w:val="List Paragraph"/>
    <w:basedOn w:val="Normal"/>
    <w:uiPriority w:val="34"/>
    <w:qFormat/>
    <w:rsid w:val="004B2FBA"/>
    <w:pPr>
      <w:ind w:left="720"/>
      <w:contextualSpacing/>
    </w:pPr>
  </w:style>
  <w:style w:type="table" w:styleId="Grilledutableau">
    <w:name w:val="Table Grid"/>
    <w:basedOn w:val="TableauNormal"/>
    <w:uiPriority w:val="39"/>
    <w:rsid w:val="004B2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4B2F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gae.org" TargetMode="External"/><Relationship Id="rId5" Type="http://schemas.openxmlformats.org/officeDocument/2006/relationships/hyperlink" Target="mailto:investors@ugae.or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1705</Words>
  <Characters>10685</Characters>
  <Application>Microsoft Office Word</Application>
  <DocSecurity>0</DocSecurity>
  <Lines>315</Lines>
  <Paragraphs>229</Paragraphs>
  <ScaleCrop>false</ScaleCrop>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JOH GARCIA</cp:lastModifiedBy>
  <cp:revision>18</cp:revision>
  <dcterms:created xsi:type="dcterms:W3CDTF">2025-08-24T12:23:00Z</dcterms:created>
  <dcterms:modified xsi:type="dcterms:W3CDTF">2025-11-18T20:48:00Z</dcterms:modified>
</cp:coreProperties>
</file>