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904" w:rsidRDefault="00907904" w:rsidP="00907904">
      <w:pPr>
        <w:pBdr>
          <w:top w:val="single" w:sz="4" w:space="1" w:color="auto"/>
          <w:left w:val="single" w:sz="4" w:space="4" w:color="auto"/>
          <w:bottom w:val="single" w:sz="4" w:space="1" w:color="auto"/>
          <w:right w:val="single" w:sz="4" w:space="4" w:color="auto"/>
        </w:pBdr>
        <w:jc w:val="center"/>
        <w:rPr>
          <w:rFonts w:ascii="Verdana" w:hAnsi="Verdana"/>
          <w:b/>
        </w:rPr>
      </w:pPr>
      <w:r w:rsidRPr="009E74F5">
        <w:rPr>
          <w:rFonts w:ascii="Verdana" w:hAnsi="Verdana"/>
          <w:b/>
        </w:rPr>
        <w:t>2</w:t>
      </w:r>
      <w:r w:rsidRPr="009E74F5">
        <w:rPr>
          <w:rFonts w:ascii="Verdana" w:hAnsi="Verdana"/>
          <w:b/>
          <w:vertAlign w:val="superscript"/>
        </w:rPr>
        <w:t>eme</w:t>
      </w:r>
      <w:r w:rsidRPr="009E74F5">
        <w:rPr>
          <w:rFonts w:ascii="Verdana" w:hAnsi="Verdana"/>
          <w:b/>
        </w:rPr>
        <w:t xml:space="preserve"> PARTIE : ANALYSE DES COÛTS PARTIELS</w:t>
      </w:r>
    </w:p>
    <w:p w:rsidR="00907904" w:rsidRPr="002A5CA1" w:rsidRDefault="00907904" w:rsidP="00907904">
      <w:pPr>
        <w:jc w:val="both"/>
        <w:rPr>
          <w:rFonts w:ascii="Verdana" w:hAnsi="Verdana"/>
          <w:sz w:val="20"/>
          <w:szCs w:val="20"/>
        </w:rPr>
      </w:pPr>
      <w:r w:rsidRPr="002A5CA1">
        <w:rPr>
          <w:rFonts w:ascii="Verdana" w:hAnsi="Verdana"/>
          <w:sz w:val="20"/>
          <w:szCs w:val="20"/>
        </w:rPr>
        <w:t>La méthode des coûts partiels permet de mettre en évidence des coûts variables par produit et des marges sur coût variables par produit. Cette analyse permet également de déterminer un seuil de rentabilité.</w:t>
      </w:r>
    </w:p>
    <w:p w:rsidR="00907904" w:rsidRDefault="00907904" w:rsidP="00907904">
      <w:pPr>
        <w:jc w:val="both"/>
        <w:rPr>
          <w:rFonts w:ascii="Verdana" w:hAnsi="Verdana"/>
        </w:rPr>
      </w:pPr>
      <w:r w:rsidRPr="003D0084">
        <w:rPr>
          <w:rFonts w:ascii="Verdana" w:hAnsi="Verdana"/>
          <w:b/>
        </w:rPr>
        <w:t>CHAPITRE 1 :</w:t>
      </w:r>
      <w:r>
        <w:rPr>
          <w:rFonts w:ascii="Verdana" w:hAnsi="Verdana"/>
        </w:rPr>
        <w:t xml:space="preserve"> LA METHODE DES</w:t>
      </w:r>
      <w:r w:rsidRPr="007C08A9">
        <w:rPr>
          <w:rFonts w:ascii="Verdana" w:hAnsi="Verdana"/>
        </w:rPr>
        <w:t xml:space="preserve"> COUTS VARIABLES</w:t>
      </w:r>
    </w:p>
    <w:p w:rsidR="00907904" w:rsidRDefault="00907904" w:rsidP="00907904">
      <w:pPr>
        <w:jc w:val="both"/>
        <w:rPr>
          <w:rFonts w:ascii="Verdana" w:hAnsi="Verdana"/>
        </w:rPr>
      </w:pPr>
      <w:r w:rsidRPr="003D0084">
        <w:rPr>
          <w:rFonts w:ascii="Verdana" w:hAnsi="Verdana"/>
          <w:b/>
        </w:rPr>
        <w:t xml:space="preserve">SECTION I : </w:t>
      </w:r>
      <w:r>
        <w:rPr>
          <w:rFonts w:ascii="Verdana" w:hAnsi="Verdana"/>
        </w:rPr>
        <w:t>La variabilité et la fixité des charges</w:t>
      </w:r>
    </w:p>
    <w:p w:rsidR="00907904" w:rsidRPr="003D0084" w:rsidRDefault="00907904" w:rsidP="00907904">
      <w:pPr>
        <w:pStyle w:val="Paragraphedeliste"/>
        <w:numPr>
          <w:ilvl w:val="0"/>
          <w:numId w:val="2"/>
        </w:numPr>
        <w:jc w:val="both"/>
        <w:rPr>
          <w:rFonts w:ascii="Verdana" w:hAnsi="Verdana"/>
          <w:b/>
        </w:rPr>
      </w:pPr>
      <w:r w:rsidRPr="003D0084">
        <w:rPr>
          <w:rFonts w:ascii="Verdana" w:hAnsi="Verdana"/>
          <w:b/>
        </w:rPr>
        <w:t>Analyse du comportement des charges</w:t>
      </w:r>
    </w:p>
    <w:p w:rsidR="00907904" w:rsidRPr="003D0084" w:rsidRDefault="00907904" w:rsidP="00907904">
      <w:pPr>
        <w:pStyle w:val="Paragraphedeliste"/>
        <w:ind w:left="1080"/>
        <w:jc w:val="both"/>
        <w:rPr>
          <w:rFonts w:ascii="Verdana" w:hAnsi="Verdana"/>
        </w:rPr>
      </w:pPr>
    </w:p>
    <w:p w:rsidR="00907904" w:rsidRPr="005C4C92" w:rsidRDefault="00907904" w:rsidP="00907904">
      <w:pPr>
        <w:pStyle w:val="Paragraphedeliste"/>
        <w:numPr>
          <w:ilvl w:val="0"/>
          <w:numId w:val="1"/>
        </w:numPr>
        <w:jc w:val="both"/>
        <w:rPr>
          <w:rFonts w:ascii="Verdana" w:hAnsi="Verdana"/>
          <w:b/>
          <w:sz w:val="24"/>
          <w:szCs w:val="24"/>
        </w:rPr>
      </w:pPr>
      <w:r w:rsidRPr="005C4C92">
        <w:rPr>
          <w:rFonts w:ascii="Verdana" w:hAnsi="Verdana"/>
          <w:b/>
          <w:sz w:val="24"/>
          <w:szCs w:val="24"/>
        </w:rPr>
        <w:t>Charges variables ou charges opérationnelles</w:t>
      </w:r>
    </w:p>
    <w:p w:rsidR="00907904" w:rsidRDefault="00907904" w:rsidP="00907904">
      <w:pPr>
        <w:jc w:val="both"/>
        <w:rPr>
          <w:rFonts w:ascii="Verdana" w:hAnsi="Verdana"/>
        </w:rPr>
      </w:pPr>
      <w:r>
        <w:rPr>
          <w:rFonts w:ascii="Verdana" w:hAnsi="Verdana"/>
        </w:rPr>
        <w:t>Les charges variables sont celles qui souvent proportionnellement au niveau d’activité de l’entreprise. Elles sont étroitement liées à l’activité.</w:t>
      </w:r>
    </w:p>
    <w:p w:rsidR="00907904" w:rsidRDefault="00907904" w:rsidP="00907904">
      <w:pPr>
        <w:jc w:val="both"/>
        <w:rPr>
          <w:rFonts w:ascii="Verdana" w:hAnsi="Verdana"/>
        </w:rPr>
      </w:pPr>
      <w:r>
        <w:rPr>
          <w:rFonts w:ascii="Verdana" w:hAnsi="Verdana"/>
        </w:rPr>
        <w:t>Exemple : matières et fournitures consommé</w:t>
      </w:r>
      <w:r w:rsidR="00ED18B4">
        <w:rPr>
          <w:rFonts w:ascii="Verdana" w:hAnsi="Verdana"/>
        </w:rPr>
        <w:t xml:space="preserve">es, rémunération par pièce, les </w:t>
      </w:r>
      <w:r>
        <w:rPr>
          <w:rFonts w:ascii="Verdana" w:hAnsi="Verdana"/>
        </w:rPr>
        <w:t>consommations d’énergie et les dépenses de petits outillages, les commissions et transports sur vente etc.</w:t>
      </w:r>
    </w:p>
    <w:p w:rsidR="00907904" w:rsidRDefault="00907904" w:rsidP="00907904">
      <w:pPr>
        <w:jc w:val="both"/>
        <w:rPr>
          <w:rFonts w:ascii="Verdana" w:hAnsi="Verdana"/>
          <w:bdr w:val="single" w:sz="4" w:space="0" w:color="auto"/>
        </w:rPr>
      </w:pPr>
      <w:r w:rsidRPr="009456B6">
        <w:rPr>
          <w:rFonts w:ascii="Verdana" w:hAnsi="Verdana"/>
          <w:bdr w:val="single" w:sz="4" w:space="0" w:color="auto"/>
        </w:rPr>
        <w:t>Taux de charges variables = charges variables /Chiffres d’Affaires</w:t>
      </w:r>
    </w:p>
    <w:p w:rsidR="00907904" w:rsidRDefault="00907904" w:rsidP="00907904">
      <w:pPr>
        <w:jc w:val="both"/>
        <w:rPr>
          <w:rFonts w:ascii="Verdana" w:hAnsi="Verdana"/>
          <w:bdr w:val="single" w:sz="4" w:space="0" w:color="auto"/>
        </w:rPr>
      </w:pPr>
      <w:r w:rsidRPr="009456B6">
        <w:rPr>
          <w:rFonts w:ascii="Verdana" w:hAnsi="Verdana"/>
        </w:rPr>
        <w:t xml:space="preserve">La représentation graphique se fera par une </w:t>
      </w:r>
      <w:r>
        <w:rPr>
          <w:rFonts w:ascii="Verdana" w:hAnsi="Verdana"/>
        </w:rPr>
        <w:t xml:space="preserve">droite de la forme : </w:t>
      </w:r>
      <w:r w:rsidRPr="009456B6">
        <w:rPr>
          <w:rFonts w:ascii="Verdana" w:hAnsi="Verdana"/>
          <w:b/>
          <w:sz w:val="28"/>
          <w:szCs w:val="28"/>
        </w:rPr>
        <w:t>Y</w:t>
      </w:r>
      <w:r w:rsidRPr="009456B6">
        <w:rPr>
          <w:rFonts w:ascii="Verdana" w:hAnsi="Verdana"/>
          <w:sz w:val="28"/>
          <w:szCs w:val="28"/>
        </w:rPr>
        <w:t xml:space="preserve"> </w:t>
      </w:r>
      <w:r>
        <w:rPr>
          <w:rFonts w:ascii="Verdana" w:hAnsi="Verdana"/>
        </w:rPr>
        <w:t xml:space="preserve">= </w:t>
      </w:r>
      <w:r w:rsidRPr="009456B6">
        <w:rPr>
          <w:rFonts w:ascii="Verdana" w:hAnsi="Verdana"/>
          <w:b/>
          <w:sz w:val="28"/>
          <w:szCs w:val="28"/>
        </w:rPr>
        <w:t>ax</w:t>
      </w:r>
      <w:r>
        <w:rPr>
          <w:rFonts w:ascii="Verdana" w:hAnsi="Verdana"/>
          <w:bdr w:val="single" w:sz="4" w:space="0" w:color="auto"/>
        </w:rPr>
        <w:t xml:space="preserve"> </w:t>
      </w:r>
      <w:bookmarkStart w:id="0" w:name="_GoBack"/>
      <w:bookmarkEnd w:id="0"/>
    </w:p>
    <w:p w:rsidR="00907904" w:rsidRDefault="00907904" w:rsidP="00907904">
      <w:pPr>
        <w:jc w:val="both"/>
        <w:rPr>
          <w:rFonts w:ascii="Verdana" w:hAnsi="Verdana"/>
        </w:rPr>
      </w:pPr>
      <w:r w:rsidRPr="009456B6">
        <w:rPr>
          <w:rFonts w:ascii="Verdana" w:hAnsi="Verdana"/>
        </w:rPr>
        <w:t xml:space="preserve">Avec </w:t>
      </w:r>
      <w:r w:rsidRPr="009456B6">
        <w:rPr>
          <w:rFonts w:ascii="Verdana" w:hAnsi="Verdana"/>
          <w:b/>
          <w:sz w:val="28"/>
          <w:szCs w:val="28"/>
        </w:rPr>
        <w:t>x</w:t>
      </w:r>
      <w:r w:rsidRPr="009456B6">
        <w:rPr>
          <w:rFonts w:ascii="Verdana" w:hAnsi="Verdana"/>
        </w:rPr>
        <w:t xml:space="preserve"> = chiffre </w:t>
      </w:r>
      <w:r>
        <w:rPr>
          <w:rFonts w:ascii="Verdana" w:hAnsi="Verdana"/>
        </w:rPr>
        <w:t xml:space="preserve">d’Affaires et </w:t>
      </w:r>
      <w:r w:rsidRPr="009456B6">
        <w:rPr>
          <w:rFonts w:ascii="Verdana" w:hAnsi="Verdana"/>
          <w:b/>
          <w:sz w:val="28"/>
          <w:szCs w:val="28"/>
        </w:rPr>
        <w:t>a</w:t>
      </w:r>
      <w:r>
        <w:rPr>
          <w:rFonts w:ascii="Verdana" w:hAnsi="Verdana"/>
        </w:rPr>
        <w:t xml:space="preserve"> = taux de charge variable.</w:t>
      </w:r>
    </w:p>
    <w:p w:rsidR="00907904" w:rsidRDefault="00907904" w:rsidP="00907904">
      <w:pPr>
        <w:jc w:val="both"/>
        <w:rPr>
          <w:rFonts w:ascii="Verdana" w:hAnsi="Verdana"/>
        </w:rPr>
      </w:pPr>
      <w:r>
        <w:rPr>
          <w:rFonts w:ascii="Verdana" w:hAnsi="Verdana"/>
        </w:rPr>
        <w:t>Un coût variable est constitué uniquement par les charges qui varient avec le volume d’activité. Ces charges variables sont réparties entre les produits afin de calculer le coût variable de chaque produit.</w:t>
      </w:r>
    </w:p>
    <w:p w:rsidR="00907904" w:rsidRDefault="00907904" w:rsidP="00907904">
      <w:pPr>
        <w:jc w:val="both"/>
        <w:rPr>
          <w:rFonts w:ascii="Verdana" w:hAnsi="Verdana"/>
        </w:rPr>
      </w:pPr>
      <w:r w:rsidRPr="00F04732">
        <w:rPr>
          <w:rFonts w:ascii="Verdana" w:hAnsi="Verdana"/>
          <w:b/>
        </w:rPr>
        <w:t>Exemple :</w:t>
      </w:r>
      <w:r>
        <w:rPr>
          <w:rFonts w:ascii="Verdana" w:hAnsi="Verdana"/>
        </w:rPr>
        <w:t xml:space="preserve"> un représentant commercial dont la rémunération comporte une fixe et une commission proportionnelle.</w:t>
      </w:r>
    </w:p>
    <w:p w:rsidR="00907904" w:rsidRDefault="00907904" w:rsidP="00907904">
      <w:pPr>
        <w:jc w:val="both"/>
        <w:rPr>
          <w:rFonts w:ascii="Verdana" w:hAnsi="Verdana"/>
        </w:rPr>
      </w:pPr>
      <w:r>
        <w:rPr>
          <w:rFonts w:ascii="Verdana" w:hAnsi="Verdana"/>
        </w:rPr>
        <w:t>L’analyse mathématique des charges :</w:t>
      </w:r>
    </w:p>
    <w:p w:rsidR="00907904" w:rsidRPr="008D5295" w:rsidRDefault="00907904" w:rsidP="00907904">
      <w:pPr>
        <w:pStyle w:val="Paragraphedeliste"/>
        <w:numPr>
          <w:ilvl w:val="0"/>
          <w:numId w:val="3"/>
        </w:numPr>
        <w:jc w:val="both"/>
        <w:rPr>
          <w:rFonts w:ascii="Verdana" w:hAnsi="Verdana"/>
        </w:rPr>
      </w:pPr>
      <w:r w:rsidRPr="008D5295">
        <w:rPr>
          <w:rFonts w:ascii="Verdana" w:hAnsi="Verdana"/>
        </w:rPr>
        <w:t>Les charges variables</w:t>
      </w:r>
    </w:p>
    <w:tbl>
      <w:tblPr>
        <w:tblStyle w:val="Grilledutableau"/>
        <w:tblW w:w="0" w:type="auto"/>
        <w:tblLook w:val="04A0" w:firstRow="1" w:lastRow="0" w:firstColumn="1" w:lastColumn="0" w:noHBand="0" w:noVBand="1"/>
      </w:tblPr>
      <w:tblGrid>
        <w:gridCol w:w="3794"/>
        <w:gridCol w:w="1843"/>
        <w:gridCol w:w="1842"/>
        <w:gridCol w:w="1733"/>
      </w:tblGrid>
      <w:tr w:rsidR="00907904" w:rsidRPr="00F32477" w:rsidTr="00582262">
        <w:tc>
          <w:tcPr>
            <w:tcW w:w="3794" w:type="dxa"/>
          </w:tcPr>
          <w:p w:rsidR="00907904" w:rsidRPr="00F32477" w:rsidRDefault="00907904" w:rsidP="00582262">
            <w:pPr>
              <w:jc w:val="both"/>
              <w:rPr>
                <w:rFonts w:ascii="Verdana" w:hAnsi="Verdana"/>
                <w:b/>
                <w:sz w:val="18"/>
                <w:szCs w:val="18"/>
              </w:rPr>
            </w:pPr>
            <w:r w:rsidRPr="00F32477">
              <w:rPr>
                <w:rFonts w:ascii="Verdana" w:hAnsi="Verdana"/>
                <w:b/>
                <w:sz w:val="18"/>
                <w:szCs w:val="18"/>
              </w:rPr>
              <w:t xml:space="preserve">Mois </w:t>
            </w:r>
          </w:p>
        </w:tc>
        <w:tc>
          <w:tcPr>
            <w:tcW w:w="1843" w:type="dxa"/>
          </w:tcPr>
          <w:p w:rsidR="00907904" w:rsidRPr="00F32477" w:rsidRDefault="00907904" w:rsidP="00582262">
            <w:pPr>
              <w:jc w:val="right"/>
              <w:rPr>
                <w:rFonts w:ascii="Verdana" w:hAnsi="Verdana"/>
                <w:b/>
                <w:sz w:val="18"/>
                <w:szCs w:val="18"/>
              </w:rPr>
            </w:pPr>
            <w:r w:rsidRPr="00F32477">
              <w:rPr>
                <w:rFonts w:ascii="Verdana" w:hAnsi="Verdana"/>
                <w:b/>
                <w:sz w:val="18"/>
                <w:szCs w:val="18"/>
              </w:rPr>
              <w:t>Janvier</w:t>
            </w:r>
          </w:p>
        </w:tc>
        <w:tc>
          <w:tcPr>
            <w:tcW w:w="1842" w:type="dxa"/>
          </w:tcPr>
          <w:p w:rsidR="00907904" w:rsidRPr="00F32477" w:rsidRDefault="00907904" w:rsidP="00582262">
            <w:pPr>
              <w:jc w:val="right"/>
              <w:rPr>
                <w:rFonts w:ascii="Verdana" w:hAnsi="Verdana"/>
                <w:b/>
                <w:sz w:val="18"/>
                <w:szCs w:val="18"/>
              </w:rPr>
            </w:pPr>
            <w:r w:rsidRPr="00F32477">
              <w:rPr>
                <w:rFonts w:ascii="Verdana" w:hAnsi="Verdana"/>
                <w:b/>
                <w:sz w:val="18"/>
                <w:szCs w:val="18"/>
              </w:rPr>
              <w:t>Février</w:t>
            </w:r>
          </w:p>
        </w:tc>
        <w:tc>
          <w:tcPr>
            <w:tcW w:w="1733" w:type="dxa"/>
          </w:tcPr>
          <w:p w:rsidR="00907904" w:rsidRPr="00F32477" w:rsidRDefault="00907904" w:rsidP="00582262">
            <w:pPr>
              <w:jc w:val="right"/>
              <w:rPr>
                <w:rFonts w:ascii="Verdana" w:hAnsi="Verdana"/>
                <w:b/>
                <w:sz w:val="18"/>
                <w:szCs w:val="18"/>
              </w:rPr>
            </w:pPr>
            <w:r w:rsidRPr="00F32477">
              <w:rPr>
                <w:rFonts w:ascii="Verdana" w:hAnsi="Verdana"/>
                <w:b/>
                <w:sz w:val="18"/>
                <w:szCs w:val="18"/>
              </w:rPr>
              <w:t>Mars</w:t>
            </w:r>
          </w:p>
        </w:tc>
      </w:tr>
      <w:tr w:rsidR="00907904" w:rsidRPr="00F32477" w:rsidTr="00582262">
        <w:tc>
          <w:tcPr>
            <w:tcW w:w="3794" w:type="dxa"/>
          </w:tcPr>
          <w:p w:rsidR="00907904" w:rsidRPr="00F32477" w:rsidRDefault="00907904" w:rsidP="00582262">
            <w:pPr>
              <w:jc w:val="both"/>
              <w:rPr>
                <w:rFonts w:ascii="Verdana" w:hAnsi="Verdana"/>
                <w:sz w:val="18"/>
                <w:szCs w:val="18"/>
              </w:rPr>
            </w:pPr>
            <w:r w:rsidRPr="00F32477">
              <w:rPr>
                <w:rFonts w:ascii="Verdana" w:hAnsi="Verdana"/>
                <w:sz w:val="18"/>
                <w:szCs w:val="18"/>
              </w:rPr>
              <w:t xml:space="preserve">Activités </w:t>
            </w:r>
          </w:p>
        </w:tc>
        <w:tc>
          <w:tcPr>
            <w:tcW w:w="1843" w:type="dxa"/>
          </w:tcPr>
          <w:p w:rsidR="00907904" w:rsidRPr="00F32477" w:rsidRDefault="00907904" w:rsidP="00582262">
            <w:pPr>
              <w:jc w:val="right"/>
              <w:rPr>
                <w:rFonts w:ascii="Verdana" w:hAnsi="Verdana"/>
                <w:sz w:val="18"/>
                <w:szCs w:val="18"/>
              </w:rPr>
            </w:pPr>
            <w:r w:rsidRPr="00F32477">
              <w:rPr>
                <w:rFonts w:ascii="Verdana" w:hAnsi="Verdana"/>
                <w:sz w:val="18"/>
                <w:szCs w:val="18"/>
              </w:rPr>
              <w:t>1000</w:t>
            </w:r>
          </w:p>
        </w:tc>
        <w:tc>
          <w:tcPr>
            <w:tcW w:w="1842" w:type="dxa"/>
          </w:tcPr>
          <w:p w:rsidR="00907904" w:rsidRPr="00F32477" w:rsidRDefault="00907904" w:rsidP="00582262">
            <w:pPr>
              <w:jc w:val="right"/>
              <w:rPr>
                <w:rFonts w:ascii="Verdana" w:hAnsi="Verdana"/>
                <w:sz w:val="18"/>
                <w:szCs w:val="18"/>
              </w:rPr>
            </w:pPr>
            <w:r w:rsidRPr="00F32477">
              <w:rPr>
                <w:rFonts w:ascii="Verdana" w:hAnsi="Verdana"/>
                <w:sz w:val="18"/>
                <w:szCs w:val="18"/>
              </w:rPr>
              <w:t>1200</w:t>
            </w:r>
          </w:p>
        </w:tc>
        <w:tc>
          <w:tcPr>
            <w:tcW w:w="1733" w:type="dxa"/>
          </w:tcPr>
          <w:p w:rsidR="00907904" w:rsidRPr="00F32477" w:rsidRDefault="00907904" w:rsidP="00582262">
            <w:pPr>
              <w:jc w:val="right"/>
              <w:rPr>
                <w:rFonts w:ascii="Verdana" w:hAnsi="Verdana"/>
                <w:sz w:val="18"/>
                <w:szCs w:val="18"/>
              </w:rPr>
            </w:pPr>
            <w:r w:rsidRPr="00F32477">
              <w:rPr>
                <w:rFonts w:ascii="Verdana" w:hAnsi="Verdana"/>
                <w:sz w:val="18"/>
                <w:szCs w:val="18"/>
              </w:rPr>
              <w:t>1500</w:t>
            </w:r>
          </w:p>
        </w:tc>
      </w:tr>
      <w:tr w:rsidR="00907904" w:rsidRPr="00F32477" w:rsidTr="00582262">
        <w:tc>
          <w:tcPr>
            <w:tcW w:w="3794" w:type="dxa"/>
          </w:tcPr>
          <w:p w:rsidR="00907904" w:rsidRPr="00F32477" w:rsidRDefault="00907904" w:rsidP="00582262">
            <w:pPr>
              <w:jc w:val="both"/>
              <w:rPr>
                <w:rFonts w:ascii="Verdana" w:hAnsi="Verdana"/>
                <w:sz w:val="18"/>
                <w:szCs w:val="18"/>
              </w:rPr>
            </w:pPr>
            <w:r w:rsidRPr="00F32477">
              <w:rPr>
                <w:rFonts w:ascii="Verdana" w:hAnsi="Verdana"/>
                <w:sz w:val="18"/>
                <w:szCs w:val="18"/>
              </w:rPr>
              <w:t>Charges variables :</w:t>
            </w:r>
          </w:p>
          <w:p w:rsidR="00907904" w:rsidRPr="00F32477" w:rsidRDefault="00907904" w:rsidP="00582262">
            <w:pPr>
              <w:jc w:val="both"/>
              <w:rPr>
                <w:rFonts w:ascii="Verdana" w:hAnsi="Verdana"/>
                <w:sz w:val="18"/>
                <w:szCs w:val="18"/>
              </w:rPr>
            </w:pPr>
            <w:r w:rsidRPr="00F32477">
              <w:rPr>
                <w:rFonts w:ascii="Verdana" w:hAnsi="Verdana"/>
                <w:sz w:val="18"/>
                <w:szCs w:val="18"/>
              </w:rPr>
              <w:t xml:space="preserve">           - MP</w:t>
            </w:r>
          </w:p>
          <w:p w:rsidR="00907904" w:rsidRPr="00F32477" w:rsidRDefault="00907904" w:rsidP="00582262">
            <w:pPr>
              <w:jc w:val="both"/>
              <w:rPr>
                <w:rFonts w:ascii="Verdana" w:hAnsi="Verdana"/>
                <w:sz w:val="18"/>
                <w:szCs w:val="18"/>
              </w:rPr>
            </w:pPr>
            <w:r w:rsidRPr="00F32477">
              <w:rPr>
                <w:rFonts w:ascii="Verdana" w:hAnsi="Verdana"/>
                <w:sz w:val="18"/>
                <w:szCs w:val="18"/>
              </w:rPr>
              <w:t xml:space="preserve">           - MOD</w:t>
            </w:r>
          </w:p>
        </w:tc>
        <w:tc>
          <w:tcPr>
            <w:tcW w:w="1843" w:type="dxa"/>
          </w:tcPr>
          <w:p w:rsidR="00907904" w:rsidRPr="00F32477" w:rsidRDefault="00907904" w:rsidP="00582262">
            <w:pPr>
              <w:jc w:val="right"/>
              <w:rPr>
                <w:rFonts w:ascii="Verdana" w:hAnsi="Verdana"/>
                <w:sz w:val="18"/>
                <w:szCs w:val="18"/>
              </w:rPr>
            </w:pPr>
            <w:r w:rsidRPr="00F32477">
              <w:rPr>
                <w:rFonts w:ascii="Verdana" w:hAnsi="Verdana"/>
                <w:sz w:val="18"/>
                <w:szCs w:val="18"/>
              </w:rPr>
              <w:t>-</w:t>
            </w:r>
          </w:p>
          <w:p w:rsidR="00907904" w:rsidRPr="00F32477" w:rsidRDefault="00907904" w:rsidP="00582262">
            <w:pPr>
              <w:jc w:val="right"/>
              <w:rPr>
                <w:rFonts w:ascii="Verdana" w:hAnsi="Verdana"/>
                <w:sz w:val="18"/>
                <w:szCs w:val="18"/>
              </w:rPr>
            </w:pPr>
            <w:r w:rsidRPr="00F32477">
              <w:rPr>
                <w:rFonts w:ascii="Verdana" w:hAnsi="Verdana"/>
                <w:sz w:val="18"/>
                <w:szCs w:val="18"/>
              </w:rPr>
              <w:t>200.000</w:t>
            </w:r>
          </w:p>
          <w:p w:rsidR="00907904" w:rsidRPr="00F32477" w:rsidRDefault="00907904" w:rsidP="00582262">
            <w:pPr>
              <w:jc w:val="right"/>
              <w:rPr>
                <w:rFonts w:ascii="Verdana" w:hAnsi="Verdana"/>
                <w:sz w:val="18"/>
                <w:szCs w:val="18"/>
              </w:rPr>
            </w:pPr>
            <w:r w:rsidRPr="00F32477">
              <w:rPr>
                <w:rFonts w:ascii="Verdana" w:hAnsi="Verdana"/>
                <w:sz w:val="18"/>
                <w:szCs w:val="18"/>
              </w:rPr>
              <w:t>600.000</w:t>
            </w:r>
          </w:p>
        </w:tc>
        <w:tc>
          <w:tcPr>
            <w:tcW w:w="1842" w:type="dxa"/>
          </w:tcPr>
          <w:p w:rsidR="00907904" w:rsidRPr="00F32477" w:rsidRDefault="00907904" w:rsidP="00582262">
            <w:pPr>
              <w:jc w:val="right"/>
              <w:rPr>
                <w:rFonts w:ascii="Verdana" w:hAnsi="Verdana"/>
                <w:sz w:val="18"/>
                <w:szCs w:val="18"/>
              </w:rPr>
            </w:pPr>
            <w:r w:rsidRPr="00F32477">
              <w:rPr>
                <w:rFonts w:ascii="Verdana" w:hAnsi="Verdana"/>
                <w:sz w:val="18"/>
                <w:szCs w:val="18"/>
              </w:rPr>
              <w:t>-</w:t>
            </w:r>
          </w:p>
          <w:p w:rsidR="00907904" w:rsidRPr="00F32477" w:rsidRDefault="00907904" w:rsidP="00582262">
            <w:pPr>
              <w:jc w:val="right"/>
              <w:rPr>
                <w:rFonts w:ascii="Verdana" w:hAnsi="Verdana"/>
                <w:sz w:val="18"/>
                <w:szCs w:val="18"/>
              </w:rPr>
            </w:pPr>
            <w:r w:rsidRPr="00F32477">
              <w:rPr>
                <w:rFonts w:ascii="Verdana" w:hAnsi="Verdana"/>
                <w:sz w:val="18"/>
                <w:szCs w:val="18"/>
              </w:rPr>
              <w:t>240.000</w:t>
            </w:r>
          </w:p>
          <w:p w:rsidR="00907904" w:rsidRPr="00F32477" w:rsidRDefault="00907904" w:rsidP="00582262">
            <w:pPr>
              <w:jc w:val="right"/>
              <w:rPr>
                <w:rFonts w:ascii="Verdana" w:hAnsi="Verdana"/>
                <w:sz w:val="18"/>
                <w:szCs w:val="18"/>
              </w:rPr>
            </w:pPr>
            <w:r w:rsidRPr="00F32477">
              <w:rPr>
                <w:rFonts w:ascii="Verdana" w:hAnsi="Verdana"/>
                <w:sz w:val="18"/>
                <w:szCs w:val="18"/>
              </w:rPr>
              <w:t>720.000</w:t>
            </w:r>
          </w:p>
        </w:tc>
        <w:tc>
          <w:tcPr>
            <w:tcW w:w="1733" w:type="dxa"/>
          </w:tcPr>
          <w:p w:rsidR="00907904" w:rsidRPr="00F32477" w:rsidRDefault="00907904" w:rsidP="00582262">
            <w:pPr>
              <w:jc w:val="right"/>
              <w:rPr>
                <w:rFonts w:ascii="Verdana" w:hAnsi="Verdana"/>
                <w:sz w:val="18"/>
                <w:szCs w:val="18"/>
              </w:rPr>
            </w:pPr>
            <w:r w:rsidRPr="00F32477">
              <w:rPr>
                <w:rFonts w:ascii="Verdana" w:hAnsi="Verdana"/>
                <w:sz w:val="18"/>
                <w:szCs w:val="18"/>
              </w:rPr>
              <w:t>-</w:t>
            </w:r>
          </w:p>
          <w:p w:rsidR="00907904" w:rsidRPr="00F32477" w:rsidRDefault="00907904" w:rsidP="00582262">
            <w:pPr>
              <w:jc w:val="right"/>
              <w:rPr>
                <w:rFonts w:ascii="Verdana" w:hAnsi="Verdana"/>
                <w:sz w:val="18"/>
                <w:szCs w:val="18"/>
              </w:rPr>
            </w:pPr>
            <w:r w:rsidRPr="00F32477">
              <w:rPr>
                <w:rFonts w:ascii="Verdana" w:hAnsi="Verdana"/>
                <w:sz w:val="18"/>
                <w:szCs w:val="18"/>
              </w:rPr>
              <w:t>300.000</w:t>
            </w:r>
          </w:p>
          <w:p w:rsidR="00907904" w:rsidRPr="00F32477" w:rsidRDefault="00907904" w:rsidP="00582262">
            <w:pPr>
              <w:jc w:val="right"/>
              <w:rPr>
                <w:rFonts w:ascii="Verdana" w:hAnsi="Verdana"/>
                <w:sz w:val="18"/>
                <w:szCs w:val="18"/>
              </w:rPr>
            </w:pPr>
            <w:r w:rsidRPr="00F32477">
              <w:rPr>
                <w:rFonts w:ascii="Verdana" w:hAnsi="Verdana"/>
                <w:sz w:val="18"/>
                <w:szCs w:val="18"/>
              </w:rPr>
              <w:t>900.000</w:t>
            </w:r>
          </w:p>
        </w:tc>
      </w:tr>
      <w:tr w:rsidR="00907904" w:rsidRPr="00F32477" w:rsidTr="00582262">
        <w:tc>
          <w:tcPr>
            <w:tcW w:w="3794" w:type="dxa"/>
          </w:tcPr>
          <w:p w:rsidR="00907904" w:rsidRPr="00F32477" w:rsidRDefault="00907904" w:rsidP="00582262">
            <w:pPr>
              <w:jc w:val="both"/>
              <w:rPr>
                <w:rFonts w:ascii="Verdana" w:hAnsi="Verdana"/>
                <w:sz w:val="18"/>
                <w:szCs w:val="18"/>
              </w:rPr>
            </w:pPr>
            <w:r w:rsidRPr="00F32477">
              <w:rPr>
                <w:rFonts w:ascii="Verdana" w:hAnsi="Verdana"/>
                <w:sz w:val="18"/>
                <w:szCs w:val="18"/>
              </w:rPr>
              <w:t>CH. V. TOTALE</w:t>
            </w:r>
          </w:p>
        </w:tc>
        <w:tc>
          <w:tcPr>
            <w:tcW w:w="1843" w:type="dxa"/>
          </w:tcPr>
          <w:p w:rsidR="00907904" w:rsidRPr="00F32477" w:rsidRDefault="00907904" w:rsidP="00582262">
            <w:pPr>
              <w:jc w:val="right"/>
              <w:rPr>
                <w:rFonts w:ascii="Verdana" w:hAnsi="Verdana"/>
                <w:sz w:val="18"/>
                <w:szCs w:val="18"/>
              </w:rPr>
            </w:pPr>
            <w:r w:rsidRPr="00F32477">
              <w:rPr>
                <w:rFonts w:ascii="Verdana" w:hAnsi="Verdana"/>
                <w:sz w:val="18"/>
                <w:szCs w:val="18"/>
              </w:rPr>
              <w:t>800.000</w:t>
            </w:r>
          </w:p>
        </w:tc>
        <w:tc>
          <w:tcPr>
            <w:tcW w:w="1842" w:type="dxa"/>
          </w:tcPr>
          <w:p w:rsidR="00907904" w:rsidRPr="00F32477" w:rsidRDefault="00907904" w:rsidP="00582262">
            <w:pPr>
              <w:jc w:val="right"/>
              <w:rPr>
                <w:rFonts w:ascii="Verdana" w:hAnsi="Verdana"/>
                <w:sz w:val="18"/>
                <w:szCs w:val="18"/>
              </w:rPr>
            </w:pPr>
            <w:r w:rsidRPr="00F32477">
              <w:rPr>
                <w:rFonts w:ascii="Verdana" w:hAnsi="Verdana"/>
                <w:sz w:val="18"/>
                <w:szCs w:val="18"/>
              </w:rPr>
              <w:t>960.000</w:t>
            </w:r>
          </w:p>
        </w:tc>
        <w:tc>
          <w:tcPr>
            <w:tcW w:w="1733" w:type="dxa"/>
          </w:tcPr>
          <w:p w:rsidR="00907904" w:rsidRPr="00F32477" w:rsidRDefault="00907904" w:rsidP="00582262">
            <w:pPr>
              <w:jc w:val="right"/>
              <w:rPr>
                <w:rFonts w:ascii="Verdana" w:hAnsi="Verdana"/>
                <w:sz w:val="18"/>
                <w:szCs w:val="18"/>
              </w:rPr>
            </w:pPr>
            <w:r w:rsidRPr="00F32477">
              <w:rPr>
                <w:rFonts w:ascii="Verdana" w:hAnsi="Verdana"/>
                <w:sz w:val="18"/>
                <w:szCs w:val="18"/>
              </w:rPr>
              <w:t>1.200.000</w:t>
            </w:r>
          </w:p>
        </w:tc>
      </w:tr>
      <w:tr w:rsidR="00907904" w:rsidRPr="00F32477" w:rsidTr="00582262">
        <w:tc>
          <w:tcPr>
            <w:tcW w:w="3794" w:type="dxa"/>
          </w:tcPr>
          <w:p w:rsidR="00907904" w:rsidRPr="00F32477" w:rsidRDefault="00907904" w:rsidP="00582262">
            <w:pPr>
              <w:jc w:val="both"/>
              <w:rPr>
                <w:rFonts w:ascii="Verdana" w:hAnsi="Verdana"/>
                <w:sz w:val="18"/>
                <w:szCs w:val="18"/>
              </w:rPr>
            </w:pPr>
            <w:r w:rsidRPr="00F32477">
              <w:rPr>
                <w:rFonts w:ascii="Verdana" w:hAnsi="Verdana"/>
                <w:sz w:val="18"/>
                <w:szCs w:val="18"/>
              </w:rPr>
              <w:t>CH. V. / pièce</w:t>
            </w:r>
          </w:p>
        </w:tc>
        <w:tc>
          <w:tcPr>
            <w:tcW w:w="1843" w:type="dxa"/>
          </w:tcPr>
          <w:p w:rsidR="00907904" w:rsidRPr="00F32477" w:rsidRDefault="00907904" w:rsidP="00582262">
            <w:pPr>
              <w:jc w:val="right"/>
              <w:rPr>
                <w:rFonts w:ascii="Verdana" w:hAnsi="Verdana"/>
                <w:sz w:val="18"/>
                <w:szCs w:val="18"/>
              </w:rPr>
            </w:pPr>
            <w:r w:rsidRPr="00F32477">
              <w:rPr>
                <w:rFonts w:ascii="Verdana" w:hAnsi="Verdana"/>
                <w:sz w:val="18"/>
                <w:szCs w:val="18"/>
              </w:rPr>
              <w:t>800</w:t>
            </w:r>
          </w:p>
        </w:tc>
        <w:tc>
          <w:tcPr>
            <w:tcW w:w="1842" w:type="dxa"/>
          </w:tcPr>
          <w:p w:rsidR="00907904" w:rsidRPr="00F32477" w:rsidRDefault="00907904" w:rsidP="00582262">
            <w:pPr>
              <w:jc w:val="right"/>
              <w:rPr>
                <w:rFonts w:ascii="Verdana" w:hAnsi="Verdana"/>
                <w:sz w:val="18"/>
                <w:szCs w:val="18"/>
              </w:rPr>
            </w:pPr>
            <w:r w:rsidRPr="00F32477">
              <w:rPr>
                <w:rFonts w:ascii="Verdana" w:hAnsi="Verdana"/>
                <w:sz w:val="18"/>
                <w:szCs w:val="18"/>
              </w:rPr>
              <w:t>800</w:t>
            </w:r>
          </w:p>
        </w:tc>
        <w:tc>
          <w:tcPr>
            <w:tcW w:w="1733" w:type="dxa"/>
          </w:tcPr>
          <w:p w:rsidR="00907904" w:rsidRPr="00F32477" w:rsidRDefault="00907904" w:rsidP="00582262">
            <w:pPr>
              <w:jc w:val="right"/>
              <w:rPr>
                <w:rFonts w:ascii="Verdana" w:hAnsi="Verdana"/>
                <w:sz w:val="18"/>
                <w:szCs w:val="18"/>
              </w:rPr>
            </w:pPr>
            <w:r w:rsidRPr="00F32477">
              <w:rPr>
                <w:rFonts w:ascii="Verdana" w:hAnsi="Verdana"/>
                <w:sz w:val="18"/>
                <w:szCs w:val="18"/>
              </w:rPr>
              <w:t>800</w:t>
            </w:r>
          </w:p>
        </w:tc>
      </w:tr>
    </w:tbl>
    <w:p w:rsidR="00907904" w:rsidRDefault="00907904" w:rsidP="00907904">
      <w:pPr>
        <w:jc w:val="both"/>
        <w:rPr>
          <w:rFonts w:ascii="Verdana" w:hAnsi="Verdana"/>
        </w:rPr>
      </w:pPr>
    </w:p>
    <w:p w:rsidR="00907904" w:rsidRDefault="00907904" w:rsidP="00907904">
      <w:pPr>
        <w:jc w:val="both"/>
        <w:rPr>
          <w:rFonts w:ascii="Verdana" w:hAnsi="Verdana"/>
        </w:rPr>
      </w:pPr>
      <w:r>
        <w:rPr>
          <w:rFonts w:ascii="Verdana" w:hAnsi="Verdana"/>
        </w:rPr>
        <w:t>1° Charges Variable par pièce = charge variable totale / activité</w:t>
      </w:r>
    </w:p>
    <w:p w:rsidR="00907904" w:rsidRDefault="00907904" w:rsidP="00907904">
      <w:pPr>
        <w:jc w:val="both"/>
        <w:rPr>
          <w:rFonts w:ascii="Verdana" w:hAnsi="Verdana"/>
        </w:rPr>
      </w:pPr>
      <w:r>
        <w:rPr>
          <w:rFonts w:ascii="Verdana" w:hAnsi="Verdana"/>
        </w:rPr>
        <w:t xml:space="preserve">2° Charge variable Globale : </w:t>
      </w:r>
      <w:r w:rsidRPr="00882ED9">
        <w:rPr>
          <w:rFonts w:ascii="Verdana" w:hAnsi="Verdana"/>
          <w:b/>
          <w:sz w:val="28"/>
          <w:szCs w:val="28"/>
        </w:rPr>
        <w:t>Y</w:t>
      </w:r>
      <w:r>
        <w:rPr>
          <w:rFonts w:ascii="Verdana" w:hAnsi="Verdana"/>
        </w:rPr>
        <w:t xml:space="preserve"> = 800</w:t>
      </w:r>
      <w:r w:rsidRPr="00882ED9">
        <w:rPr>
          <w:rFonts w:ascii="Verdana" w:hAnsi="Verdana"/>
          <w:b/>
          <w:sz w:val="28"/>
          <w:szCs w:val="28"/>
        </w:rPr>
        <w:t>x</w:t>
      </w:r>
      <w:r>
        <w:rPr>
          <w:rFonts w:ascii="Verdana" w:hAnsi="Verdana"/>
          <w:b/>
          <w:sz w:val="28"/>
          <w:szCs w:val="28"/>
        </w:rPr>
        <w:t xml:space="preserve"> </w:t>
      </w:r>
      <w:r w:rsidRPr="00882ED9">
        <w:rPr>
          <w:rFonts w:ascii="Verdana" w:hAnsi="Verdana"/>
        </w:rPr>
        <w:t>(</w:t>
      </w:r>
      <w:r>
        <w:rPr>
          <w:rFonts w:ascii="Verdana" w:hAnsi="Verdana"/>
        </w:rPr>
        <w:t xml:space="preserve">avec </w:t>
      </w:r>
      <w:r w:rsidRPr="008A68C4">
        <w:rPr>
          <w:rFonts w:ascii="Verdana" w:hAnsi="Verdana"/>
          <w:b/>
          <w:sz w:val="28"/>
          <w:szCs w:val="28"/>
        </w:rPr>
        <w:t>x</w:t>
      </w:r>
      <w:r>
        <w:rPr>
          <w:rFonts w:ascii="Verdana" w:hAnsi="Verdana"/>
        </w:rPr>
        <w:t xml:space="preserve"> = niveau d’activité NA</w:t>
      </w:r>
      <w:r w:rsidRPr="00882ED9">
        <w:rPr>
          <w:rFonts w:ascii="Verdana" w:hAnsi="Verdana"/>
        </w:rPr>
        <w:t>)</w:t>
      </w:r>
    </w:p>
    <w:p w:rsidR="00907904" w:rsidRPr="00882ED9" w:rsidRDefault="00907904" w:rsidP="00907904">
      <w:pPr>
        <w:jc w:val="both"/>
        <w:rPr>
          <w:rFonts w:ascii="Verdana" w:hAnsi="Verdana"/>
        </w:rPr>
      </w:pPr>
      <w:r>
        <w:rPr>
          <w:rFonts w:ascii="Verdana" w:hAnsi="Verdana"/>
        </w:rPr>
        <w:t>Ex : Y = 800 x 1000 = 800.000 pour le mois de janvier.</w:t>
      </w:r>
    </w:p>
    <w:p w:rsidR="00907904" w:rsidRPr="005C4C92" w:rsidRDefault="00907904" w:rsidP="00907904">
      <w:pPr>
        <w:pStyle w:val="Paragraphedeliste"/>
        <w:numPr>
          <w:ilvl w:val="0"/>
          <w:numId w:val="1"/>
        </w:numPr>
        <w:jc w:val="both"/>
        <w:rPr>
          <w:rFonts w:ascii="Verdana" w:hAnsi="Verdana"/>
          <w:b/>
          <w:sz w:val="24"/>
          <w:szCs w:val="24"/>
        </w:rPr>
      </w:pPr>
      <w:r w:rsidRPr="005C4C92">
        <w:rPr>
          <w:rFonts w:ascii="Verdana" w:hAnsi="Verdana"/>
          <w:b/>
          <w:sz w:val="24"/>
          <w:szCs w:val="24"/>
        </w:rPr>
        <w:lastRenderedPageBreak/>
        <w:t>Charges fixe ou charges de structures</w:t>
      </w:r>
    </w:p>
    <w:p w:rsidR="00907904" w:rsidRDefault="00907904" w:rsidP="00907904">
      <w:pPr>
        <w:jc w:val="both"/>
        <w:rPr>
          <w:rFonts w:ascii="Verdana" w:hAnsi="Verdana"/>
        </w:rPr>
      </w:pPr>
      <w:r>
        <w:rPr>
          <w:rFonts w:ascii="Verdana" w:hAnsi="Verdana"/>
        </w:rPr>
        <w:t>Les charges fixes sont indépendantes du niveau d’activité de l’entreprise tant que la structure n’évolue pas. Elles sont liées à la structure de celle-ci.</w:t>
      </w:r>
    </w:p>
    <w:p w:rsidR="00907904" w:rsidRDefault="00907904" w:rsidP="00907904">
      <w:pPr>
        <w:jc w:val="both"/>
        <w:rPr>
          <w:rFonts w:ascii="Verdana" w:hAnsi="Verdana"/>
        </w:rPr>
      </w:pPr>
      <w:r>
        <w:rPr>
          <w:rFonts w:ascii="Verdana" w:hAnsi="Verdana"/>
        </w:rPr>
        <w:t>La structure de production est l’ensemble de moyens matériels et humains mis en œuvre à un moment donné sans envisager d’investissement ou d’embauche supplémentaire. Les charges fixes varient par paliers lorsque la structure évolue.</w:t>
      </w:r>
    </w:p>
    <w:p w:rsidR="00907904" w:rsidRDefault="00907904" w:rsidP="00907904">
      <w:pPr>
        <w:pStyle w:val="Paragraphedeliste"/>
        <w:numPr>
          <w:ilvl w:val="0"/>
          <w:numId w:val="3"/>
        </w:numPr>
        <w:jc w:val="both"/>
        <w:rPr>
          <w:rFonts w:ascii="Verdana" w:hAnsi="Verdana"/>
        </w:rPr>
      </w:pPr>
      <w:r>
        <w:rPr>
          <w:rFonts w:ascii="Verdana" w:hAnsi="Verdana"/>
        </w:rPr>
        <w:t xml:space="preserve">Charges fixes </w:t>
      </w:r>
    </w:p>
    <w:tbl>
      <w:tblPr>
        <w:tblStyle w:val="Grilledutableau"/>
        <w:tblW w:w="0" w:type="auto"/>
        <w:tblLook w:val="04A0" w:firstRow="1" w:lastRow="0" w:firstColumn="1" w:lastColumn="0" w:noHBand="0" w:noVBand="1"/>
      </w:tblPr>
      <w:tblGrid>
        <w:gridCol w:w="3794"/>
        <w:gridCol w:w="1843"/>
        <w:gridCol w:w="1842"/>
        <w:gridCol w:w="1733"/>
      </w:tblGrid>
      <w:tr w:rsidR="00907904" w:rsidRPr="00F32477" w:rsidTr="00582262">
        <w:tc>
          <w:tcPr>
            <w:tcW w:w="3794" w:type="dxa"/>
          </w:tcPr>
          <w:p w:rsidR="00907904" w:rsidRPr="00F32477" w:rsidRDefault="00907904" w:rsidP="00582262">
            <w:pPr>
              <w:jc w:val="both"/>
              <w:rPr>
                <w:rFonts w:ascii="Verdana" w:hAnsi="Verdana"/>
                <w:b/>
                <w:sz w:val="18"/>
                <w:szCs w:val="18"/>
              </w:rPr>
            </w:pPr>
            <w:r w:rsidRPr="00F32477">
              <w:rPr>
                <w:rFonts w:ascii="Verdana" w:hAnsi="Verdana"/>
                <w:b/>
                <w:sz w:val="18"/>
                <w:szCs w:val="18"/>
              </w:rPr>
              <w:t xml:space="preserve">Mois </w:t>
            </w:r>
          </w:p>
        </w:tc>
        <w:tc>
          <w:tcPr>
            <w:tcW w:w="1843" w:type="dxa"/>
          </w:tcPr>
          <w:p w:rsidR="00907904" w:rsidRPr="00F32477" w:rsidRDefault="00907904" w:rsidP="00582262">
            <w:pPr>
              <w:jc w:val="right"/>
              <w:rPr>
                <w:rFonts w:ascii="Verdana" w:hAnsi="Verdana"/>
                <w:b/>
                <w:sz w:val="18"/>
                <w:szCs w:val="18"/>
              </w:rPr>
            </w:pPr>
            <w:r w:rsidRPr="00F32477">
              <w:rPr>
                <w:rFonts w:ascii="Verdana" w:hAnsi="Verdana"/>
                <w:b/>
                <w:sz w:val="18"/>
                <w:szCs w:val="18"/>
              </w:rPr>
              <w:t>Janvier</w:t>
            </w:r>
          </w:p>
        </w:tc>
        <w:tc>
          <w:tcPr>
            <w:tcW w:w="1842" w:type="dxa"/>
          </w:tcPr>
          <w:p w:rsidR="00907904" w:rsidRPr="00F32477" w:rsidRDefault="00907904" w:rsidP="00582262">
            <w:pPr>
              <w:jc w:val="right"/>
              <w:rPr>
                <w:rFonts w:ascii="Verdana" w:hAnsi="Verdana"/>
                <w:b/>
                <w:sz w:val="18"/>
                <w:szCs w:val="18"/>
              </w:rPr>
            </w:pPr>
            <w:r w:rsidRPr="00F32477">
              <w:rPr>
                <w:rFonts w:ascii="Verdana" w:hAnsi="Verdana"/>
                <w:b/>
                <w:sz w:val="18"/>
                <w:szCs w:val="18"/>
              </w:rPr>
              <w:t>Février</w:t>
            </w:r>
          </w:p>
        </w:tc>
        <w:tc>
          <w:tcPr>
            <w:tcW w:w="1733" w:type="dxa"/>
          </w:tcPr>
          <w:p w:rsidR="00907904" w:rsidRPr="00F32477" w:rsidRDefault="00907904" w:rsidP="00582262">
            <w:pPr>
              <w:jc w:val="right"/>
              <w:rPr>
                <w:rFonts w:ascii="Verdana" w:hAnsi="Verdana"/>
                <w:b/>
                <w:sz w:val="18"/>
                <w:szCs w:val="18"/>
              </w:rPr>
            </w:pPr>
            <w:r w:rsidRPr="00F32477">
              <w:rPr>
                <w:rFonts w:ascii="Verdana" w:hAnsi="Verdana"/>
                <w:b/>
                <w:sz w:val="18"/>
                <w:szCs w:val="18"/>
              </w:rPr>
              <w:t>Mars</w:t>
            </w:r>
          </w:p>
        </w:tc>
      </w:tr>
      <w:tr w:rsidR="00907904" w:rsidRPr="00F32477" w:rsidTr="00582262">
        <w:tc>
          <w:tcPr>
            <w:tcW w:w="3794" w:type="dxa"/>
          </w:tcPr>
          <w:p w:rsidR="00907904" w:rsidRPr="00F32477" w:rsidRDefault="00907904" w:rsidP="00582262">
            <w:pPr>
              <w:jc w:val="center"/>
              <w:rPr>
                <w:rFonts w:ascii="Verdana" w:hAnsi="Verdana"/>
                <w:sz w:val="18"/>
                <w:szCs w:val="18"/>
              </w:rPr>
            </w:pPr>
            <w:r w:rsidRPr="00F32477">
              <w:rPr>
                <w:rFonts w:ascii="Verdana" w:hAnsi="Verdana"/>
                <w:sz w:val="18"/>
                <w:szCs w:val="18"/>
              </w:rPr>
              <w:t>Niveau d’Activités</w:t>
            </w:r>
          </w:p>
        </w:tc>
        <w:tc>
          <w:tcPr>
            <w:tcW w:w="1843" w:type="dxa"/>
          </w:tcPr>
          <w:p w:rsidR="00907904" w:rsidRPr="00F32477" w:rsidRDefault="00907904" w:rsidP="00582262">
            <w:pPr>
              <w:jc w:val="center"/>
              <w:rPr>
                <w:rFonts w:ascii="Verdana" w:hAnsi="Verdana"/>
                <w:sz w:val="18"/>
                <w:szCs w:val="18"/>
              </w:rPr>
            </w:pPr>
            <w:r w:rsidRPr="00F32477">
              <w:rPr>
                <w:rFonts w:ascii="Verdana" w:hAnsi="Verdana"/>
                <w:sz w:val="18"/>
                <w:szCs w:val="18"/>
              </w:rPr>
              <w:t>1000</w:t>
            </w:r>
          </w:p>
        </w:tc>
        <w:tc>
          <w:tcPr>
            <w:tcW w:w="1842" w:type="dxa"/>
          </w:tcPr>
          <w:p w:rsidR="00907904" w:rsidRPr="00F32477" w:rsidRDefault="00907904" w:rsidP="00582262">
            <w:pPr>
              <w:jc w:val="center"/>
              <w:rPr>
                <w:rFonts w:ascii="Verdana" w:hAnsi="Verdana"/>
                <w:sz w:val="18"/>
                <w:szCs w:val="18"/>
              </w:rPr>
            </w:pPr>
            <w:r w:rsidRPr="00F32477">
              <w:rPr>
                <w:rFonts w:ascii="Verdana" w:hAnsi="Verdana"/>
                <w:sz w:val="18"/>
                <w:szCs w:val="18"/>
              </w:rPr>
              <w:t>1200</w:t>
            </w:r>
          </w:p>
        </w:tc>
        <w:tc>
          <w:tcPr>
            <w:tcW w:w="1733" w:type="dxa"/>
          </w:tcPr>
          <w:p w:rsidR="00907904" w:rsidRPr="00F32477" w:rsidRDefault="00907904" w:rsidP="00582262">
            <w:pPr>
              <w:jc w:val="center"/>
              <w:rPr>
                <w:rFonts w:ascii="Verdana" w:hAnsi="Verdana"/>
                <w:sz w:val="18"/>
                <w:szCs w:val="18"/>
              </w:rPr>
            </w:pPr>
            <w:r w:rsidRPr="00F32477">
              <w:rPr>
                <w:rFonts w:ascii="Verdana" w:hAnsi="Verdana"/>
                <w:sz w:val="18"/>
                <w:szCs w:val="18"/>
              </w:rPr>
              <w:t>1500</w:t>
            </w:r>
          </w:p>
        </w:tc>
      </w:tr>
      <w:tr w:rsidR="00907904" w:rsidRPr="00F32477" w:rsidTr="00582262">
        <w:tc>
          <w:tcPr>
            <w:tcW w:w="3794" w:type="dxa"/>
          </w:tcPr>
          <w:p w:rsidR="00907904" w:rsidRPr="00F32477" w:rsidRDefault="00907904" w:rsidP="00582262">
            <w:pPr>
              <w:ind w:right="-57"/>
              <w:jc w:val="both"/>
              <w:rPr>
                <w:rFonts w:ascii="Verdana" w:hAnsi="Verdana"/>
                <w:sz w:val="18"/>
                <w:szCs w:val="18"/>
              </w:rPr>
            </w:pPr>
            <w:r w:rsidRPr="00F32477">
              <w:rPr>
                <w:rFonts w:ascii="Verdana" w:hAnsi="Verdana"/>
                <w:sz w:val="18"/>
                <w:szCs w:val="18"/>
              </w:rPr>
              <w:t>Charges Amortissement :</w:t>
            </w:r>
          </w:p>
        </w:tc>
        <w:tc>
          <w:tcPr>
            <w:tcW w:w="1843" w:type="dxa"/>
          </w:tcPr>
          <w:p w:rsidR="00907904" w:rsidRPr="00F32477" w:rsidRDefault="00907904" w:rsidP="00582262">
            <w:pPr>
              <w:ind w:right="-57"/>
              <w:jc w:val="right"/>
              <w:rPr>
                <w:rFonts w:ascii="Verdana" w:hAnsi="Verdana"/>
                <w:sz w:val="18"/>
                <w:szCs w:val="18"/>
              </w:rPr>
            </w:pPr>
            <w:r w:rsidRPr="00F32477">
              <w:rPr>
                <w:rFonts w:ascii="Verdana" w:hAnsi="Verdana"/>
                <w:sz w:val="18"/>
                <w:szCs w:val="18"/>
              </w:rPr>
              <w:t>750.000</w:t>
            </w:r>
          </w:p>
        </w:tc>
        <w:tc>
          <w:tcPr>
            <w:tcW w:w="1842" w:type="dxa"/>
          </w:tcPr>
          <w:p w:rsidR="00907904" w:rsidRPr="00F32477" w:rsidRDefault="00907904" w:rsidP="00582262">
            <w:pPr>
              <w:ind w:right="-57"/>
              <w:jc w:val="right"/>
              <w:rPr>
                <w:rFonts w:ascii="Verdana" w:hAnsi="Verdana"/>
                <w:sz w:val="18"/>
                <w:szCs w:val="18"/>
              </w:rPr>
            </w:pPr>
            <w:r w:rsidRPr="00F32477">
              <w:rPr>
                <w:rFonts w:ascii="Verdana" w:hAnsi="Verdana"/>
                <w:sz w:val="18"/>
                <w:szCs w:val="18"/>
              </w:rPr>
              <w:t>750.000</w:t>
            </w:r>
          </w:p>
          <w:p w:rsidR="00907904" w:rsidRPr="00F32477" w:rsidRDefault="00907904" w:rsidP="00582262">
            <w:pPr>
              <w:ind w:right="-57"/>
              <w:jc w:val="center"/>
              <w:rPr>
                <w:rFonts w:ascii="Verdana" w:hAnsi="Verdana"/>
                <w:sz w:val="18"/>
                <w:szCs w:val="18"/>
              </w:rPr>
            </w:pPr>
          </w:p>
        </w:tc>
        <w:tc>
          <w:tcPr>
            <w:tcW w:w="1733" w:type="dxa"/>
          </w:tcPr>
          <w:p w:rsidR="00907904" w:rsidRPr="00F32477" w:rsidRDefault="00907904" w:rsidP="00582262">
            <w:pPr>
              <w:ind w:right="-57"/>
              <w:jc w:val="right"/>
              <w:rPr>
                <w:rFonts w:ascii="Verdana" w:hAnsi="Verdana"/>
                <w:sz w:val="18"/>
                <w:szCs w:val="18"/>
              </w:rPr>
            </w:pPr>
            <w:r w:rsidRPr="00F32477">
              <w:rPr>
                <w:rFonts w:ascii="Verdana" w:hAnsi="Verdana"/>
                <w:sz w:val="18"/>
                <w:szCs w:val="18"/>
              </w:rPr>
              <w:t>750.000</w:t>
            </w:r>
          </w:p>
        </w:tc>
      </w:tr>
      <w:tr w:rsidR="00907904" w:rsidRPr="00F32477" w:rsidTr="00582262">
        <w:tc>
          <w:tcPr>
            <w:tcW w:w="3794" w:type="dxa"/>
          </w:tcPr>
          <w:p w:rsidR="00907904" w:rsidRPr="00F32477" w:rsidRDefault="00907904" w:rsidP="00582262">
            <w:pPr>
              <w:jc w:val="both"/>
              <w:rPr>
                <w:rFonts w:ascii="Verdana" w:hAnsi="Verdana"/>
                <w:sz w:val="18"/>
                <w:szCs w:val="18"/>
              </w:rPr>
            </w:pPr>
            <w:r w:rsidRPr="00F32477">
              <w:rPr>
                <w:rFonts w:ascii="Verdana" w:hAnsi="Verdana"/>
                <w:sz w:val="18"/>
                <w:szCs w:val="18"/>
              </w:rPr>
              <w:t>CH. F. TOTALE</w:t>
            </w:r>
          </w:p>
        </w:tc>
        <w:tc>
          <w:tcPr>
            <w:tcW w:w="1843" w:type="dxa"/>
          </w:tcPr>
          <w:p w:rsidR="00907904" w:rsidRPr="00F32477" w:rsidRDefault="00907904" w:rsidP="00582262">
            <w:pPr>
              <w:jc w:val="right"/>
              <w:rPr>
                <w:rFonts w:ascii="Verdana" w:hAnsi="Verdana"/>
                <w:sz w:val="18"/>
                <w:szCs w:val="18"/>
              </w:rPr>
            </w:pPr>
            <w:r w:rsidRPr="00F32477">
              <w:rPr>
                <w:rFonts w:ascii="Verdana" w:hAnsi="Verdana"/>
                <w:sz w:val="18"/>
                <w:szCs w:val="18"/>
              </w:rPr>
              <w:t>750.000</w:t>
            </w:r>
          </w:p>
        </w:tc>
        <w:tc>
          <w:tcPr>
            <w:tcW w:w="1842" w:type="dxa"/>
          </w:tcPr>
          <w:p w:rsidR="00907904" w:rsidRPr="00F32477" w:rsidRDefault="00907904" w:rsidP="00582262">
            <w:pPr>
              <w:jc w:val="right"/>
              <w:rPr>
                <w:rFonts w:ascii="Verdana" w:hAnsi="Verdana"/>
                <w:sz w:val="18"/>
                <w:szCs w:val="18"/>
              </w:rPr>
            </w:pPr>
            <w:r w:rsidRPr="00F32477">
              <w:rPr>
                <w:rFonts w:ascii="Verdana" w:hAnsi="Verdana"/>
                <w:sz w:val="18"/>
                <w:szCs w:val="18"/>
              </w:rPr>
              <w:t>750.000</w:t>
            </w:r>
          </w:p>
        </w:tc>
        <w:tc>
          <w:tcPr>
            <w:tcW w:w="1733" w:type="dxa"/>
          </w:tcPr>
          <w:p w:rsidR="00907904" w:rsidRPr="00F32477" w:rsidRDefault="00907904" w:rsidP="00582262">
            <w:pPr>
              <w:jc w:val="right"/>
              <w:rPr>
                <w:rFonts w:ascii="Verdana" w:hAnsi="Verdana"/>
                <w:sz w:val="18"/>
                <w:szCs w:val="18"/>
              </w:rPr>
            </w:pPr>
            <w:r w:rsidRPr="00F32477">
              <w:rPr>
                <w:rFonts w:ascii="Verdana" w:hAnsi="Verdana"/>
                <w:sz w:val="18"/>
                <w:szCs w:val="18"/>
              </w:rPr>
              <w:t>750.000</w:t>
            </w:r>
          </w:p>
        </w:tc>
      </w:tr>
      <w:tr w:rsidR="00907904" w:rsidRPr="00F32477" w:rsidTr="00582262">
        <w:tc>
          <w:tcPr>
            <w:tcW w:w="3794" w:type="dxa"/>
          </w:tcPr>
          <w:p w:rsidR="00907904" w:rsidRPr="00F32477" w:rsidRDefault="00907904" w:rsidP="00582262">
            <w:pPr>
              <w:jc w:val="center"/>
              <w:rPr>
                <w:rFonts w:ascii="Verdana" w:hAnsi="Verdana"/>
                <w:sz w:val="18"/>
                <w:szCs w:val="18"/>
              </w:rPr>
            </w:pPr>
            <w:r w:rsidRPr="00F32477">
              <w:rPr>
                <w:rFonts w:ascii="Verdana" w:hAnsi="Verdana"/>
                <w:sz w:val="18"/>
                <w:szCs w:val="18"/>
              </w:rPr>
              <w:t>CH. F. / pièce</w:t>
            </w:r>
          </w:p>
        </w:tc>
        <w:tc>
          <w:tcPr>
            <w:tcW w:w="1843" w:type="dxa"/>
          </w:tcPr>
          <w:p w:rsidR="00907904" w:rsidRPr="00F32477" w:rsidRDefault="00907904" w:rsidP="00582262">
            <w:pPr>
              <w:jc w:val="center"/>
              <w:rPr>
                <w:rFonts w:ascii="Verdana" w:hAnsi="Verdana"/>
                <w:sz w:val="18"/>
                <w:szCs w:val="18"/>
              </w:rPr>
            </w:pPr>
            <w:r w:rsidRPr="00F32477">
              <w:rPr>
                <w:rFonts w:ascii="Verdana" w:hAnsi="Verdana"/>
                <w:sz w:val="18"/>
                <w:szCs w:val="18"/>
              </w:rPr>
              <w:t>750</w:t>
            </w:r>
          </w:p>
        </w:tc>
        <w:tc>
          <w:tcPr>
            <w:tcW w:w="1842" w:type="dxa"/>
          </w:tcPr>
          <w:p w:rsidR="00907904" w:rsidRPr="00F32477" w:rsidRDefault="00907904" w:rsidP="00582262">
            <w:pPr>
              <w:jc w:val="center"/>
              <w:rPr>
                <w:rFonts w:ascii="Verdana" w:hAnsi="Verdana"/>
                <w:sz w:val="18"/>
                <w:szCs w:val="18"/>
              </w:rPr>
            </w:pPr>
            <w:r w:rsidRPr="00F32477">
              <w:rPr>
                <w:rFonts w:ascii="Verdana" w:hAnsi="Verdana"/>
                <w:sz w:val="18"/>
                <w:szCs w:val="18"/>
              </w:rPr>
              <w:t>625</w:t>
            </w:r>
          </w:p>
        </w:tc>
        <w:tc>
          <w:tcPr>
            <w:tcW w:w="1733" w:type="dxa"/>
          </w:tcPr>
          <w:p w:rsidR="00907904" w:rsidRPr="00F32477" w:rsidRDefault="00907904" w:rsidP="00582262">
            <w:pPr>
              <w:jc w:val="center"/>
              <w:rPr>
                <w:rFonts w:ascii="Verdana" w:hAnsi="Verdana"/>
                <w:sz w:val="18"/>
                <w:szCs w:val="18"/>
              </w:rPr>
            </w:pPr>
            <w:r w:rsidRPr="00F32477">
              <w:rPr>
                <w:rFonts w:ascii="Verdana" w:hAnsi="Verdana"/>
                <w:sz w:val="18"/>
                <w:szCs w:val="18"/>
              </w:rPr>
              <w:t>500</w:t>
            </w:r>
          </w:p>
        </w:tc>
      </w:tr>
    </w:tbl>
    <w:p w:rsidR="00907904" w:rsidRDefault="00907904" w:rsidP="00907904">
      <w:pPr>
        <w:jc w:val="both"/>
        <w:rPr>
          <w:rFonts w:ascii="Verdana" w:hAnsi="Verdana"/>
        </w:rPr>
      </w:pPr>
    </w:p>
    <w:p w:rsidR="00907904" w:rsidRDefault="00907904" w:rsidP="00907904">
      <w:pPr>
        <w:jc w:val="both"/>
        <w:rPr>
          <w:rFonts w:ascii="Verdana" w:hAnsi="Verdana"/>
        </w:rPr>
      </w:pPr>
      <w:r>
        <w:rPr>
          <w:rFonts w:ascii="Verdana" w:hAnsi="Verdana"/>
        </w:rPr>
        <w:t>1° Charges Fixes par pièce = charge Fixe totale / activité</w:t>
      </w:r>
    </w:p>
    <w:p w:rsidR="00907904" w:rsidRPr="008D5295" w:rsidRDefault="00907904" w:rsidP="00907904">
      <w:pPr>
        <w:jc w:val="both"/>
        <w:rPr>
          <w:rFonts w:ascii="Verdana" w:hAnsi="Verdana"/>
        </w:rPr>
      </w:pPr>
      <w:r>
        <w:rPr>
          <w:rFonts w:ascii="Verdana" w:hAnsi="Verdana"/>
        </w:rPr>
        <w:t xml:space="preserve">2° Charge Fixe Globale : </w:t>
      </w:r>
      <w:r w:rsidRPr="00882ED9">
        <w:rPr>
          <w:rFonts w:ascii="Verdana" w:hAnsi="Verdana"/>
          <w:b/>
          <w:sz w:val="28"/>
          <w:szCs w:val="28"/>
        </w:rPr>
        <w:t>Y</w:t>
      </w:r>
      <w:r>
        <w:rPr>
          <w:rFonts w:ascii="Verdana" w:hAnsi="Verdana"/>
        </w:rPr>
        <w:t xml:space="preserve"> = 750.000</w:t>
      </w:r>
      <w:r>
        <w:rPr>
          <w:rFonts w:ascii="Verdana" w:hAnsi="Verdana"/>
          <w:b/>
          <w:sz w:val="28"/>
          <w:szCs w:val="28"/>
        </w:rPr>
        <w:t xml:space="preserve"> </w:t>
      </w:r>
      <w:r w:rsidRPr="00882ED9">
        <w:rPr>
          <w:rFonts w:ascii="Verdana" w:hAnsi="Verdana"/>
        </w:rPr>
        <w:t>(</w:t>
      </w:r>
      <w:r>
        <w:rPr>
          <w:rFonts w:ascii="Verdana" w:hAnsi="Verdana"/>
        </w:rPr>
        <w:t>une fonction constante</w:t>
      </w:r>
      <w:r w:rsidRPr="00882ED9">
        <w:rPr>
          <w:rFonts w:ascii="Verdana" w:hAnsi="Verdana"/>
        </w:rPr>
        <w:t>)</w:t>
      </w:r>
      <w:r>
        <w:rPr>
          <w:rFonts w:ascii="Verdana" w:hAnsi="Verdana"/>
        </w:rPr>
        <w:t>.</w:t>
      </w:r>
    </w:p>
    <w:p w:rsidR="00907904" w:rsidRPr="005C4C92" w:rsidRDefault="00253EBA" w:rsidP="00907904">
      <w:pPr>
        <w:pStyle w:val="Paragraphedeliste"/>
        <w:numPr>
          <w:ilvl w:val="0"/>
          <w:numId w:val="1"/>
        </w:numPr>
        <w:jc w:val="both"/>
        <w:rPr>
          <w:rFonts w:ascii="Verdana" w:hAnsi="Verdana"/>
          <w:b/>
          <w:sz w:val="24"/>
          <w:szCs w:val="24"/>
        </w:rPr>
      </w:pPr>
      <w:r>
        <w:rPr>
          <w:rFonts w:ascii="Verdana" w:hAnsi="Verdana"/>
          <w:b/>
          <w:sz w:val="24"/>
          <w:szCs w:val="24"/>
        </w:rPr>
        <w:t>Charges semi-variables</w:t>
      </w:r>
      <w:r w:rsidR="00907904" w:rsidRPr="005C4C92">
        <w:rPr>
          <w:rFonts w:ascii="Verdana" w:hAnsi="Verdana"/>
          <w:b/>
          <w:sz w:val="24"/>
          <w:szCs w:val="24"/>
        </w:rPr>
        <w:t xml:space="preserve"> ou mixtes</w:t>
      </w:r>
    </w:p>
    <w:p w:rsidR="00907904" w:rsidRDefault="00907904" w:rsidP="00907904">
      <w:pPr>
        <w:jc w:val="both"/>
        <w:rPr>
          <w:rFonts w:ascii="Verdana" w:hAnsi="Verdana"/>
        </w:rPr>
      </w:pPr>
      <w:r>
        <w:rPr>
          <w:rFonts w:ascii="Verdana" w:hAnsi="Verdana"/>
        </w:rPr>
        <w:t>Elles comportent une partie variable et une partie fixe. Elles varient non proportionnellement à l’activité. Elles doivent être réparties en charges fixes et charges variables.</w:t>
      </w:r>
    </w:p>
    <w:p w:rsidR="00907904" w:rsidRDefault="00907904" w:rsidP="00907904">
      <w:pPr>
        <w:jc w:val="both"/>
        <w:rPr>
          <w:rFonts w:ascii="Verdana" w:hAnsi="Verdana"/>
        </w:rPr>
      </w:pPr>
      <w:r w:rsidRPr="003628D7">
        <w:rPr>
          <w:rFonts w:ascii="Verdana" w:hAnsi="Verdana"/>
          <w:b/>
        </w:rPr>
        <w:t>Exemple :</w:t>
      </w:r>
      <w:r>
        <w:rPr>
          <w:rFonts w:ascii="Verdana" w:hAnsi="Verdana"/>
        </w:rPr>
        <w:t xml:space="preserve"> les salaires des commerciaux, les dépenses de téléphones, d’électricité etc.</w:t>
      </w:r>
    </w:p>
    <w:p w:rsidR="00907904" w:rsidRDefault="00907904" w:rsidP="00907904">
      <w:pPr>
        <w:jc w:val="both"/>
        <w:rPr>
          <w:rFonts w:ascii="Verdana" w:hAnsi="Verdana"/>
        </w:rPr>
      </w:pPr>
      <w:r>
        <w:rPr>
          <w:rFonts w:ascii="Verdana" w:hAnsi="Verdana"/>
        </w:rPr>
        <w:t xml:space="preserve">L’équation des charges totales est de la forme : </w:t>
      </w:r>
      <w:r w:rsidRPr="003628D7">
        <w:rPr>
          <w:rFonts w:ascii="Verdana" w:hAnsi="Verdana"/>
          <w:b/>
          <w:sz w:val="28"/>
          <w:szCs w:val="28"/>
        </w:rPr>
        <w:t>Y</w:t>
      </w:r>
      <w:r>
        <w:rPr>
          <w:rFonts w:ascii="Verdana" w:hAnsi="Verdana"/>
        </w:rPr>
        <w:t xml:space="preserve"> = </w:t>
      </w:r>
      <w:r w:rsidRPr="003628D7">
        <w:rPr>
          <w:rFonts w:ascii="Verdana" w:hAnsi="Verdana"/>
          <w:b/>
          <w:sz w:val="28"/>
          <w:szCs w:val="28"/>
        </w:rPr>
        <w:t>ax</w:t>
      </w:r>
      <w:r>
        <w:rPr>
          <w:rFonts w:ascii="Verdana" w:hAnsi="Verdana"/>
        </w:rPr>
        <w:t xml:space="preserve"> + </w:t>
      </w:r>
      <w:r w:rsidRPr="003628D7">
        <w:rPr>
          <w:rFonts w:ascii="Verdana" w:hAnsi="Verdana"/>
          <w:b/>
          <w:sz w:val="28"/>
          <w:szCs w:val="28"/>
        </w:rPr>
        <w:t>b</w:t>
      </w:r>
    </w:p>
    <w:p w:rsidR="00907904" w:rsidRDefault="00907904" w:rsidP="00907904">
      <w:pPr>
        <w:jc w:val="both"/>
        <w:rPr>
          <w:rFonts w:ascii="Verdana" w:hAnsi="Verdana"/>
        </w:rPr>
      </w:pPr>
      <w:r>
        <w:rPr>
          <w:rFonts w:ascii="Verdana" w:hAnsi="Verdana"/>
        </w:rPr>
        <w:t>Coût total = coût variable + coût fixe</w:t>
      </w:r>
    </w:p>
    <w:tbl>
      <w:tblPr>
        <w:tblStyle w:val="Grilledutableau"/>
        <w:tblW w:w="0" w:type="auto"/>
        <w:tblLook w:val="04A0" w:firstRow="1" w:lastRow="0" w:firstColumn="1" w:lastColumn="0" w:noHBand="0" w:noVBand="1"/>
      </w:tblPr>
      <w:tblGrid>
        <w:gridCol w:w="3794"/>
        <w:gridCol w:w="1843"/>
        <w:gridCol w:w="1842"/>
        <w:gridCol w:w="1733"/>
      </w:tblGrid>
      <w:tr w:rsidR="00907904" w:rsidRPr="00F32477" w:rsidTr="00582262">
        <w:tc>
          <w:tcPr>
            <w:tcW w:w="3794" w:type="dxa"/>
          </w:tcPr>
          <w:p w:rsidR="00907904" w:rsidRPr="00F32477" w:rsidRDefault="00907904" w:rsidP="00582262">
            <w:pPr>
              <w:jc w:val="both"/>
              <w:rPr>
                <w:rFonts w:ascii="Verdana" w:hAnsi="Verdana"/>
                <w:b/>
                <w:sz w:val="18"/>
                <w:szCs w:val="18"/>
              </w:rPr>
            </w:pPr>
            <w:r w:rsidRPr="00F32477">
              <w:rPr>
                <w:rFonts w:ascii="Verdana" w:hAnsi="Verdana"/>
                <w:b/>
                <w:sz w:val="18"/>
                <w:szCs w:val="18"/>
              </w:rPr>
              <w:t xml:space="preserve">Mois </w:t>
            </w:r>
          </w:p>
        </w:tc>
        <w:tc>
          <w:tcPr>
            <w:tcW w:w="1843" w:type="dxa"/>
          </w:tcPr>
          <w:p w:rsidR="00907904" w:rsidRPr="00F32477" w:rsidRDefault="00907904" w:rsidP="00582262">
            <w:pPr>
              <w:jc w:val="right"/>
              <w:rPr>
                <w:rFonts w:ascii="Verdana" w:hAnsi="Verdana"/>
                <w:b/>
                <w:sz w:val="18"/>
                <w:szCs w:val="18"/>
              </w:rPr>
            </w:pPr>
            <w:r w:rsidRPr="00F32477">
              <w:rPr>
                <w:rFonts w:ascii="Verdana" w:hAnsi="Verdana"/>
                <w:b/>
                <w:sz w:val="18"/>
                <w:szCs w:val="18"/>
              </w:rPr>
              <w:t>Janvier</w:t>
            </w:r>
          </w:p>
        </w:tc>
        <w:tc>
          <w:tcPr>
            <w:tcW w:w="1842" w:type="dxa"/>
          </w:tcPr>
          <w:p w:rsidR="00907904" w:rsidRPr="00F32477" w:rsidRDefault="00907904" w:rsidP="00582262">
            <w:pPr>
              <w:jc w:val="right"/>
              <w:rPr>
                <w:rFonts w:ascii="Verdana" w:hAnsi="Verdana"/>
                <w:b/>
                <w:sz w:val="18"/>
                <w:szCs w:val="18"/>
              </w:rPr>
            </w:pPr>
            <w:r w:rsidRPr="00F32477">
              <w:rPr>
                <w:rFonts w:ascii="Verdana" w:hAnsi="Verdana"/>
                <w:b/>
                <w:sz w:val="18"/>
                <w:szCs w:val="18"/>
              </w:rPr>
              <w:t>Février</w:t>
            </w:r>
          </w:p>
        </w:tc>
        <w:tc>
          <w:tcPr>
            <w:tcW w:w="1733" w:type="dxa"/>
          </w:tcPr>
          <w:p w:rsidR="00907904" w:rsidRPr="00F32477" w:rsidRDefault="00907904" w:rsidP="00582262">
            <w:pPr>
              <w:jc w:val="right"/>
              <w:rPr>
                <w:rFonts w:ascii="Verdana" w:hAnsi="Verdana"/>
                <w:b/>
                <w:sz w:val="18"/>
                <w:szCs w:val="18"/>
              </w:rPr>
            </w:pPr>
            <w:r w:rsidRPr="00F32477">
              <w:rPr>
                <w:rFonts w:ascii="Verdana" w:hAnsi="Verdana"/>
                <w:b/>
                <w:sz w:val="18"/>
                <w:szCs w:val="18"/>
              </w:rPr>
              <w:t>Mars</w:t>
            </w:r>
          </w:p>
        </w:tc>
      </w:tr>
      <w:tr w:rsidR="00907904" w:rsidRPr="00F32477" w:rsidTr="00582262">
        <w:tc>
          <w:tcPr>
            <w:tcW w:w="3794" w:type="dxa"/>
          </w:tcPr>
          <w:p w:rsidR="00907904" w:rsidRPr="00F32477" w:rsidRDefault="00907904" w:rsidP="00582262">
            <w:pPr>
              <w:jc w:val="center"/>
              <w:rPr>
                <w:rFonts w:ascii="Verdana" w:hAnsi="Verdana"/>
                <w:sz w:val="18"/>
                <w:szCs w:val="18"/>
              </w:rPr>
            </w:pPr>
            <w:r w:rsidRPr="00F32477">
              <w:rPr>
                <w:rFonts w:ascii="Verdana" w:hAnsi="Verdana"/>
                <w:sz w:val="18"/>
                <w:szCs w:val="18"/>
              </w:rPr>
              <w:t>Activités</w:t>
            </w:r>
          </w:p>
        </w:tc>
        <w:tc>
          <w:tcPr>
            <w:tcW w:w="1843" w:type="dxa"/>
          </w:tcPr>
          <w:p w:rsidR="00907904" w:rsidRPr="00F32477" w:rsidRDefault="00907904" w:rsidP="00582262">
            <w:pPr>
              <w:jc w:val="center"/>
              <w:rPr>
                <w:rFonts w:ascii="Verdana" w:hAnsi="Verdana"/>
                <w:sz w:val="18"/>
                <w:szCs w:val="18"/>
              </w:rPr>
            </w:pPr>
            <w:r w:rsidRPr="00F32477">
              <w:rPr>
                <w:rFonts w:ascii="Verdana" w:hAnsi="Verdana"/>
                <w:sz w:val="18"/>
                <w:szCs w:val="18"/>
              </w:rPr>
              <w:t>1000</w:t>
            </w:r>
          </w:p>
        </w:tc>
        <w:tc>
          <w:tcPr>
            <w:tcW w:w="1842" w:type="dxa"/>
          </w:tcPr>
          <w:p w:rsidR="00907904" w:rsidRPr="00F32477" w:rsidRDefault="00907904" w:rsidP="00582262">
            <w:pPr>
              <w:jc w:val="center"/>
              <w:rPr>
                <w:rFonts w:ascii="Verdana" w:hAnsi="Verdana"/>
                <w:sz w:val="18"/>
                <w:szCs w:val="18"/>
              </w:rPr>
            </w:pPr>
            <w:r w:rsidRPr="00F32477">
              <w:rPr>
                <w:rFonts w:ascii="Verdana" w:hAnsi="Verdana"/>
                <w:sz w:val="18"/>
                <w:szCs w:val="18"/>
              </w:rPr>
              <w:t>1200</w:t>
            </w:r>
          </w:p>
        </w:tc>
        <w:tc>
          <w:tcPr>
            <w:tcW w:w="1733" w:type="dxa"/>
          </w:tcPr>
          <w:p w:rsidR="00907904" w:rsidRPr="00F32477" w:rsidRDefault="00907904" w:rsidP="00582262">
            <w:pPr>
              <w:jc w:val="center"/>
              <w:rPr>
                <w:rFonts w:ascii="Verdana" w:hAnsi="Verdana"/>
                <w:sz w:val="18"/>
                <w:szCs w:val="18"/>
              </w:rPr>
            </w:pPr>
            <w:r w:rsidRPr="00F32477">
              <w:rPr>
                <w:rFonts w:ascii="Verdana" w:hAnsi="Verdana"/>
                <w:sz w:val="18"/>
                <w:szCs w:val="18"/>
              </w:rPr>
              <w:t>1500</w:t>
            </w:r>
          </w:p>
        </w:tc>
      </w:tr>
      <w:tr w:rsidR="00907904" w:rsidRPr="00F32477" w:rsidTr="00582262">
        <w:tc>
          <w:tcPr>
            <w:tcW w:w="3794" w:type="dxa"/>
          </w:tcPr>
          <w:p w:rsidR="00907904" w:rsidRPr="00F32477" w:rsidRDefault="00907904" w:rsidP="00582262">
            <w:pPr>
              <w:ind w:right="-57"/>
              <w:jc w:val="both"/>
              <w:rPr>
                <w:rFonts w:ascii="Verdana" w:hAnsi="Verdana"/>
                <w:sz w:val="18"/>
                <w:szCs w:val="18"/>
              </w:rPr>
            </w:pPr>
            <w:r w:rsidRPr="00F32477">
              <w:rPr>
                <w:rFonts w:ascii="Verdana" w:hAnsi="Verdana"/>
                <w:b/>
                <w:sz w:val="18"/>
                <w:szCs w:val="18"/>
              </w:rPr>
              <w:t>ax</w:t>
            </w:r>
            <w:r w:rsidRPr="00F32477">
              <w:rPr>
                <w:rFonts w:ascii="Verdana" w:hAnsi="Verdana"/>
                <w:sz w:val="18"/>
                <w:szCs w:val="18"/>
              </w:rPr>
              <w:t xml:space="preserve"> + </w:t>
            </w:r>
            <w:r w:rsidRPr="00F32477">
              <w:rPr>
                <w:rFonts w:ascii="Verdana" w:hAnsi="Verdana"/>
                <w:b/>
                <w:sz w:val="18"/>
                <w:szCs w:val="18"/>
              </w:rPr>
              <w:t>b</w:t>
            </w:r>
          </w:p>
        </w:tc>
        <w:tc>
          <w:tcPr>
            <w:tcW w:w="1843" w:type="dxa"/>
          </w:tcPr>
          <w:p w:rsidR="00907904" w:rsidRPr="00F32477" w:rsidRDefault="00907904" w:rsidP="00582262">
            <w:pPr>
              <w:ind w:right="-57"/>
              <w:jc w:val="right"/>
              <w:rPr>
                <w:rFonts w:ascii="Verdana" w:hAnsi="Verdana"/>
                <w:sz w:val="18"/>
                <w:szCs w:val="18"/>
              </w:rPr>
            </w:pPr>
            <w:r w:rsidRPr="00F32477">
              <w:rPr>
                <w:rFonts w:ascii="Verdana" w:hAnsi="Verdana"/>
                <w:sz w:val="18"/>
                <w:szCs w:val="18"/>
              </w:rPr>
              <w:t>450.000</w:t>
            </w:r>
          </w:p>
        </w:tc>
        <w:tc>
          <w:tcPr>
            <w:tcW w:w="1842" w:type="dxa"/>
          </w:tcPr>
          <w:p w:rsidR="00907904" w:rsidRPr="00F32477" w:rsidRDefault="00907904" w:rsidP="00582262">
            <w:pPr>
              <w:ind w:right="-57"/>
              <w:rPr>
                <w:rFonts w:ascii="Verdana" w:hAnsi="Verdana"/>
                <w:sz w:val="18"/>
                <w:szCs w:val="18"/>
              </w:rPr>
            </w:pPr>
            <w:r w:rsidRPr="00F32477">
              <w:rPr>
                <w:rFonts w:ascii="Verdana" w:hAnsi="Verdana"/>
                <w:sz w:val="18"/>
                <w:szCs w:val="18"/>
              </w:rPr>
              <w:t xml:space="preserve">         490.000</w:t>
            </w:r>
          </w:p>
          <w:p w:rsidR="00907904" w:rsidRPr="00F32477" w:rsidRDefault="00907904" w:rsidP="00582262">
            <w:pPr>
              <w:ind w:right="-57"/>
              <w:jc w:val="center"/>
              <w:rPr>
                <w:rFonts w:ascii="Verdana" w:hAnsi="Verdana"/>
                <w:sz w:val="18"/>
                <w:szCs w:val="18"/>
              </w:rPr>
            </w:pPr>
          </w:p>
        </w:tc>
        <w:tc>
          <w:tcPr>
            <w:tcW w:w="1733" w:type="dxa"/>
          </w:tcPr>
          <w:p w:rsidR="00907904" w:rsidRPr="00F32477" w:rsidRDefault="00907904" w:rsidP="00582262">
            <w:pPr>
              <w:ind w:right="-57"/>
              <w:jc w:val="right"/>
              <w:rPr>
                <w:rFonts w:ascii="Verdana" w:hAnsi="Verdana"/>
                <w:sz w:val="18"/>
                <w:szCs w:val="18"/>
              </w:rPr>
            </w:pPr>
            <w:r w:rsidRPr="00F32477">
              <w:rPr>
                <w:rFonts w:ascii="Verdana" w:hAnsi="Verdana"/>
                <w:sz w:val="18"/>
                <w:szCs w:val="18"/>
              </w:rPr>
              <w:t>550.000</w:t>
            </w:r>
          </w:p>
        </w:tc>
      </w:tr>
      <w:tr w:rsidR="00907904" w:rsidRPr="00F32477" w:rsidTr="00582262">
        <w:tc>
          <w:tcPr>
            <w:tcW w:w="3794" w:type="dxa"/>
          </w:tcPr>
          <w:p w:rsidR="00907904" w:rsidRPr="00F32477" w:rsidRDefault="00907904" w:rsidP="00582262">
            <w:pPr>
              <w:jc w:val="both"/>
              <w:rPr>
                <w:rFonts w:ascii="Verdana" w:hAnsi="Verdana"/>
                <w:sz w:val="18"/>
                <w:szCs w:val="18"/>
              </w:rPr>
            </w:pPr>
            <w:r w:rsidRPr="00F32477">
              <w:rPr>
                <w:rFonts w:ascii="Verdana" w:hAnsi="Verdana"/>
                <w:sz w:val="18"/>
                <w:szCs w:val="18"/>
              </w:rPr>
              <w:t xml:space="preserve">Fixe =  </w:t>
            </w:r>
            <w:r w:rsidRPr="00F32477">
              <w:rPr>
                <w:rFonts w:ascii="Verdana" w:hAnsi="Verdana"/>
                <w:b/>
                <w:sz w:val="18"/>
                <w:szCs w:val="18"/>
              </w:rPr>
              <w:t>b</w:t>
            </w:r>
          </w:p>
        </w:tc>
        <w:tc>
          <w:tcPr>
            <w:tcW w:w="1843" w:type="dxa"/>
          </w:tcPr>
          <w:p w:rsidR="00907904" w:rsidRPr="00F32477" w:rsidRDefault="00907904" w:rsidP="00582262">
            <w:pPr>
              <w:jc w:val="right"/>
              <w:rPr>
                <w:rFonts w:ascii="Verdana" w:hAnsi="Verdana"/>
                <w:sz w:val="18"/>
                <w:szCs w:val="18"/>
              </w:rPr>
            </w:pPr>
            <w:r w:rsidRPr="00F32477">
              <w:rPr>
                <w:rFonts w:ascii="Verdana" w:hAnsi="Verdana"/>
                <w:sz w:val="18"/>
                <w:szCs w:val="18"/>
              </w:rPr>
              <w:t>250.000</w:t>
            </w:r>
          </w:p>
        </w:tc>
        <w:tc>
          <w:tcPr>
            <w:tcW w:w="1842" w:type="dxa"/>
          </w:tcPr>
          <w:p w:rsidR="00907904" w:rsidRPr="00F32477" w:rsidRDefault="00907904" w:rsidP="00582262">
            <w:pPr>
              <w:jc w:val="right"/>
              <w:rPr>
                <w:rFonts w:ascii="Verdana" w:hAnsi="Verdana"/>
                <w:sz w:val="18"/>
                <w:szCs w:val="18"/>
              </w:rPr>
            </w:pPr>
            <w:r w:rsidRPr="00F32477">
              <w:rPr>
                <w:rFonts w:ascii="Verdana" w:hAnsi="Verdana"/>
                <w:sz w:val="18"/>
                <w:szCs w:val="18"/>
              </w:rPr>
              <w:t>250.000</w:t>
            </w:r>
          </w:p>
        </w:tc>
        <w:tc>
          <w:tcPr>
            <w:tcW w:w="1733" w:type="dxa"/>
          </w:tcPr>
          <w:p w:rsidR="00907904" w:rsidRPr="00F32477" w:rsidRDefault="00907904" w:rsidP="00582262">
            <w:pPr>
              <w:jc w:val="right"/>
              <w:rPr>
                <w:rFonts w:ascii="Verdana" w:hAnsi="Verdana"/>
                <w:sz w:val="18"/>
                <w:szCs w:val="18"/>
              </w:rPr>
            </w:pPr>
            <w:r w:rsidRPr="00F32477">
              <w:rPr>
                <w:rFonts w:ascii="Verdana" w:hAnsi="Verdana"/>
                <w:sz w:val="18"/>
                <w:szCs w:val="18"/>
              </w:rPr>
              <w:t>250.000</w:t>
            </w:r>
          </w:p>
        </w:tc>
      </w:tr>
      <w:tr w:rsidR="00907904" w:rsidRPr="00F32477" w:rsidTr="00582262">
        <w:tc>
          <w:tcPr>
            <w:tcW w:w="3794" w:type="dxa"/>
          </w:tcPr>
          <w:p w:rsidR="00907904" w:rsidRPr="00F32477" w:rsidRDefault="00907904" w:rsidP="00582262">
            <w:pPr>
              <w:rPr>
                <w:rFonts w:ascii="Verdana" w:hAnsi="Verdana"/>
                <w:sz w:val="18"/>
                <w:szCs w:val="18"/>
              </w:rPr>
            </w:pPr>
            <w:r w:rsidRPr="00F32477">
              <w:rPr>
                <w:rFonts w:ascii="Verdana" w:hAnsi="Verdana"/>
                <w:sz w:val="18"/>
                <w:szCs w:val="18"/>
              </w:rPr>
              <w:t xml:space="preserve">Variable = </w:t>
            </w:r>
            <w:r w:rsidRPr="00F32477">
              <w:rPr>
                <w:rFonts w:ascii="Verdana" w:hAnsi="Verdana"/>
                <w:b/>
                <w:sz w:val="18"/>
                <w:szCs w:val="18"/>
              </w:rPr>
              <w:t>ax</w:t>
            </w:r>
            <w:r w:rsidRPr="00F32477">
              <w:rPr>
                <w:rFonts w:ascii="Verdana" w:hAnsi="Verdana"/>
                <w:sz w:val="18"/>
                <w:szCs w:val="18"/>
              </w:rPr>
              <w:t xml:space="preserve"> </w:t>
            </w:r>
          </w:p>
        </w:tc>
        <w:tc>
          <w:tcPr>
            <w:tcW w:w="1843" w:type="dxa"/>
          </w:tcPr>
          <w:p w:rsidR="00907904" w:rsidRPr="00F32477" w:rsidRDefault="00907904" w:rsidP="00582262">
            <w:pPr>
              <w:jc w:val="center"/>
              <w:rPr>
                <w:rFonts w:ascii="Verdana" w:hAnsi="Verdana"/>
                <w:sz w:val="18"/>
                <w:szCs w:val="18"/>
              </w:rPr>
            </w:pPr>
            <w:r w:rsidRPr="00F32477">
              <w:rPr>
                <w:rFonts w:ascii="Verdana" w:hAnsi="Verdana"/>
                <w:sz w:val="18"/>
                <w:szCs w:val="18"/>
              </w:rPr>
              <w:t xml:space="preserve">         200.000</w:t>
            </w:r>
          </w:p>
        </w:tc>
        <w:tc>
          <w:tcPr>
            <w:tcW w:w="1842" w:type="dxa"/>
          </w:tcPr>
          <w:p w:rsidR="00907904" w:rsidRPr="00F32477" w:rsidRDefault="00907904" w:rsidP="00582262">
            <w:pPr>
              <w:jc w:val="center"/>
              <w:rPr>
                <w:rFonts w:ascii="Verdana" w:hAnsi="Verdana"/>
                <w:sz w:val="18"/>
                <w:szCs w:val="18"/>
              </w:rPr>
            </w:pPr>
            <w:r w:rsidRPr="00F32477">
              <w:rPr>
                <w:rFonts w:ascii="Verdana" w:hAnsi="Verdana"/>
                <w:sz w:val="18"/>
                <w:szCs w:val="18"/>
              </w:rPr>
              <w:t xml:space="preserve">         240.000</w:t>
            </w:r>
          </w:p>
        </w:tc>
        <w:tc>
          <w:tcPr>
            <w:tcW w:w="1733" w:type="dxa"/>
          </w:tcPr>
          <w:p w:rsidR="00907904" w:rsidRPr="00F32477" w:rsidRDefault="00907904" w:rsidP="00582262">
            <w:pPr>
              <w:jc w:val="center"/>
              <w:rPr>
                <w:rFonts w:ascii="Verdana" w:hAnsi="Verdana"/>
                <w:sz w:val="18"/>
                <w:szCs w:val="18"/>
              </w:rPr>
            </w:pPr>
            <w:r w:rsidRPr="00F32477">
              <w:rPr>
                <w:rFonts w:ascii="Verdana" w:hAnsi="Verdana"/>
                <w:sz w:val="18"/>
                <w:szCs w:val="18"/>
              </w:rPr>
              <w:t xml:space="preserve">       300.000</w:t>
            </w:r>
          </w:p>
        </w:tc>
      </w:tr>
    </w:tbl>
    <w:p w:rsidR="00907904" w:rsidRDefault="00907904" w:rsidP="00907904">
      <w:pPr>
        <w:jc w:val="both"/>
        <w:rPr>
          <w:rFonts w:ascii="Verdana" w:hAnsi="Verdana"/>
        </w:rPr>
      </w:pPr>
    </w:p>
    <w:p w:rsidR="00907904" w:rsidRPr="005C4C92" w:rsidRDefault="00907904" w:rsidP="00907904">
      <w:pPr>
        <w:pStyle w:val="Paragraphedeliste"/>
        <w:numPr>
          <w:ilvl w:val="0"/>
          <w:numId w:val="2"/>
        </w:numPr>
        <w:jc w:val="both"/>
        <w:rPr>
          <w:rFonts w:ascii="Verdana" w:hAnsi="Verdana"/>
          <w:b/>
          <w:sz w:val="24"/>
          <w:szCs w:val="24"/>
        </w:rPr>
      </w:pPr>
      <w:r w:rsidRPr="005C4C92">
        <w:rPr>
          <w:rFonts w:ascii="Verdana" w:hAnsi="Verdana"/>
          <w:b/>
          <w:sz w:val="24"/>
          <w:szCs w:val="24"/>
        </w:rPr>
        <w:t>Les marges sur coût variable (M/CV)</w:t>
      </w:r>
    </w:p>
    <w:p w:rsidR="00907904" w:rsidRDefault="00907904" w:rsidP="00907904">
      <w:pPr>
        <w:jc w:val="both"/>
        <w:rPr>
          <w:rFonts w:ascii="Verdana" w:hAnsi="Verdana"/>
        </w:rPr>
      </w:pPr>
      <w:r>
        <w:rPr>
          <w:rFonts w:ascii="Verdana" w:hAnsi="Verdana"/>
        </w:rPr>
        <w:t>La marge sur coût variable d’un produit est la différence entre le chiffre d’affaires et le coût variable de ce produit.</w:t>
      </w:r>
    </w:p>
    <w:p w:rsidR="00907904" w:rsidRPr="00D50B62" w:rsidRDefault="00907904" w:rsidP="00907904">
      <w:pPr>
        <w:pBdr>
          <w:top w:val="single" w:sz="4" w:space="1" w:color="auto"/>
          <w:left w:val="single" w:sz="4" w:space="4" w:color="auto"/>
          <w:bottom w:val="single" w:sz="4" w:space="1" w:color="auto"/>
          <w:right w:val="single" w:sz="4" w:space="4" w:color="auto"/>
        </w:pBdr>
        <w:jc w:val="center"/>
        <w:rPr>
          <w:rFonts w:ascii="Verdana" w:hAnsi="Verdana"/>
        </w:rPr>
      </w:pPr>
      <w:r w:rsidRPr="00E66371">
        <w:rPr>
          <w:rFonts w:ascii="Verdana" w:hAnsi="Verdana"/>
          <w:b/>
        </w:rPr>
        <w:t>M/CV = Chiffre d’Affaires – Coût variable</w:t>
      </w:r>
      <w:r>
        <w:rPr>
          <w:rFonts w:ascii="Verdana" w:hAnsi="Verdana"/>
        </w:rPr>
        <w:t xml:space="preserve"> ou encore </w:t>
      </w:r>
      <w:r w:rsidRPr="00E66371">
        <w:rPr>
          <w:rFonts w:ascii="Verdana" w:hAnsi="Verdana"/>
          <w:b/>
        </w:rPr>
        <w:t>M/CV = CA - CV</w:t>
      </w:r>
    </w:p>
    <w:p w:rsidR="00907904" w:rsidRDefault="00907904" w:rsidP="00907904">
      <w:pPr>
        <w:jc w:val="both"/>
        <w:rPr>
          <w:rFonts w:ascii="Verdana" w:hAnsi="Verdana"/>
        </w:rPr>
      </w:pPr>
      <w:r>
        <w:rPr>
          <w:rFonts w:ascii="Verdana" w:hAnsi="Verdana"/>
        </w:rPr>
        <w:t>Elle peut être exprimée en pourcentage du chiffre d’affaires. On obtient alors le taux de marge sur coût variable (Taux M/CV).</w:t>
      </w:r>
    </w:p>
    <w:p w:rsidR="00907904" w:rsidRPr="00E66371" w:rsidRDefault="00907904" w:rsidP="00907904">
      <w:pPr>
        <w:jc w:val="both"/>
        <w:rPr>
          <w:rFonts w:ascii="Verdana" w:hAnsi="Verdana"/>
          <w:b/>
        </w:rPr>
      </w:pPr>
      <w:r w:rsidRPr="00E66371">
        <w:rPr>
          <w:rFonts w:ascii="Verdana" w:hAnsi="Verdana"/>
          <w:b/>
          <w:bdr w:val="single" w:sz="4" w:space="0" w:color="auto"/>
        </w:rPr>
        <w:lastRenderedPageBreak/>
        <w:t>Taux M/CV = Marge sur coût variable / Chiffre d’Affaires</w:t>
      </w:r>
      <w:r w:rsidRPr="00E66371">
        <w:rPr>
          <w:rFonts w:ascii="Verdana" w:hAnsi="Verdana"/>
          <w:b/>
        </w:rPr>
        <w:t xml:space="preserve"> </w:t>
      </w:r>
      <w:r>
        <w:rPr>
          <w:rFonts w:ascii="Verdana" w:hAnsi="Verdana"/>
          <w:b/>
        </w:rPr>
        <w:t xml:space="preserve">  </w:t>
      </w:r>
    </w:p>
    <w:p w:rsidR="00907904" w:rsidRDefault="00907904" w:rsidP="00907904">
      <w:pPr>
        <w:jc w:val="both"/>
        <w:rPr>
          <w:rFonts w:ascii="Verdana" w:hAnsi="Verdana"/>
        </w:rPr>
      </w:pPr>
      <w:r>
        <w:rPr>
          <w:rFonts w:ascii="Verdana" w:hAnsi="Verdana"/>
        </w:rPr>
        <w:t>La somme des marges sur coût variable par produit déduction faite des coûts fixes globaux permet de déterminer le résultat d’exploitation de l’entreprise.</w:t>
      </w:r>
    </w:p>
    <w:p w:rsidR="00907904" w:rsidRPr="00C7621E" w:rsidRDefault="00907904" w:rsidP="00907904">
      <w:pPr>
        <w:jc w:val="both"/>
        <w:rPr>
          <w:rFonts w:ascii="Verdana" w:hAnsi="Verdana"/>
          <w:b/>
        </w:rPr>
      </w:pPr>
      <w:r>
        <w:rPr>
          <w:rFonts w:ascii="Verdana" w:hAnsi="Verdana"/>
        </w:rPr>
        <w:t xml:space="preserve"> </w:t>
      </w:r>
      <w:r w:rsidRPr="00C7621E">
        <w:rPr>
          <w:rFonts w:ascii="Verdana" w:hAnsi="Verdana"/>
          <w:b/>
          <w:bdr w:val="single" w:sz="4" w:space="0" w:color="auto"/>
        </w:rPr>
        <w:t>Résultat d’exploitation = ∑ M/CV – Charges fixes totales</w:t>
      </w:r>
    </w:p>
    <w:p w:rsidR="00907904" w:rsidRDefault="00907904" w:rsidP="00907904">
      <w:pPr>
        <w:jc w:val="both"/>
        <w:rPr>
          <w:rFonts w:ascii="Verdana" w:hAnsi="Verdana"/>
        </w:rPr>
      </w:pPr>
      <w:r>
        <w:rPr>
          <w:rFonts w:ascii="Verdana" w:hAnsi="Verdana"/>
        </w:rPr>
        <w:t>La marge sur coût variable est un indicateur de gestion qui mesure la performance d’un produit ou d’une activité. Elle permet de répondre aux questions suivantes :</w:t>
      </w:r>
    </w:p>
    <w:p w:rsidR="00907904" w:rsidRDefault="00907904" w:rsidP="00907904">
      <w:pPr>
        <w:pStyle w:val="Paragraphedeliste"/>
        <w:numPr>
          <w:ilvl w:val="0"/>
          <w:numId w:val="3"/>
        </w:numPr>
        <w:jc w:val="both"/>
        <w:rPr>
          <w:rFonts w:ascii="Verdana" w:hAnsi="Verdana"/>
        </w:rPr>
      </w:pPr>
      <w:r>
        <w:rPr>
          <w:rFonts w:ascii="Verdana" w:hAnsi="Verdana"/>
        </w:rPr>
        <w:t>Quelle est la contribution du produit ou de l’activité à absorber les charges fixes</w:t>
      </w:r>
    </w:p>
    <w:p w:rsidR="00907904" w:rsidRDefault="00907904" w:rsidP="00907904">
      <w:pPr>
        <w:pStyle w:val="Paragraphedeliste"/>
        <w:numPr>
          <w:ilvl w:val="0"/>
          <w:numId w:val="3"/>
        </w:numPr>
        <w:jc w:val="both"/>
        <w:rPr>
          <w:rFonts w:ascii="Verdana" w:hAnsi="Verdana"/>
        </w:rPr>
      </w:pPr>
      <w:r>
        <w:rPr>
          <w:rFonts w:ascii="Verdana" w:hAnsi="Verdana"/>
        </w:rPr>
        <w:t>Ce produit est-il rentable</w:t>
      </w:r>
    </w:p>
    <w:p w:rsidR="00907904" w:rsidRDefault="00907904" w:rsidP="00907904">
      <w:pPr>
        <w:pStyle w:val="Paragraphedeliste"/>
        <w:numPr>
          <w:ilvl w:val="0"/>
          <w:numId w:val="3"/>
        </w:numPr>
        <w:jc w:val="both"/>
        <w:rPr>
          <w:rFonts w:ascii="Verdana" w:hAnsi="Verdana"/>
        </w:rPr>
      </w:pPr>
      <w:r>
        <w:rPr>
          <w:rFonts w:ascii="Verdana" w:hAnsi="Verdana"/>
        </w:rPr>
        <w:t>L’entreprise a-t-elle intérêt à développer ou à supprimer sa production ou sa commercialisation</w:t>
      </w:r>
    </w:p>
    <w:p w:rsidR="00907904" w:rsidRDefault="00907904" w:rsidP="00907904">
      <w:pPr>
        <w:jc w:val="both"/>
        <w:rPr>
          <w:rFonts w:ascii="Verdana" w:hAnsi="Verdana"/>
        </w:rPr>
      </w:pPr>
      <w:r>
        <w:rPr>
          <w:rFonts w:ascii="Verdana" w:hAnsi="Verdana"/>
        </w:rPr>
        <w:t>Avant de décider de la suppression d’un produit ou d’une activité, il faut s’assurer que cette suppression n’entraînera pas une diminution du résultat global.</w:t>
      </w:r>
    </w:p>
    <w:p w:rsidR="00907904" w:rsidRDefault="00907904" w:rsidP="00907904">
      <w:pPr>
        <w:jc w:val="both"/>
        <w:rPr>
          <w:rFonts w:ascii="Verdana" w:hAnsi="Verdana"/>
        </w:rPr>
      </w:pPr>
    </w:p>
    <w:p w:rsidR="00907904" w:rsidRPr="00601171" w:rsidRDefault="00907904" w:rsidP="00907904">
      <w:pPr>
        <w:pStyle w:val="Paragraphedeliste"/>
        <w:numPr>
          <w:ilvl w:val="0"/>
          <w:numId w:val="2"/>
        </w:numPr>
        <w:jc w:val="both"/>
        <w:rPr>
          <w:rFonts w:ascii="Verdana" w:hAnsi="Verdana"/>
          <w:b/>
          <w:sz w:val="24"/>
          <w:szCs w:val="24"/>
        </w:rPr>
      </w:pPr>
      <w:r w:rsidRPr="00601171">
        <w:rPr>
          <w:rFonts w:ascii="Verdana" w:hAnsi="Verdana"/>
          <w:b/>
          <w:sz w:val="24"/>
          <w:szCs w:val="24"/>
        </w:rPr>
        <w:t>Le tableau d’exploitation différentiel</w:t>
      </w:r>
    </w:p>
    <w:p w:rsidR="00907904" w:rsidRDefault="00907904" w:rsidP="00907904">
      <w:pPr>
        <w:jc w:val="both"/>
        <w:rPr>
          <w:rFonts w:ascii="Verdana" w:hAnsi="Verdana"/>
        </w:rPr>
      </w:pPr>
      <w:r>
        <w:rPr>
          <w:rFonts w:ascii="Verdana" w:hAnsi="Verdana"/>
        </w:rPr>
        <w:t>Le classement des charges en deux catégories (charges variables et charges fixes) permet de présenter des comptes d’exploitation ou de résultat par variabilité afin de mettre en évidence la marge sur coût variable qui contribue à couvrir les charges fixes supportées au cours de la période déterminée.</w:t>
      </w:r>
    </w:p>
    <w:p w:rsidR="00907904" w:rsidRDefault="00907904" w:rsidP="00907904">
      <w:pPr>
        <w:jc w:val="both"/>
        <w:rPr>
          <w:rFonts w:ascii="Verdana" w:hAnsi="Verdana"/>
        </w:rPr>
      </w:pPr>
      <w:r>
        <w:rPr>
          <w:rFonts w:ascii="Verdana" w:hAnsi="Verdana"/>
        </w:rPr>
        <w:t>Ce classement permet également de déterminer le chiffre d’affaires à partir duquel l’entreprise est bénéficiaire c’est-à-dire le seul de rentabilité.</w:t>
      </w:r>
    </w:p>
    <w:tbl>
      <w:tblPr>
        <w:tblStyle w:val="Grilledutableau"/>
        <w:tblW w:w="0" w:type="auto"/>
        <w:tblLook w:val="04A0" w:firstRow="1" w:lastRow="0" w:firstColumn="1" w:lastColumn="0" w:noHBand="0" w:noVBand="1"/>
      </w:tblPr>
      <w:tblGrid>
        <w:gridCol w:w="3070"/>
        <w:gridCol w:w="2000"/>
        <w:gridCol w:w="4142"/>
      </w:tblGrid>
      <w:tr w:rsidR="00907904" w:rsidRPr="00F32477" w:rsidTr="00582262">
        <w:tc>
          <w:tcPr>
            <w:tcW w:w="3070" w:type="dxa"/>
          </w:tcPr>
          <w:p w:rsidR="00907904" w:rsidRPr="00F32477" w:rsidRDefault="00907904" w:rsidP="00582262">
            <w:pPr>
              <w:jc w:val="center"/>
              <w:rPr>
                <w:rFonts w:ascii="Verdana" w:hAnsi="Verdana"/>
                <w:b/>
                <w:sz w:val="18"/>
                <w:szCs w:val="18"/>
              </w:rPr>
            </w:pPr>
            <w:r w:rsidRPr="00F32477">
              <w:rPr>
                <w:rFonts w:ascii="Verdana" w:hAnsi="Verdana"/>
                <w:b/>
                <w:sz w:val="18"/>
                <w:szCs w:val="18"/>
              </w:rPr>
              <w:t>Libellés</w:t>
            </w:r>
          </w:p>
        </w:tc>
        <w:tc>
          <w:tcPr>
            <w:tcW w:w="2000" w:type="dxa"/>
          </w:tcPr>
          <w:p w:rsidR="00907904" w:rsidRPr="00F32477" w:rsidRDefault="00907904" w:rsidP="00582262">
            <w:pPr>
              <w:jc w:val="center"/>
              <w:rPr>
                <w:rFonts w:ascii="Verdana" w:hAnsi="Verdana"/>
                <w:b/>
                <w:sz w:val="18"/>
                <w:szCs w:val="18"/>
              </w:rPr>
            </w:pPr>
            <w:r w:rsidRPr="00F32477">
              <w:rPr>
                <w:rFonts w:ascii="Verdana" w:hAnsi="Verdana"/>
                <w:b/>
                <w:sz w:val="18"/>
                <w:szCs w:val="18"/>
              </w:rPr>
              <w:t>Montant</w:t>
            </w:r>
          </w:p>
        </w:tc>
        <w:tc>
          <w:tcPr>
            <w:tcW w:w="4142" w:type="dxa"/>
          </w:tcPr>
          <w:p w:rsidR="00907904" w:rsidRPr="00F32477" w:rsidRDefault="00907904" w:rsidP="00582262">
            <w:pPr>
              <w:jc w:val="center"/>
              <w:rPr>
                <w:rFonts w:ascii="Verdana" w:hAnsi="Verdana"/>
                <w:b/>
                <w:sz w:val="18"/>
                <w:szCs w:val="18"/>
              </w:rPr>
            </w:pPr>
            <w:r w:rsidRPr="00F32477">
              <w:rPr>
                <w:rFonts w:ascii="Verdana" w:hAnsi="Verdana"/>
                <w:b/>
                <w:sz w:val="18"/>
                <w:szCs w:val="18"/>
              </w:rPr>
              <w:t>%</w:t>
            </w:r>
          </w:p>
        </w:tc>
      </w:tr>
      <w:tr w:rsidR="00907904" w:rsidRPr="00F32477" w:rsidTr="00582262">
        <w:tc>
          <w:tcPr>
            <w:tcW w:w="3070" w:type="dxa"/>
          </w:tcPr>
          <w:p w:rsidR="00907904" w:rsidRPr="00F32477" w:rsidRDefault="00907904" w:rsidP="00582262">
            <w:pPr>
              <w:jc w:val="both"/>
              <w:rPr>
                <w:rFonts w:ascii="Verdana" w:hAnsi="Verdana"/>
                <w:sz w:val="18"/>
                <w:szCs w:val="18"/>
              </w:rPr>
            </w:pPr>
            <w:r w:rsidRPr="00F32477">
              <w:rPr>
                <w:rFonts w:ascii="Verdana" w:hAnsi="Verdana"/>
                <w:sz w:val="18"/>
                <w:szCs w:val="18"/>
              </w:rPr>
              <w:t>Chiffre d’affaires</w:t>
            </w:r>
          </w:p>
        </w:tc>
        <w:tc>
          <w:tcPr>
            <w:tcW w:w="2000" w:type="dxa"/>
          </w:tcPr>
          <w:p w:rsidR="00907904" w:rsidRPr="00F32477" w:rsidRDefault="00907904" w:rsidP="00582262">
            <w:pPr>
              <w:jc w:val="center"/>
              <w:rPr>
                <w:rFonts w:ascii="Verdana" w:hAnsi="Verdana"/>
                <w:sz w:val="18"/>
                <w:szCs w:val="18"/>
              </w:rPr>
            </w:pPr>
            <w:r w:rsidRPr="00F32477">
              <w:rPr>
                <w:rFonts w:ascii="Verdana" w:hAnsi="Verdana"/>
                <w:sz w:val="18"/>
                <w:szCs w:val="18"/>
              </w:rPr>
              <w:t>A</w:t>
            </w:r>
          </w:p>
        </w:tc>
        <w:tc>
          <w:tcPr>
            <w:tcW w:w="4142" w:type="dxa"/>
          </w:tcPr>
          <w:p w:rsidR="00907904" w:rsidRPr="00F32477" w:rsidRDefault="00907904" w:rsidP="00582262">
            <w:pPr>
              <w:jc w:val="center"/>
              <w:rPr>
                <w:rFonts w:ascii="Verdana" w:hAnsi="Verdana"/>
                <w:sz w:val="18"/>
                <w:szCs w:val="18"/>
              </w:rPr>
            </w:pPr>
            <w:r w:rsidRPr="00F32477">
              <w:rPr>
                <w:rFonts w:ascii="Verdana" w:hAnsi="Verdana"/>
                <w:sz w:val="18"/>
                <w:szCs w:val="18"/>
              </w:rPr>
              <w:t>1</w:t>
            </w:r>
          </w:p>
        </w:tc>
      </w:tr>
      <w:tr w:rsidR="00907904" w:rsidRPr="00F32477" w:rsidTr="00582262">
        <w:tc>
          <w:tcPr>
            <w:tcW w:w="3070" w:type="dxa"/>
          </w:tcPr>
          <w:p w:rsidR="00907904" w:rsidRPr="00F32477" w:rsidRDefault="00907904" w:rsidP="00582262">
            <w:pPr>
              <w:jc w:val="both"/>
              <w:rPr>
                <w:rFonts w:ascii="Verdana" w:hAnsi="Verdana"/>
                <w:sz w:val="18"/>
                <w:szCs w:val="18"/>
              </w:rPr>
            </w:pPr>
            <w:r w:rsidRPr="00F32477">
              <w:rPr>
                <w:rFonts w:ascii="Verdana" w:hAnsi="Verdana"/>
                <w:sz w:val="18"/>
                <w:szCs w:val="18"/>
              </w:rPr>
              <w:t>Coût variable</w:t>
            </w:r>
          </w:p>
        </w:tc>
        <w:tc>
          <w:tcPr>
            <w:tcW w:w="2000" w:type="dxa"/>
          </w:tcPr>
          <w:p w:rsidR="00907904" w:rsidRPr="00F32477" w:rsidRDefault="00907904" w:rsidP="00582262">
            <w:pPr>
              <w:jc w:val="center"/>
              <w:rPr>
                <w:rFonts w:ascii="Verdana" w:hAnsi="Verdana"/>
                <w:sz w:val="18"/>
                <w:szCs w:val="18"/>
              </w:rPr>
            </w:pPr>
            <w:r w:rsidRPr="00F32477">
              <w:rPr>
                <w:rFonts w:ascii="Verdana" w:hAnsi="Verdana"/>
                <w:sz w:val="18"/>
                <w:szCs w:val="18"/>
              </w:rPr>
              <w:t>B</w:t>
            </w:r>
          </w:p>
        </w:tc>
        <w:tc>
          <w:tcPr>
            <w:tcW w:w="4142" w:type="dxa"/>
          </w:tcPr>
          <w:p w:rsidR="00907904" w:rsidRPr="00F32477" w:rsidRDefault="00907904" w:rsidP="00582262">
            <w:pPr>
              <w:jc w:val="center"/>
              <w:rPr>
                <w:rFonts w:ascii="Verdana" w:hAnsi="Verdana"/>
                <w:sz w:val="18"/>
                <w:szCs w:val="18"/>
              </w:rPr>
            </w:pPr>
            <w:r w:rsidRPr="00F32477">
              <w:rPr>
                <w:rFonts w:ascii="Verdana" w:hAnsi="Verdana"/>
                <w:sz w:val="18"/>
                <w:szCs w:val="18"/>
              </w:rPr>
              <w:t>Taux de coût variable</w:t>
            </w:r>
          </w:p>
        </w:tc>
      </w:tr>
      <w:tr w:rsidR="00907904" w:rsidRPr="00F32477" w:rsidTr="00582262">
        <w:tc>
          <w:tcPr>
            <w:tcW w:w="3070" w:type="dxa"/>
          </w:tcPr>
          <w:p w:rsidR="00907904" w:rsidRPr="00F32477" w:rsidRDefault="00907904" w:rsidP="00582262">
            <w:pPr>
              <w:jc w:val="both"/>
              <w:rPr>
                <w:rFonts w:ascii="Verdana" w:hAnsi="Verdana"/>
                <w:sz w:val="18"/>
                <w:szCs w:val="18"/>
              </w:rPr>
            </w:pPr>
            <w:r w:rsidRPr="00F32477">
              <w:rPr>
                <w:rFonts w:ascii="Verdana" w:hAnsi="Verdana"/>
                <w:sz w:val="18"/>
                <w:szCs w:val="18"/>
              </w:rPr>
              <w:t>Marge sur coût variable</w:t>
            </w:r>
          </w:p>
        </w:tc>
        <w:tc>
          <w:tcPr>
            <w:tcW w:w="2000" w:type="dxa"/>
          </w:tcPr>
          <w:p w:rsidR="00907904" w:rsidRPr="00F32477" w:rsidRDefault="00907904" w:rsidP="00582262">
            <w:pPr>
              <w:jc w:val="center"/>
              <w:rPr>
                <w:rFonts w:ascii="Verdana" w:hAnsi="Verdana"/>
                <w:sz w:val="18"/>
                <w:szCs w:val="18"/>
              </w:rPr>
            </w:pPr>
            <w:r w:rsidRPr="00F32477">
              <w:rPr>
                <w:rFonts w:ascii="Verdana" w:hAnsi="Verdana"/>
                <w:sz w:val="18"/>
                <w:szCs w:val="18"/>
              </w:rPr>
              <w:t>M = A - B</w:t>
            </w:r>
          </w:p>
        </w:tc>
        <w:tc>
          <w:tcPr>
            <w:tcW w:w="4142" w:type="dxa"/>
          </w:tcPr>
          <w:p w:rsidR="00907904" w:rsidRPr="00F32477" w:rsidRDefault="00907904" w:rsidP="00582262">
            <w:pPr>
              <w:jc w:val="center"/>
              <w:rPr>
                <w:rFonts w:ascii="Verdana" w:hAnsi="Verdana"/>
                <w:sz w:val="18"/>
                <w:szCs w:val="18"/>
              </w:rPr>
            </w:pPr>
            <w:r w:rsidRPr="00F32477">
              <w:rPr>
                <w:rFonts w:ascii="Verdana" w:hAnsi="Verdana"/>
                <w:sz w:val="18"/>
                <w:szCs w:val="18"/>
              </w:rPr>
              <w:t>Taux de marge sur coût variable</w:t>
            </w:r>
          </w:p>
        </w:tc>
      </w:tr>
      <w:tr w:rsidR="00907904" w:rsidRPr="00F32477" w:rsidTr="00582262">
        <w:tc>
          <w:tcPr>
            <w:tcW w:w="3070" w:type="dxa"/>
          </w:tcPr>
          <w:p w:rsidR="00907904" w:rsidRPr="00F32477" w:rsidRDefault="00907904" w:rsidP="00582262">
            <w:pPr>
              <w:jc w:val="both"/>
              <w:rPr>
                <w:rFonts w:ascii="Verdana" w:hAnsi="Verdana"/>
                <w:sz w:val="18"/>
                <w:szCs w:val="18"/>
              </w:rPr>
            </w:pPr>
            <w:r w:rsidRPr="00F32477">
              <w:rPr>
                <w:rFonts w:ascii="Verdana" w:hAnsi="Verdana"/>
                <w:sz w:val="18"/>
                <w:szCs w:val="18"/>
              </w:rPr>
              <w:t>Charges fixes totales</w:t>
            </w:r>
          </w:p>
        </w:tc>
        <w:tc>
          <w:tcPr>
            <w:tcW w:w="2000" w:type="dxa"/>
          </w:tcPr>
          <w:p w:rsidR="00907904" w:rsidRPr="00F32477" w:rsidRDefault="00907904" w:rsidP="00582262">
            <w:pPr>
              <w:jc w:val="center"/>
              <w:rPr>
                <w:rFonts w:ascii="Verdana" w:hAnsi="Verdana"/>
                <w:sz w:val="18"/>
                <w:szCs w:val="18"/>
              </w:rPr>
            </w:pPr>
            <w:r w:rsidRPr="00F32477">
              <w:rPr>
                <w:rFonts w:ascii="Verdana" w:hAnsi="Verdana"/>
                <w:sz w:val="18"/>
                <w:szCs w:val="18"/>
              </w:rPr>
              <w:t>F</w:t>
            </w:r>
          </w:p>
        </w:tc>
        <w:tc>
          <w:tcPr>
            <w:tcW w:w="4142" w:type="dxa"/>
          </w:tcPr>
          <w:p w:rsidR="00907904" w:rsidRPr="00F32477" w:rsidRDefault="00907904" w:rsidP="00582262">
            <w:pPr>
              <w:jc w:val="center"/>
              <w:rPr>
                <w:rFonts w:ascii="Verdana" w:hAnsi="Verdana"/>
                <w:sz w:val="18"/>
                <w:szCs w:val="18"/>
              </w:rPr>
            </w:pPr>
          </w:p>
        </w:tc>
      </w:tr>
      <w:tr w:rsidR="00907904" w:rsidRPr="00F32477" w:rsidTr="00582262">
        <w:tc>
          <w:tcPr>
            <w:tcW w:w="3070" w:type="dxa"/>
          </w:tcPr>
          <w:p w:rsidR="00907904" w:rsidRPr="00F32477" w:rsidRDefault="00907904" w:rsidP="00582262">
            <w:pPr>
              <w:jc w:val="both"/>
              <w:rPr>
                <w:rFonts w:ascii="Verdana" w:hAnsi="Verdana"/>
                <w:sz w:val="18"/>
                <w:szCs w:val="18"/>
              </w:rPr>
            </w:pPr>
            <w:r w:rsidRPr="00F32477">
              <w:rPr>
                <w:rFonts w:ascii="Verdana" w:hAnsi="Verdana"/>
                <w:sz w:val="18"/>
                <w:szCs w:val="18"/>
              </w:rPr>
              <w:t>Résultat d’exploitation</w:t>
            </w:r>
          </w:p>
        </w:tc>
        <w:tc>
          <w:tcPr>
            <w:tcW w:w="2000" w:type="dxa"/>
          </w:tcPr>
          <w:p w:rsidR="00907904" w:rsidRPr="00F32477" w:rsidRDefault="00907904" w:rsidP="00582262">
            <w:pPr>
              <w:jc w:val="center"/>
              <w:rPr>
                <w:rFonts w:ascii="Verdana" w:hAnsi="Verdana"/>
                <w:sz w:val="18"/>
                <w:szCs w:val="18"/>
              </w:rPr>
            </w:pPr>
            <w:r w:rsidRPr="00F32477">
              <w:rPr>
                <w:rFonts w:ascii="Verdana" w:hAnsi="Verdana"/>
                <w:sz w:val="18"/>
                <w:szCs w:val="18"/>
              </w:rPr>
              <w:t>R = M - F</w:t>
            </w:r>
          </w:p>
        </w:tc>
        <w:tc>
          <w:tcPr>
            <w:tcW w:w="4142" w:type="dxa"/>
          </w:tcPr>
          <w:p w:rsidR="00907904" w:rsidRPr="00F32477" w:rsidRDefault="00907904" w:rsidP="00582262">
            <w:pPr>
              <w:jc w:val="center"/>
              <w:rPr>
                <w:rFonts w:ascii="Verdana" w:hAnsi="Verdana"/>
                <w:sz w:val="18"/>
                <w:szCs w:val="18"/>
              </w:rPr>
            </w:pPr>
            <w:r w:rsidRPr="00F32477">
              <w:rPr>
                <w:rFonts w:ascii="Verdana" w:hAnsi="Verdana"/>
                <w:sz w:val="18"/>
                <w:szCs w:val="18"/>
              </w:rPr>
              <w:t>Taux de profitabilité</w:t>
            </w:r>
          </w:p>
        </w:tc>
      </w:tr>
    </w:tbl>
    <w:p w:rsidR="00907904" w:rsidRPr="00601171" w:rsidRDefault="00907904" w:rsidP="00907904">
      <w:pPr>
        <w:jc w:val="both"/>
        <w:rPr>
          <w:rFonts w:ascii="Verdana" w:hAnsi="Verdana"/>
        </w:rPr>
      </w:pPr>
    </w:p>
    <w:p w:rsidR="00907904" w:rsidRPr="00450195" w:rsidRDefault="00907904" w:rsidP="00907904">
      <w:pPr>
        <w:jc w:val="both"/>
        <w:rPr>
          <w:rFonts w:ascii="Verdana" w:hAnsi="Verdana"/>
          <w:b/>
          <w:sz w:val="24"/>
          <w:szCs w:val="24"/>
        </w:rPr>
      </w:pPr>
      <w:r w:rsidRPr="00450195">
        <w:rPr>
          <w:rFonts w:ascii="Verdana" w:hAnsi="Verdana"/>
          <w:b/>
          <w:sz w:val="24"/>
          <w:szCs w:val="24"/>
        </w:rPr>
        <w:t>SECTION II : les outils de mesure du risque d’exploitation</w:t>
      </w:r>
    </w:p>
    <w:p w:rsidR="00907904" w:rsidRDefault="00907904" w:rsidP="00907904">
      <w:pPr>
        <w:jc w:val="both"/>
        <w:rPr>
          <w:rFonts w:ascii="Verdana" w:hAnsi="Verdana"/>
        </w:rPr>
      </w:pPr>
      <w:r w:rsidRPr="002C3545">
        <w:rPr>
          <w:rFonts w:ascii="Verdana" w:hAnsi="Verdana"/>
        </w:rPr>
        <w:t>Le risque économique ou opérationnel (risque d’exploitation) résulte des fluctuations du résultat d’exploitation consécut</w:t>
      </w:r>
      <w:r>
        <w:rPr>
          <w:rFonts w:ascii="Verdana" w:hAnsi="Verdana"/>
        </w:rPr>
        <w:t>i</w:t>
      </w:r>
      <w:r w:rsidRPr="002C3545">
        <w:rPr>
          <w:rFonts w:ascii="Verdana" w:hAnsi="Verdana"/>
        </w:rPr>
        <w:t>ves aux variations du niveau d’activité.</w:t>
      </w:r>
      <w:r>
        <w:rPr>
          <w:rFonts w:ascii="Verdana" w:hAnsi="Verdana"/>
        </w:rPr>
        <w:t xml:space="preserve"> La volatilité de la rentabilité économique traduit le risque économique supporté par l’entreprise. Il est lié à la structure des charges et s’accroît avec l’augmentation des charges fixes. Il peut s’apprécier par l’élasticité du résultat d’exploitation par rapport au chiffre d’affaires (levier opérationnel) ainsi que par la position de l’entreprise par rapport à son seuil de rentabilité (marge de sécurité).</w:t>
      </w:r>
    </w:p>
    <w:p w:rsidR="00907904" w:rsidRDefault="00907904" w:rsidP="00907904">
      <w:pPr>
        <w:jc w:val="both"/>
        <w:rPr>
          <w:rFonts w:ascii="Verdana" w:hAnsi="Verdana"/>
        </w:rPr>
      </w:pPr>
      <w:r>
        <w:rPr>
          <w:rFonts w:ascii="Verdana" w:hAnsi="Verdana"/>
        </w:rPr>
        <w:lastRenderedPageBreak/>
        <w:t>On constate que, plus la proportion de charges fixes est grande, plus le risque économique est élevé. Il existe plusieurs méthodes pour mesurer ce risque :</w:t>
      </w:r>
    </w:p>
    <w:p w:rsidR="00907904" w:rsidRDefault="00907904" w:rsidP="00907904">
      <w:pPr>
        <w:pStyle w:val="Paragraphedeliste"/>
        <w:numPr>
          <w:ilvl w:val="0"/>
          <w:numId w:val="5"/>
        </w:numPr>
        <w:jc w:val="both"/>
        <w:rPr>
          <w:rFonts w:ascii="Verdana" w:hAnsi="Verdana"/>
        </w:rPr>
      </w:pPr>
      <w:r>
        <w:rPr>
          <w:rFonts w:ascii="Verdana" w:hAnsi="Verdana"/>
        </w:rPr>
        <w:t>Le seuil de rentabilité d’exploitation (SRE) ;</w:t>
      </w:r>
    </w:p>
    <w:p w:rsidR="00907904" w:rsidRDefault="00907904" w:rsidP="00907904">
      <w:pPr>
        <w:pStyle w:val="Paragraphedeliste"/>
        <w:numPr>
          <w:ilvl w:val="0"/>
          <w:numId w:val="5"/>
        </w:numPr>
        <w:jc w:val="both"/>
        <w:rPr>
          <w:rFonts w:ascii="Verdana" w:hAnsi="Verdana"/>
        </w:rPr>
      </w:pPr>
      <w:r>
        <w:rPr>
          <w:rFonts w:ascii="Verdana" w:hAnsi="Verdana"/>
        </w:rPr>
        <w:t>La marge de sécurité (MS) et l’indice de sécurité (IS) ;</w:t>
      </w:r>
    </w:p>
    <w:p w:rsidR="00907904" w:rsidRDefault="00907904" w:rsidP="00907904">
      <w:pPr>
        <w:pStyle w:val="Paragraphedeliste"/>
        <w:numPr>
          <w:ilvl w:val="0"/>
          <w:numId w:val="5"/>
        </w:numPr>
        <w:jc w:val="both"/>
        <w:rPr>
          <w:rFonts w:ascii="Verdana" w:hAnsi="Verdana"/>
        </w:rPr>
      </w:pPr>
      <w:r>
        <w:rPr>
          <w:rFonts w:ascii="Verdana" w:hAnsi="Verdana"/>
        </w:rPr>
        <w:t>Le levier opérationnel (LO) ou levier d’exploitation (LE).</w:t>
      </w:r>
    </w:p>
    <w:p w:rsidR="00907904" w:rsidRPr="008B0DD4" w:rsidRDefault="00907904" w:rsidP="00907904">
      <w:pPr>
        <w:pStyle w:val="Paragraphedeliste"/>
        <w:jc w:val="both"/>
        <w:rPr>
          <w:rFonts w:ascii="Verdana" w:hAnsi="Verdana"/>
        </w:rPr>
      </w:pPr>
    </w:p>
    <w:p w:rsidR="00907904" w:rsidRDefault="00907904" w:rsidP="00907904">
      <w:pPr>
        <w:pStyle w:val="Paragraphedeliste"/>
        <w:numPr>
          <w:ilvl w:val="0"/>
          <w:numId w:val="4"/>
        </w:numPr>
        <w:jc w:val="both"/>
        <w:rPr>
          <w:rFonts w:ascii="Verdana" w:hAnsi="Verdana"/>
          <w:b/>
        </w:rPr>
      </w:pPr>
      <w:r>
        <w:rPr>
          <w:rFonts w:ascii="Verdana" w:hAnsi="Verdana"/>
          <w:b/>
        </w:rPr>
        <w:t>Le seuil de rentabilité (SR)</w:t>
      </w:r>
    </w:p>
    <w:p w:rsidR="00907904" w:rsidRDefault="00907904" w:rsidP="00907904">
      <w:pPr>
        <w:ind w:left="360"/>
        <w:jc w:val="both"/>
        <w:rPr>
          <w:rFonts w:ascii="Verdana" w:hAnsi="Verdana"/>
        </w:rPr>
      </w:pPr>
      <w:r w:rsidRPr="00233B03">
        <w:rPr>
          <w:rFonts w:ascii="Verdana" w:hAnsi="Verdana"/>
          <w:b/>
        </w:rPr>
        <w:t xml:space="preserve">Définition : </w:t>
      </w:r>
      <w:r w:rsidRPr="00233B03">
        <w:rPr>
          <w:rFonts w:ascii="Verdana" w:hAnsi="Verdana"/>
        </w:rPr>
        <w:t>c’est le niveau d’activité pour lequel le résultat est égal à zéro</w:t>
      </w:r>
      <w:r>
        <w:rPr>
          <w:rFonts w:ascii="Verdana" w:hAnsi="Verdana"/>
        </w:rPr>
        <w:t>.</w:t>
      </w:r>
    </w:p>
    <w:p w:rsidR="00907904" w:rsidRDefault="00907904" w:rsidP="00907904">
      <w:pPr>
        <w:ind w:left="360"/>
        <w:jc w:val="both"/>
        <w:rPr>
          <w:rFonts w:ascii="Verdana" w:hAnsi="Verdana"/>
        </w:rPr>
      </w:pPr>
      <w:r>
        <w:rPr>
          <w:rFonts w:ascii="Verdana" w:hAnsi="Verdana"/>
          <w:b/>
        </w:rPr>
        <w:t>Au SR, on a :</w:t>
      </w:r>
      <w:r>
        <w:rPr>
          <w:rFonts w:ascii="Verdana" w:hAnsi="Verdana"/>
        </w:rPr>
        <w:t xml:space="preserve"> Résultat = 0 et Marge sur coût variable = Charges fixes.</w:t>
      </w:r>
    </w:p>
    <w:p w:rsidR="00907904" w:rsidRDefault="00907904" w:rsidP="00907904">
      <w:pPr>
        <w:ind w:left="360"/>
        <w:jc w:val="both"/>
        <w:rPr>
          <w:rFonts w:ascii="Verdana" w:hAnsi="Verdana"/>
        </w:rPr>
      </w:pPr>
      <w:r>
        <w:rPr>
          <w:rFonts w:ascii="Verdana" w:hAnsi="Verdana"/>
          <w:b/>
        </w:rPr>
        <w:t>Le SR permet de comprendre et d’évaluer l’impact d’un changement de la structure des charges sur le résultat.</w:t>
      </w:r>
      <w:r>
        <w:rPr>
          <w:rFonts w:ascii="Verdana" w:hAnsi="Verdana"/>
        </w:rPr>
        <w:t xml:space="preserve"> On peut le calculer en valeur ou en unités.</w:t>
      </w:r>
    </w:p>
    <w:p w:rsidR="00907904" w:rsidRDefault="00907904" w:rsidP="00907904">
      <w:pPr>
        <w:ind w:left="360"/>
        <w:jc w:val="both"/>
        <w:rPr>
          <w:rFonts w:ascii="Verdana" w:hAnsi="Verdana"/>
          <w:b/>
        </w:rPr>
      </w:pPr>
      <w:r w:rsidRPr="00233B03">
        <w:rPr>
          <w:rFonts w:ascii="Verdana" w:hAnsi="Verdana"/>
          <w:b/>
          <w:bdr w:val="single" w:sz="4" w:space="0" w:color="auto"/>
        </w:rPr>
        <w:t>SR en valeur = Charges fixes / Taux de Marge sur Coût Variable</w:t>
      </w:r>
    </w:p>
    <w:p w:rsidR="00907904" w:rsidRPr="00F32477" w:rsidRDefault="00907904" w:rsidP="00F32477">
      <w:pPr>
        <w:ind w:left="360"/>
        <w:jc w:val="both"/>
        <w:rPr>
          <w:rFonts w:ascii="Verdana" w:hAnsi="Verdana"/>
        </w:rPr>
      </w:pPr>
      <w:r w:rsidRPr="00233B03">
        <w:rPr>
          <w:rFonts w:ascii="Verdana" w:hAnsi="Verdana"/>
          <w:b/>
          <w:bdr w:val="single" w:sz="4" w:space="0" w:color="auto"/>
        </w:rPr>
        <w:t>SR en quantité = Charges fixes / Marge sur Coût Variable unitaire</w:t>
      </w:r>
    </w:p>
    <w:p w:rsidR="00907904" w:rsidRDefault="00907904" w:rsidP="00907904">
      <w:pPr>
        <w:pStyle w:val="Paragraphedeliste"/>
        <w:ind w:left="1080"/>
        <w:jc w:val="both"/>
        <w:rPr>
          <w:rFonts w:ascii="Verdana" w:hAnsi="Verdana"/>
          <w:b/>
        </w:rPr>
      </w:pPr>
    </w:p>
    <w:p w:rsidR="00907904" w:rsidRDefault="00907904" w:rsidP="00907904">
      <w:pPr>
        <w:pStyle w:val="Paragraphedeliste"/>
        <w:numPr>
          <w:ilvl w:val="0"/>
          <w:numId w:val="4"/>
        </w:numPr>
        <w:jc w:val="both"/>
        <w:rPr>
          <w:rFonts w:ascii="Verdana" w:hAnsi="Verdana"/>
          <w:b/>
        </w:rPr>
      </w:pPr>
      <w:r>
        <w:rPr>
          <w:rFonts w:ascii="Verdana" w:hAnsi="Verdana"/>
          <w:b/>
        </w:rPr>
        <w:t>Le point mort (PM)</w:t>
      </w:r>
    </w:p>
    <w:p w:rsidR="00907904" w:rsidRDefault="00907904" w:rsidP="00907904">
      <w:pPr>
        <w:jc w:val="both"/>
        <w:rPr>
          <w:rFonts w:ascii="Verdana" w:hAnsi="Verdana"/>
        </w:rPr>
      </w:pPr>
      <w:r>
        <w:rPr>
          <w:rFonts w:ascii="Verdana" w:hAnsi="Verdana"/>
          <w:b/>
        </w:rPr>
        <w:t xml:space="preserve">Le point mort : </w:t>
      </w:r>
      <w:r w:rsidRPr="00A22287">
        <w:rPr>
          <w:rFonts w:ascii="Verdana" w:hAnsi="Verdana"/>
        </w:rPr>
        <w:t>c’est la date à laquelle l’activité devient rentable</w:t>
      </w:r>
      <w:r>
        <w:rPr>
          <w:rFonts w:ascii="Verdana" w:hAnsi="Verdana"/>
        </w:rPr>
        <w:t>.</w:t>
      </w:r>
    </w:p>
    <w:p w:rsidR="00907904" w:rsidRDefault="00907904" w:rsidP="00907904">
      <w:pPr>
        <w:pStyle w:val="Paragraphedeliste"/>
        <w:numPr>
          <w:ilvl w:val="0"/>
          <w:numId w:val="6"/>
        </w:numPr>
        <w:jc w:val="both"/>
        <w:rPr>
          <w:rFonts w:ascii="Verdana" w:hAnsi="Verdana"/>
          <w:b/>
        </w:rPr>
      </w:pPr>
      <w:r>
        <w:rPr>
          <w:rFonts w:ascii="Verdana" w:hAnsi="Verdana"/>
          <w:b/>
        </w:rPr>
        <w:t>Calcul du point mort dans le cas d’une activité régulière</w:t>
      </w:r>
    </w:p>
    <w:p w:rsidR="00907904" w:rsidRPr="00E76F0A" w:rsidRDefault="00907904" w:rsidP="00907904">
      <w:pPr>
        <w:jc w:val="both"/>
        <w:rPr>
          <w:rFonts w:ascii="Verdana" w:hAnsi="Verdana"/>
        </w:rPr>
      </w:pPr>
      <w:r w:rsidRPr="00E76F0A">
        <w:rPr>
          <w:rFonts w:ascii="Verdana" w:hAnsi="Verdana"/>
        </w:rPr>
        <w:t>On admet que le Chiffre d’affaires est réparti régulièrement sur une année. On peut alors calculer la date à laquelle est atteint ce seuil de rentabilité. On détermine d’abord le nombre de mois (m) nécessaire pour obtenir le seuil de rentabilité.</w:t>
      </w:r>
    </w:p>
    <w:p w:rsidR="00907904" w:rsidRDefault="00907904" w:rsidP="005F5C0C">
      <w:pPr>
        <w:jc w:val="both"/>
        <w:rPr>
          <w:rFonts w:ascii="Verdana" w:hAnsi="Verdana"/>
          <w:b/>
        </w:rPr>
      </w:pPr>
      <w:r w:rsidRPr="00E76F0A">
        <w:rPr>
          <w:rFonts w:ascii="Verdana" w:hAnsi="Verdana"/>
          <w:b/>
          <w:bdr w:val="single" w:sz="4" w:space="0" w:color="auto"/>
        </w:rPr>
        <w:t xml:space="preserve">M = 12 x SR/CA   </w:t>
      </w:r>
      <w:r w:rsidRPr="00E76F0A">
        <w:rPr>
          <w:rFonts w:ascii="Verdana" w:hAnsi="Verdana"/>
          <w:bdr w:val="single" w:sz="4" w:space="0" w:color="auto"/>
        </w:rPr>
        <w:t>ou</w:t>
      </w:r>
      <w:r w:rsidRPr="00E76F0A">
        <w:rPr>
          <w:rFonts w:ascii="Verdana" w:hAnsi="Verdana"/>
          <w:b/>
          <w:bdr w:val="single" w:sz="4" w:space="0" w:color="auto"/>
        </w:rPr>
        <w:t xml:space="preserve">  m = 12 x SR Qté / Qtés Vendues</w:t>
      </w:r>
    </w:p>
    <w:p w:rsidR="00F32477" w:rsidRPr="005F5C0C" w:rsidRDefault="00F32477" w:rsidP="005F5C0C">
      <w:pPr>
        <w:jc w:val="both"/>
        <w:rPr>
          <w:rFonts w:ascii="Verdana" w:hAnsi="Verdana"/>
          <w:b/>
        </w:rPr>
      </w:pPr>
    </w:p>
    <w:p w:rsidR="00907904" w:rsidRDefault="00907904" w:rsidP="00907904">
      <w:pPr>
        <w:pStyle w:val="Paragraphedeliste"/>
        <w:numPr>
          <w:ilvl w:val="0"/>
          <w:numId w:val="4"/>
        </w:numPr>
        <w:jc w:val="both"/>
        <w:rPr>
          <w:rFonts w:ascii="Verdana" w:hAnsi="Verdana"/>
          <w:b/>
        </w:rPr>
      </w:pPr>
      <w:r>
        <w:rPr>
          <w:rFonts w:ascii="Verdana" w:hAnsi="Verdana"/>
          <w:b/>
        </w:rPr>
        <w:t>L’indice de sécurité (IS)</w:t>
      </w:r>
    </w:p>
    <w:p w:rsidR="00907904" w:rsidRDefault="00907904" w:rsidP="00907904">
      <w:pPr>
        <w:jc w:val="both"/>
        <w:rPr>
          <w:rFonts w:ascii="Verdana" w:hAnsi="Verdana"/>
        </w:rPr>
      </w:pPr>
      <w:r w:rsidRPr="000F5CE5">
        <w:rPr>
          <w:rFonts w:ascii="Verdana" w:hAnsi="Verdana"/>
        </w:rPr>
        <w:t xml:space="preserve">La marge de sécurité </w:t>
      </w:r>
      <w:r>
        <w:rPr>
          <w:rFonts w:ascii="Verdana" w:hAnsi="Verdana"/>
        </w:rPr>
        <w:t xml:space="preserve">(MS) </w:t>
      </w:r>
      <w:r w:rsidRPr="000F5CE5">
        <w:rPr>
          <w:rFonts w:ascii="Verdana" w:hAnsi="Verdana"/>
        </w:rPr>
        <w:t>est la différence entre le chiffre d’affaires et le seuil de rentabilité. C’est le CA qui peut être supprimé par une conjoncture défavorable sans entraîner de perte pour l’entreprise.</w:t>
      </w:r>
      <w:r>
        <w:rPr>
          <w:rFonts w:ascii="Verdana" w:hAnsi="Verdana"/>
        </w:rPr>
        <w:t xml:space="preserve"> Ceci permet d’avoir une idée de la vulnérabilité de l’entreprise par rapport à une baisse conjoncturelle du niveau d’activité.</w:t>
      </w:r>
    </w:p>
    <w:p w:rsidR="00907904" w:rsidRPr="00AE741C" w:rsidRDefault="00907904" w:rsidP="00907904">
      <w:pPr>
        <w:jc w:val="both"/>
        <w:rPr>
          <w:rFonts w:ascii="Verdana" w:hAnsi="Verdana"/>
          <w:b/>
        </w:rPr>
      </w:pPr>
      <w:r w:rsidRPr="00AE741C">
        <w:rPr>
          <w:rFonts w:ascii="Verdana" w:hAnsi="Verdana"/>
          <w:b/>
          <w:bdr w:val="single" w:sz="4" w:space="0" w:color="auto"/>
        </w:rPr>
        <w:t>MS = CA – SR</w:t>
      </w:r>
    </w:p>
    <w:p w:rsidR="00907904" w:rsidRDefault="00907904" w:rsidP="00907904">
      <w:pPr>
        <w:jc w:val="both"/>
        <w:rPr>
          <w:rFonts w:ascii="Verdana" w:hAnsi="Verdana"/>
        </w:rPr>
      </w:pPr>
      <w:r>
        <w:rPr>
          <w:rFonts w:ascii="Verdana" w:hAnsi="Verdana"/>
        </w:rPr>
        <w:t>L’indice de sécurité est égal au rapport de la MS sur le CA.</w:t>
      </w:r>
    </w:p>
    <w:p w:rsidR="00907904" w:rsidRDefault="00907904" w:rsidP="00907904">
      <w:pPr>
        <w:jc w:val="both"/>
        <w:rPr>
          <w:rFonts w:ascii="Verdana" w:hAnsi="Verdana"/>
        </w:rPr>
      </w:pPr>
      <w:r w:rsidRPr="00907904">
        <w:rPr>
          <w:rFonts w:ascii="Verdana" w:hAnsi="Verdana"/>
          <w:b/>
        </w:rPr>
        <w:t>NB :</w:t>
      </w:r>
      <w:r>
        <w:rPr>
          <w:rFonts w:ascii="Verdana" w:hAnsi="Verdana"/>
        </w:rPr>
        <w:t xml:space="preserve"> Plus le Taux de Marge de Sécurité </w:t>
      </w:r>
      <w:r w:rsidRPr="00907904">
        <w:rPr>
          <w:rFonts w:ascii="Verdana" w:hAnsi="Verdana"/>
          <w:b/>
        </w:rPr>
        <w:t>r</w:t>
      </w:r>
      <w:r>
        <w:rPr>
          <w:rFonts w:ascii="Verdana" w:hAnsi="Verdana"/>
        </w:rPr>
        <w:t xml:space="preserve"> est faible, plus l’entreprise est vulnérable.</w:t>
      </w:r>
    </w:p>
    <w:p w:rsidR="00907904" w:rsidRPr="00AE741C" w:rsidRDefault="00907904" w:rsidP="00907904">
      <w:pPr>
        <w:jc w:val="both"/>
        <w:rPr>
          <w:rFonts w:ascii="Verdana" w:hAnsi="Verdana"/>
          <w:b/>
          <w:lang w:val="en-US"/>
        </w:rPr>
      </w:pPr>
      <w:r w:rsidRPr="00AE741C">
        <w:rPr>
          <w:rFonts w:ascii="Verdana" w:hAnsi="Verdana"/>
          <w:b/>
          <w:bdr w:val="single" w:sz="4" w:space="0" w:color="auto"/>
          <w:lang w:val="en-US"/>
        </w:rPr>
        <w:lastRenderedPageBreak/>
        <w:t>IS = MS /CA = CA – SR /CA</w:t>
      </w:r>
    </w:p>
    <w:p w:rsidR="00907904" w:rsidRDefault="00907904" w:rsidP="00907904">
      <w:pPr>
        <w:pStyle w:val="Paragraphedeliste"/>
        <w:numPr>
          <w:ilvl w:val="0"/>
          <w:numId w:val="4"/>
        </w:numPr>
        <w:jc w:val="both"/>
        <w:rPr>
          <w:rFonts w:ascii="Verdana" w:hAnsi="Verdana"/>
          <w:b/>
        </w:rPr>
      </w:pPr>
      <w:r>
        <w:rPr>
          <w:rFonts w:ascii="Verdana" w:hAnsi="Verdana"/>
          <w:b/>
        </w:rPr>
        <w:t>Le levier d’exploitation (L0)</w:t>
      </w:r>
    </w:p>
    <w:p w:rsidR="00907904" w:rsidRDefault="00907904" w:rsidP="00907904">
      <w:pPr>
        <w:jc w:val="both"/>
        <w:rPr>
          <w:rFonts w:ascii="Verdana" w:hAnsi="Verdana"/>
        </w:rPr>
      </w:pPr>
      <w:r w:rsidRPr="00EA59CD">
        <w:rPr>
          <w:rFonts w:ascii="Verdana" w:hAnsi="Verdana"/>
        </w:rPr>
        <w:t>Le levier d’exploitation</w:t>
      </w:r>
      <w:r>
        <w:rPr>
          <w:rFonts w:ascii="Verdana" w:hAnsi="Verdana"/>
        </w:rPr>
        <w:t xml:space="preserve"> (LE)</w:t>
      </w:r>
      <w:r w:rsidRPr="00EA59CD">
        <w:rPr>
          <w:rFonts w:ascii="Verdana" w:hAnsi="Verdana"/>
        </w:rPr>
        <w:t xml:space="preserve"> ou opérationnel (LO) est un coefficient qui mesure la sensibilité du résultat d’exploitation aux variations du CAHT.</w:t>
      </w:r>
    </w:p>
    <w:p w:rsidR="00907904" w:rsidRDefault="00907904" w:rsidP="00907904">
      <w:pPr>
        <w:jc w:val="both"/>
        <w:rPr>
          <w:rFonts w:ascii="Verdana" w:hAnsi="Verdana"/>
        </w:rPr>
      </w:pPr>
      <w:r w:rsidRPr="00907904">
        <w:rPr>
          <w:rFonts w:ascii="Verdana" w:hAnsi="Verdana"/>
          <w:b/>
        </w:rPr>
        <w:t>NB :</w:t>
      </w:r>
      <w:r>
        <w:rPr>
          <w:rFonts w:ascii="Verdana" w:hAnsi="Verdana"/>
          <w:b/>
        </w:rPr>
        <w:t xml:space="preserve"> </w:t>
      </w:r>
      <w:r>
        <w:rPr>
          <w:rFonts w:ascii="Verdana" w:hAnsi="Verdana"/>
        </w:rPr>
        <w:t>Plus le Levier d’Exploitation (LE) est élevé, plus le risque supporté est grand.</w:t>
      </w:r>
    </w:p>
    <w:p w:rsidR="00907904" w:rsidRDefault="00907904" w:rsidP="00907904">
      <w:pPr>
        <w:jc w:val="both"/>
        <w:rPr>
          <w:rFonts w:ascii="Verdana" w:hAnsi="Verdana"/>
        </w:rPr>
      </w:pPr>
      <w:r>
        <w:rPr>
          <w:rFonts w:ascii="Verdana" w:hAnsi="Verdana"/>
        </w:rPr>
        <w:t xml:space="preserve">1° </w:t>
      </w:r>
      <w:r w:rsidRPr="00FE416C">
        <w:rPr>
          <w:rFonts w:ascii="Verdana" w:hAnsi="Verdana"/>
          <w:b/>
          <w:bdr w:val="single" w:sz="4" w:space="0" w:color="auto"/>
        </w:rPr>
        <w:t>LO = Marge sur coût variable /Résultat</w:t>
      </w:r>
    </w:p>
    <w:p w:rsidR="00907904" w:rsidRPr="00253EBA" w:rsidRDefault="00907904" w:rsidP="00907904">
      <w:pPr>
        <w:jc w:val="both"/>
        <w:rPr>
          <w:rFonts w:ascii="Verdana" w:hAnsi="Verdana"/>
        </w:rPr>
      </w:pPr>
      <w:r w:rsidRPr="00253EBA">
        <w:rPr>
          <w:rFonts w:ascii="Verdana" w:hAnsi="Verdana"/>
        </w:rPr>
        <w:t xml:space="preserve">2° </w:t>
      </w:r>
      <w:r w:rsidRPr="00253EBA">
        <w:rPr>
          <w:rFonts w:ascii="Verdana" w:hAnsi="Verdana"/>
          <w:b/>
          <w:bdr w:val="single" w:sz="4" w:space="0" w:color="auto"/>
        </w:rPr>
        <w:t>LO = IS / CA</w:t>
      </w:r>
      <w:r w:rsidRPr="00253EBA">
        <w:rPr>
          <w:rFonts w:ascii="Verdana" w:hAnsi="Verdana"/>
        </w:rPr>
        <w:t xml:space="preserve"> </w:t>
      </w:r>
    </w:p>
    <w:p w:rsidR="00907904" w:rsidRPr="00253EBA" w:rsidRDefault="00907904" w:rsidP="00907904">
      <w:pPr>
        <w:jc w:val="both"/>
        <w:rPr>
          <w:rFonts w:ascii="Verdana" w:hAnsi="Verdana"/>
        </w:rPr>
      </w:pPr>
      <w:r w:rsidRPr="00253EBA">
        <w:rPr>
          <w:rFonts w:ascii="Verdana" w:hAnsi="Verdana"/>
        </w:rPr>
        <w:t xml:space="preserve">3° </w:t>
      </w:r>
      <w:r w:rsidRPr="00253EBA">
        <w:rPr>
          <w:rFonts w:ascii="Verdana" w:hAnsi="Verdana"/>
          <w:b/>
          <w:bdr w:val="single" w:sz="4" w:space="0" w:color="auto"/>
        </w:rPr>
        <w:t>LO = 1 / IS</w:t>
      </w:r>
    </w:p>
    <w:p w:rsidR="00F32477" w:rsidRPr="00253EBA" w:rsidRDefault="00F32477" w:rsidP="00907904">
      <w:pPr>
        <w:jc w:val="both"/>
        <w:rPr>
          <w:rFonts w:ascii="Verdana" w:hAnsi="Verdana"/>
        </w:rPr>
      </w:pPr>
    </w:p>
    <w:p w:rsidR="00F32477" w:rsidRPr="00253EBA" w:rsidRDefault="00F32477" w:rsidP="00907904">
      <w:pPr>
        <w:jc w:val="both"/>
        <w:rPr>
          <w:rFonts w:ascii="Verdana" w:hAnsi="Verdana"/>
        </w:rPr>
      </w:pPr>
    </w:p>
    <w:p w:rsidR="00907904" w:rsidRPr="008A1AD8" w:rsidRDefault="008A1AD8" w:rsidP="008A1AD8">
      <w:pPr>
        <w:pBdr>
          <w:top w:val="single" w:sz="4" w:space="1" w:color="auto"/>
          <w:left w:val="single" w:sz="4" w:space="4" w:color="auto"/>
          <w:bottom w:val="single" w:sz="4" w:space="1" w:color="auto"/>
          <w:right w:val="single" w:sz="4" w:space="4" w:color="auto"/>
        </w:pBdr>
        <w:jc w:val="center"/>
        <w:rPr>
          <w:rFonts w:ascii="Verdana" w:hAnsi="Verdana"/>
          <w:b/>
        </w:rPr>
      </w:pPr>
      <w:r w:rsidRPr="008A1AD8">
        <w:rPr>
          <w:rFonts w:ascii="Verdana" w:hAnsi="Verdana"/>
          <w:b/>
        </w:rPr>
        <w:t>T</w:t>
      </w:r>
      <w:r w:rsidR="000130AA">
        <w:rPr>
          <w:rFonts w:ascii="Verdana" w:hAnsi="Verdana"/>
          <w:b/>
        </w:rPr>
        <w:t xml:space="preserve">RAVAUX </w:t>
      </w:r>
      <w:r w:rsidRPr="008A1AD8">
        <w:rPr>
          <w:rFonts w:ascii="Verdana" w:hAnsi="Verdana"/>
          <w:b/>
        </w:rPr>
        <w:t>D</w:t>
      </w:r>
      <w:r w:rsidR="000130AA">
        <w:rPr>
          <w:rFonts w:ascii="Verdana" w:hAnsi="Verdana"/>
          <w:b/>
        </w:rPr>
        <w:t>IRIGES (TD)</w:t>
      </w:r>
      <w:r w:rsidRPr="008A1AD8">
        <w:rPr>
          <w:rFonts w:ascii="Verdana" w:hAnsi="Verdana"/>
          <w:b/>
        </w:rPr>
        <w:t xml:space="preserve"> COUT VARIABLE L2 TC</w:t>
      </w:r>
    </w:p>
    <w:p w:rsidR="009D6A81" w:rsidRPr="009D6A81" w:rsidRDefault="008A1AD8">
      <w:pPr>
        <w:rPr>
          <w:b/>
        </w:rPr>
      </w:pPr>
      <w:r w:rsidRPr="009D6A81">
        <w:rPr>
          <w:b/>
        </w:rPr>
        <w:t>CAS N° 1 :</w:t>
      </w:r>
    </w:p>
    <w:p w:rsidR="00FD521C" w:rsidRDefault="008A1AD8">
      <w:r>
        <w:t xml:space="preserve"> la société HOROYA fabrique un produit P. les charges fixes sont de 48.000.000 FCFA et le taux de marge sur coût variable est de 25%.</w:t>
      </w:r>
    </w:p>
    <w:p w:rsidR="008A1AD8" w:rsidRDefault="008A1AD8" w:rsidP="008A1AD8">
      <w:pPr>
        <w:pStyle w:val="Paragraphedeliste"/>
        <w:numPr>
          <w:ilvl w:val="0"/>
          <w:numId w:val="7"/>
        </w:numPr>
      </w:pPr>
      <w:r>
        <w:t>Calculer le Seuil de Rentabilité en CA ou encore Chiffre d’Affaires critique</w:t>
      </w:r>
    </w:p>
    <w:p w:rsidR="008A1AD8" w:rsidRDefault="008A1AD8" w:rsidP="008A1AD8">
      <w:pPr>
        <w:pStyle w:val="Paragraphedeliste"/>
        <w:numPr>
          <w:ilvl w:val="0"/>
          <w:numId w:val="7"/>
        </w:numPr>
      </w:pPr>
      <w:r>
        <w:t>La société réalisant un chiffre d’affaires annuel de 225.000.000 F, calculer l’indice de sécurité.</w:t>
      </w:r>
    </w:p>
    <w:p w:rsidR="008A1AD8" w:rsidRDefault="008A1AD8" w:rsidP="008A1AD8">
      <w:pPr>
        <w:pStyle w:val="Paragraphedeliste"/>
        <w:numPr>
          <w:ilvl w:val="0"/>
          <w:numId w:val="7"/>
        </w:numPr>
      </w:pPr>
      <w:r>
        <w:t>Calculer le levier opérationnel pour un chiffre d’affaires possible de 250.000.000 F</w:t>
      </w:r>
    </w:p>
    <w:p w:rsidR="008A1AD8" w:rsidRDefault="008A1AD8" w:rsidP="008A1AD8">
      <w:pPr>
        <w:pStyle w:val="Paragraphedeliste"/>
        <w:numPr>
          <w:ilvl w:val="0"/>
          <w:numId w:val="7"/>
        </w:numPr>
      </w:pPr>
      <w:r>
        <w:t>Les charges fixes comprennent 10.000.000 F d’amortissements. Des charges variables représentant 5% du chiffre d’affaires correspondant également à des amortissements</w:t>
      </w:r>
      <w:r w:rsidR="009D6A81">
        <w:t>.</w:t>
      </w:r>
    </w:p>
    <w:p w:rsidR="009D6A81" w:rsidRDefault="009D6A81" w:rsidP="00F32477">
      <w:pPr>
        <w:pStyle w:val="Paragraphedeliste"/>
        <w:numPr>
          <w:ilvl w:val="0"/>
          <w:numId w:val="7"/>
        </w:numPr>
      </w:pPr>
      <w:r>
        <w:t>Calculer le seuil d’autofinancement.</w:t>
      </w:r>
    </w:p>
    <w:p w:rsidR="009D6A81" w:rsidRPr="009D6A81" w:rsidRDefault="009D6A81" w:rsidP="009D6A81">
      <w:pPr>
        <w:rPr>
          <w:b/>
        </w:rPr>
      </w:pPr>
      <w:r w:rsidRPr="009D6A81">
        <w:rPr>
          <w:b/>
        </w:rPr>
        <w:t>CAS N</w:t>
      </w:r>
      <w:r>
        <w:rPr>
          <w:b/>
        </w:rPr>
        <w:t>° 2</w:t>
      </w:r>
      <w:r w:rsidRPr="009D6A81">
        <w:rPr>
          <w:b/>
        </w:rPr>
        <w:t> :</w:t>
      </w:r>
    </w:p>
    <w:p w:rsidR="009D6A81" w:rsidRDefault="009D6A81" w:rsidP="009D6A81">
      <w:r>
        <w:t>Une entreprise a réalisé un chiffre d’affaires de 120.000.000 F, qui lui assure un bénéfice de 20.000.000 F. Les coûts variables représentent 60% du chiffre d’affaires.</w:t>
      </w:r>
    </w:p>
    <w:p w:rsidR="009D6A81" w:rsidRDefault="009D6A81" w:rsidP="009D6A81">
      <w:pPr>
        <w:pStyle w:val="Paragraphedeliste"/>
        <w:numPr>
          <w:ilvl w:val="0"/>
          <w:numId w:val="8"/>
        </w:numPr>
      </w:pPr>
      <w:r>
        <w:t>Déterminer le montant des charges fixes ;</w:t>
      </w:r>
    </w:p>
    <w:p w:rsidR="009D6A81" w:rsidRDefault="009D6A81" w:rsidP="009D6A81">
      <w:pPr>
        <w:pStyle w:val="Paragraphedeliste"/>
        <w:numPr>
          <w:ilvl w:val="0"/>
          <w:numId w:val="8"/>
        </w:numPr>
      </w:pPr>
      <w:r>
        <w:t>Déterminer le chiffre d’affaires  critique (SR en CA) ;</w:t>
      </w:r>
    </w:p>
    <w:p w:rsidR="009D6A81" w:rsidRDefault="009D6A81" w:rsidP="009D6A81">
      <w:pPr>
        <w:pStyle w:val="Paragraphedeliste"/>
        <w:numPr>
          <w:ilvl w:val="0"/>
          <w:numId w:val="8"/>
        </w:numPr>
      </w:pPr>
      <w:r>
        <w:t>Déterminer le ratio (ou indice) de sécurité au niveau du chiffre d’affaires réalisé ;</w:t>
      </w:r>
    </w:p>
    <w:p w:rsidR="009D6A81" w:rsidRDefault="009D6A81" w:rsidP="009D6A81">
      <w:pPr>
        <w:pStyle w:val="Paragraphedeliste"/>
        <w:numPr>
          <w:ilvl w:val="0"/>
          <w:numId w:val="8"/>
        </w:numPr>
      </w:pPr>
      <w:r>
        <w:t>Déterminer le levier opérationnel (LO) au niveau du chiffre d’affaires réalisé.</w:t>
      </w:r>
    </w:p>
    <w:p w:rsidR="009D6A81" w:rsidRPr="009D6A81" w:rsidRDefault="009D6A81" w:rsidP="009D6A81">
      <w:pPr>
        <w:rPr>
          <w:b/>
        </w:rPr>
      </w:pPr>
      <w:r w:rsidRPr="009D6A81">
        <w:rPr>
          <w:b/>
        </w:rPr>
        <w:t>CAS N</w:t>
      </w:r>
      <w:r>
        <w:rPr>
          <w:b/>
        </w:rPr>
        <w:t>° 3</w:t>
      </w:r>
      <w:r w:rsidRPr="009D6A81">
        <w:rPr>
          <w:b/>
        </w:rPr>
        <w:t> :</w:t>
      </w:r>
    </w:p>
    <w:p w:rsidR="009D6A81" w:rsidRDefault="00952340" w:rsidP="009D6A81">
      <w:r>
        <w:t>Une entreprise a réalisé un chiffre d’affaires de 150.000.000 F et bénéficie de ce fait d’un ratio de sécurité de 0,2 (ou indice = 20). Ses charges fixes de 40.000.000 F.</w:t>
      </w:r>
    </w:p>
    <w:p w:rsidR="00952340" w:rsidRDefault="00952340" w:rsidP="00952340">
      <w:pPr>
        <w:pStyle w:val="Paragraphedeliste"/>
        <w:numPr>
          <w:ilvl w:val="0"/>
          <w:numId w:val="9"/>
        </w:numPr>
      </w:pPr>
      <w:r>
        <w:t>Déterminer le chiffre d’affaires critique (SR en CA) ;</w:t>
      </w:r>
    </w:p>
    <w:p w:rsidR="00952340" w:rsidRDefault="00952340" w:rsidP="00952340">
      <w:pPr>
        <w:pStyle w:val="Paragraphedeliste"/>
        <w:numPr>
          <w:ilvl w:val="0"/>
          <w:numId w:val="9"/>
        </w:numPr>
      </w:pPr>
      <w:r>
        <w:t>Quel est le taux de marge sur coût variable ;</w:t>
      </w:r>
    </w:p>
    <w:p w:rsidR="00952340" w:rsidRDefault="00952340" w:rsidP="00952340">
      <w:pPr>
        <w:pStyle w:val="Paragraphedeliste"/>
        <w:numPr>
          <w:ilvl w:val="0"/>
          <w:numId w:val="9"/>
        </w:numPr>
      </w:pPr>
      <w:r>
        <w:lastRenderedPageBreak/>
        <w:t>Déterminer le résultat de l’entreprise ;</w:t>
      </w:r>
    </w:p>
    <w:p w:rsidR="00952340" w:rsidRDefault="00952340" w:rsidP="00952340">
      <w:pPr>
        <w:pStyle w:val="Paragraphedeliste"/>
        <w:numPr>
          <w:ilvl w:val="0"/>
          <w:numId w:val="9"/>
        </w:numPr>
      </w:pPr>
      <w:r>
        <w:t>Déterminer le levier opérationnel au niveau du chiffre d’affaires réalisé.</w:t>
      </w:r>
    </w:p>
    <w:p w:rsidR="005F5C0C" w:rsidRPr="00EF2385" w:rsidRDefault="00EF2385" w:rsidP="005F5C0C">
      <w:pPr>
        <w:rPr>
          <w:b/>
        </w:rPr>
      </w:pPr>
      <w:r w:rsidRPr="00EF2385">
        <w:rPr>
          <w:b/>
        </w:rPr>
        <w:t>CAS N° 4 :</w:t>
      </w:r>
    </w:p>
    <w:p w:rsidR="007E3E5A" w:rsidRDefault="007E3E5A" w:rsidP="005F5C0C">
      <w:r>
        <w:t xml:space="preserve">LE </w:t>
      </w:r>
      <w:r w:rsidR="005F5C0C">
        <w:t>Tableau d’exploitation différentiel de l’entreprise BENDA</w:t>
      </w:r>
      <w:r w:rsidR="008D77A8">
        <w:t xml:space="preserve"> qui fabrique deux types de produits A et B</w:t>
      </w:r>
      <w:r>
        <w:t xml:space="preserve"> se présente comme suit</w:t>
      </w:r>
      <w:r w:rsidR="005F5C0C">
        <w:t xml:space="preserve">. </w:t>
      </w:r>
    </w:p>
    <w:p w:rsidR="005F5C0C" w:rsidRDefault="005F5C0C" w:rsidP="005F5C0C">
      <w:r>
        <w:t xml:space="preserve">Il vous </w:t>
      </w:r>
      <w:r w:rsidR="007E3E5A">
        <w:t xml:space="preserve">informe donc des réalisations de l’entreprise durant l’année 2020. On vous </w:t>
      </w:r>
      <w:r>
        <w:t>de</w:t>
      </w:r>
      <w:r w:rsidR="007E3E5A">
        <w:t>mande</w:t>
      </w:r>
      <w:r>
        <w:t xml:space="preserve"> de calculer son Résultat </w:t>
      </w:r>
      <w:r w:rsidR="007E3E5A">
        <w:t xml:space="preserve">d’exploitation </w:t>
      </w:r>
      <w:r>
        <w:t>de l’année.</w:t>
      </w:r>
    </w:p>
    <w:tbl>
      <w:tblPr>
        <w:tblStyle w:val="Grilledutableau"/>
        <w:tblW w:w="0" w:type="auto"/>
        <w:tblLook w:val="04A0" w:firstRow="1" w:lastRow="0" w:firstColumn="1" w:lastColumn="0" w:noHBand="0" w:noVBand="1"/>
      </w:tblPr>
      <w:tblGrid>
        <w:gridCol w:w="4361"/>
        <w:gridCol w:w="1701"/>
        <w:gridCol w:w="1559"/>
        <w:gridCol w:w="1591"/>
      </w:tblGrid>
      <w:tr w:rsidR="005F5C0C" w:rsidTr="005F5C0C">
        <w:tc>
          <w:tcPr>
            <w:tcW w:w="4361" w:type="dxa"/>
          </w:tcPr>
          <w:p w:rsidR="005F5C0C" w:rsidRDefault="005F5C0C" w:rsidP="005F5C0C">
            <w:r>
              <w:t>ELEMENTS</w:t>
            </w:r>
          </w:p>
        </w:tc>
        <w:tc>
          <w:tcPr>
            <w:tcW w:w="1701" w:type="dxa"/>
          </w:tcPr>
          <w:p w:rsidR="005F5C0C" w:rsidRDefault="005F5C0C" w:rsidP="008D77A8">
            <w:pPr>
              <w:jc w:val="right"/>
            </w:pPr>
            <w:r>
              <w:t>PRODUIT  A</w:t>
            </w:r>
          </w:p>
        </w:tc>
        <w:tc>
          <w:tcPr>
            <w:tcW w:w="1559" w:type="dxa"/>
          </w:tcPr>
          <w:p w:rsidR="005F5C0C" w:rsidRDefault="005F5C0C" w:rsidP="008D77A8">
            <w:pPr>
              <w:jc w:val="right"/>
            </w:pPr>
            <w:r>
              <w:t>PRODUIT B</w:t>
            </w:r>
          </w:p>
        </w:tc>
        <w:tc>
          <w:tcPr>
            <w:tcW w:w="1591" w:type="dxa"/>
          </w:tcPr>
          <w:p w:rsidR="005F5C0C" w:rsidRDefault="005F5C0C" w:rsidP="008D77A8">
            <w:pPr>
              <w:jc w:val="right"/>
            </w:pPr>
            <w:r>
              <w:t>TOTAL</w:t>
            </w:r>
          </w:p>
        </w:tc>
      </w:tr>
      <w:tr w:rsidR="005F5C0C" w:rsidTr="005F5C0C">
        <w:tc>
          <w:tcPr>
            <w:tcW w:w="4361" w:type="dxa"/>
          </w:tcPr>
          <w:p w:rsidR="005F5C0C" w:rsidRDefault="005F5C0C" w:rsidP="005F5C0C">
            <w:r>
              <w:t>Chiffre d’Affaires des produits</w:t>
            </w:r>
          </w:p>
        </w:tc>
        <w:tc>
          <w:tcPr>
            <w:tcW w:w="1701" w:type="dxa"/>
          </w:tcPr>
          <w:p w:rsidR="005F5C0C" w:rsidRDefault="005F5C0C" w:rsidP="008D77A8">
            <w:pPr>
              <w:jc w:val="right"/>
            </w:pPr>
            <w:r>
              <w:t>200.000</w:t>
            </w:r>
          </w:p>
        </w:tc>
        <w:tc>
          <w:tcPr>
            <w:tcW w:w="1559" w:type="dxa"/>
          </w:tcPr>
          <w:p w:rsidR="005F5C0C" w:rsidRDefault="005F5C0C" w:rsidP="008D77A8">
            <w:pPr>
              <w:jc w:val="right"/>
            </w:pPr>
            <w:r>
              <w:t>300.000</w:t>
            </w:r>
          </w:p>
        </w:tc>
        <w:tc>
          <w:tcPr>
            <w:tcW w:w="1591" w:type="dxa"/>
          </w:tcPr>
          <w:p w:rsidR="005F5C0C" w:rsidRDefault="005F5C0C" w:rsidP="008D77A8">
            <w:pPr>
              <w:jc w:val="right"/>
            </w:pPr>
          </w:p>
        </w:tc>
      </w:tr>
      <w:tr w:rsidR="005F5C0C" w:rsidTr="005F5C0C">
        <w:tc>
          <w:tcPr>
            <w:tcW w:w="4361" w:type="dxa"/>
          </w:tcPr>
          <w:p w:rsidR="005F5C0C" w:rsidRDefault="005F5C0C" w:rsidP="005F5C0C">
            <w:r>
              <w:t>Coûts Variables de produits vendus</w:t>
            </w:r>
          </w:p>
        </w:tc>
        <w:tc>
          <w:tcPr>
            <w:tcW w:w="1701" w:type="dxa"/>
          </w:tcPr>
          <w:p w:rsidR="005F5C0C" w:rsidRDefault="005F5C0C" w:rsidP="008D77A8">
            <w:pPr>
              <w:jc w:val="right"/>
            </w:pPr>
            <w:r>
              <w:t>80.000</w:t>
            </w:r>
          </w:p>
        </w:tc>
        <w:tc>
          <w:tcPr>
            <w:tcW w:w="1559" w:type="dxa"/>
          </w:tcPr>
          <w:p w:rsidR="005F5C0C" w:rsidRDefault="005F5C0C" w:rsidP="008D77A8">
            <w:pPr>
              <w:jc w:val="right"/>
            </w:pPr>
            <w:r>
              <w:t>180.000</w:t>
            </w:r>
          </w:p>
        </w:tc>
        <w:tc>
          <w:tcPr>
            <w:tcW w:w="1591" w:type="dxa"/>
          </w:tcPr>
          <w:p w:rsidR="005F5C0C" w:rsidRDefault="005F5C0C" w:rsidP="008D77A8">
            <w:pPr>
              <w:jc w:val="right"/>
            </w:pPr>
          </w:p>
        </w:tc>
      </w:tr>
      <w:tr w:rsidR="005F5C0C" w:rsidTr="005F5C0C">
        <w:tc>
          <w:tcPr>
            <w:tcW w:w="4361" w:type="dxa"/>
          </w:tcPr>
          <w:p w:rsidR="005F5C0C" w:rsidRDefault="005F5C0C" w:rsidP="005F5C0C">
            <w:r>
              <w:t>MARGES  SUR  COUTS  VARIABLES</w:t>
            </w:r>
          </w:p>
        </w:tc>
        <w:tc>
          <w:tcPr>
            <w:tcW w:w="1701" w:type="dxa"/>
          </w:tcPr>
          <w:p w:rsidR="005F5C0C" w:rsidRDefault="005F5C0C" w:rsidP="008D77A8">
            <w:pPr>
              <w:jc w:val="right"/>
            </w:pPr>
          </w:p>
        </w:tc>
        <w:tc>
          <w:tcPr>
            <w:tcW w:w="1559" w:type="dxa"/>
          </w:tcPr>
          <w:p w:rsidR="005F5C0C" w:rsidRDefault="005F5C0C" w:rsidP="008D77A8">
            <w:pPr>
              <w:jc w:val="right"/>
            </w:pPr>
          </w:p>
        </w:tc>
        <w:tc>
          <w:tcPr>
            <w:tcW w:w="1591" w:type="dxa"/>
          </w:tcPr>
          <w:p w:rsidR="005F5C0C" w:rsidRDefault="005F5C0C" w:rsidP="008D77A8">
            <w:pPr>
              <w:jc w:val="right"/>
            </w:pPr>
          </w:p>
        </w:tc>
      </w:tr>
      <w:tr w:rsidR="005F5C0C" w:rsidTr="005F5C0C">
        <w:tc>
          <w:tcPr>
            <w:tcW w:w="4361" w:type="dxa"/>
          </w:tcPr>
          <w:p w:rsidR="005F5C0C" w:rsidRDefault="008D77A8" w:rsidP="005F5C0C">
            <w:r>
              <w:t>Charges fixes de production</w:t>
            </w:r>
          </w:p>
        </w:tc>
        <w:tc>
          <w:tcPr>
            <w:tcW w:w="1701" w:type="dxa"/>
          </w:tcPr>
          <w:p w:rsidR="005F5C0C" w:rsidRDefault="008D77A8" w:rsidP="008D77A8">
            <w:pPr>
              <w:jc w:val="right"/>
            </w:pPr>
            <w:r>
              <w:t>50.000</w:t>
            </w:r>
          </w:p>
        </w:tc>
        <w:tc>
          <w:tcPr>
            <w:tcW w:w="1559" w:type="dxa"/>
          </w:tcPr>
          <w:p w:rsidR="005F5C0C" w:rsidRDefault="008D77A8" w:rsidP="008D77A8">
            <w:pPr>
              <w:jc w:val="right"/>
            </w:pPr>
            <w:r>
              <w:t>130.000</w:t>
            </w:r>
          </w:p>
        </w:tc>
        <w:tc>
          <w:tcPr>
            <w:tcW w:w="1591" w:type="dxa"/>
          </w:tcPr>
          <w:p w:rsidR="005F5C0C" w:rsidRDefault="005F5C0C" w:rsidP="008D77A8">
            <w:pPr>
              <w:jc w:val="right"/>
            </w:pPr>
          </w:p>
        </w:tc>
      </w:tr>
      <w:tr w:rsidR="005F5C0C" w:rsidTr="005F5C0C">
        <w:tc>
          <w:tcPr>
            <w:tcW w:w="4361" w:type="dxa"/>
          </w:tcPr>
          <w:p w:rsidR="005F5C0C" w:rsidRDefault="008D77A8" w:rsidP="005F5C0C">
            <w:r>
              <w:t>RESULTAT</w:t>
            </w:r>
          </w:p>
        </w:tc>
        <w:tc>
          <w:tcPr>
            <w:tcW w:w="1701" w:type="dxa"/>
          </w:tcPr>
          <w:p w:rsidR="005F5C0C" w:rsidRDefault="005F5C0C" w:rsidP="008D77A8">
            <w:pPr>
              <w:jc w:val="right"/>
            </w:pPr>
          </w:p>
        </w:tc>
        <w:tc>
          <w:tcPr>
            <w:tcW w:w="1559" w:type="dxa"/>
          </w:tcPr>
          <w:p w:rsidR="005F5C0C" w:rsidRDefault="005F5C0C" w:rsidP="008D77A8">
            <w:pPr>
              <w:jc w:val="right"/>
            </w:pPr>
          </w:p>
        </w:tc>
        <w:tc>
          <w:tcPr>
            <w:tcW w:w="1591" w:type="dxa"/>
          </w:tcPr>
          <w:p w:rsidR="005F5C0C" w:rsidRDefault="005F5C0C" w:rsidP="008D77A8">
            <w:pPr>
              <w:jc w:val="right"/>
            </w:pPr>
          </w:p>
        </w:tc>
      </w:tr>
    </w:tbl>
    <w:p w:rsidR="005F5C0C" w:rsidRPr="008A1AD8" w:rsidRDefault="005F5C0C" w:rsidP="005F5C0C"/>
    <w:sectPr w:rsidR="005F5C0C" w:rsidRPr="008A1AD8" w:rsidSect="00FD521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EAC" w:rsidRDefault="00917EAC" w:rsidP="00AB6D25">
      <w:pPr>
        <w:spacing w:after="0" w:line="240" w:lineRule="auto"/>
      </w:pPr>
      <w:r>
        <w:separator/>
      </w:r>
    </w:p>
  </w:endnote>
  <w:endnote w:type="continuationSeparator" w:id="0">
    <w:p w:rsidR="00917EAC" w:rsidRDefault="00917EAC" w:rsidP="00AB6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25" w:rsidRPr="005F5C0C" w:rsidRDefault="00AB6D25">
    <w:pPr>
      <w:pStyle w:val="Pieddepage"/>
      <w:pBdr>
        <w:top w:val="thinThickSmallGap" w:sz="24" w:space="1" w:color="622423" w:themeColor="accent2" w:themeShade="7F"/>
      </w:pBdr>
      <w:rPr>
        <w:rFonts w:asciiTheme="majorHAnsi" w:hAnsiTheme="majorHAnsi"/>
        <w:sz w:val="18"/>
        <w:szCs w:val="18"/>
      </w:rPr>
    </w:pPr>
    <w:r w:rsidRPr="005F5C0C">
      <w:rPr>
        <w:rFonts w:asciiTheme="majorHAnsi" w:hAnsiTheme="majorHAnsi"/>
        <w:sz w:val="18"/>
        <w:szCs w:val="18"/>
      </w:rPr>
      <w:t>Cours de CG L2 / Formateur : TOURE D</w:t>
    </w:r>
    <w:r w:rsidR="005F5C0C" w:rsidRPr="005F5C0C">
      <w:rPr>
        <w:rFonts w:asciiTheme="majorHAnsi" w:hAnsiTheme="majorHAnsi"/>
        <w:sz w:val="18"/>
        <w:szCs w:val="18"/>
      </w:rPr>
      <w:t>.</w:t>
    </w:r>
    <w:r w:rsidRPr="005F5C0C">
      <w:rPr>
        <w:rFonts w:asciiTheme="majorHAnsi" w:hAnsiTheme="majorHAnsi"/>
        <w:sz w:val="18"/>
        <w:szCs w:val="18"/>
      </w:rPr>
      <w:t xml:space="preserve"> Moustapha / Comptable / Auditeur / Conseiller Fiscal des Entreprises</w:t>
    </w:r>
    <w:r w:rsidRPr="005F5C0C">
      <w:rPr>
        <w:rFonts w:asciiTheme="majorHAnsi" w:hAnsiTheme="majorHAnsi"/>
        <w:sz w:val="18"/>
        <w:szCs w:val="18"/>
      </w:rPr>
      <w:ptab w:relativeTo="margin" w:alignment="right" w:leader="none"/>
    </w:r>
    <w:r w:rsidRPr="005F5C0C">
      <w:rPr>
        <w:rFonts w:asciiTheme="majorHAnsi" w:hAnsiTheme="majorHAnsi"/>
        <w:sz w:val="18"/>
        <w:szCs w:val="18"/>
      </w:rPr>
      <w:t xml:space="preserve">Page </w:t>
    </w:r>
    <w:r w:rsidRPr="005F5C0C">
      <w:rPr>
        <w:sz w:val="18"/>
        <w:szCs w:val="18"/>
      </w:rPr>
      <w:fldChar w:fldCharType="begin"/>
    </w:r>
    <w:r w:rsidRPr="005F5C0C">
      <w:rPr>
        <w:sz w:val="18"/>
        <w:szCs w:val="18"/>
      </w:rPr>
      <w:instrText xml:space="preserve"> PAGE   \* MERGEFORMAT </w:instrText>
    </w:r>
    <w:r w:rsidRPr="005F5C0C">
      <w:rPr>
        <w:sz w:val="18"/>
        <w:szCs w:val="18"/>
      </w:rPr>
      <w:fldChar w:fldCharType="separate"/>
    </w:r>
    <w:r w:rsidR="00ED18B4" w:rsidRPr="00ED18B4">
      <w:rPr>
        <w:rFonts w:asciiTheme="majorHAnsi" w:hAnsiTheme="majorHAnsi"/>
        <w:noProof/>
        <w:sz w:val="18"/>
        <w:szCs w:val="18"/>
      </w:rPr>
      <w:t>1</w:t>
    </w:r>
    <w:r w:rsidRPr="005F5C0C">
      <w:rPr>
        <w:sz w:val="18"/>
        <w:szCs w:val="18"/>
      </w:rPr>
      <w:fldChar w:fldCharType="end"/>
    </w:r>
  </w:p>
  <w:p w:rsidR="00AB6D25" w:rsidRDefault="00AB6D2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EAC" w:rsidRDefault="00917EAC" w:rsidP="00AB6D25">
      <w:pPr>
        <w:spacing w:after="0" w:line="240" w:lineRule="auto"/>
      </w:pPr>
      <w:r>
        <w:separator/>
      </w:r>
    </w:p>
  </w:footnote>
  <w:footnote w:type="continuationSeparator" w:id="0">
    <w:p w:rsidR="00917EAC" w:rsidRDefault="00917EAC" w:rsidP="00AB6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B0C"/>
    <w:multiLevelType w:val="hybridMultilevel"/>
    <w:tmpl w:val="003A2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995001"/>
    <w:multiLevelType w:val="hybridMultilevel"/>
    <w:tmpl w:val="E064F7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E2D0244"/>
    <w:multiLevelType w:val="hybridMultilevel"/>
    <w:tmpl w:val="61CA07B6"/>
    <w:lvl w:ilvl="0" w:tplc="D05CD6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CF1183"/>
    <w:multiLevelType w:val="hybridMultilevel"/>
    <w:tmpl w:val="A41433E2"/>
    <w:lvl w:ilvl="0" w:tplc="A0A2ED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B1180D"/>
    <w:multiLevelType w:val="hybridMultilevel"/>
    <w:tmpl w:val="C24691BC"/>
    <w:lvl w:ilvl="0" w:tplc="672EC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E5D2D6F"/>
    <w:multiLevelType w:val="hybridMultilevel"/>
    <w:tmpl w:val="ABC8CAF8"/>
    <w:lvl w:ilvl="0" w:tplc="CD8AD0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5E5B5F"/>
    <w:multiLevelType w:val="hybridMultilevel"/>
    <w:tmpl w:val="3CD414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7343EF"/>
    <w:multiLevelType w:val="hybridMultilevel"/>
    <w:tmpl w:val="466E80CE"/>
    <w:lvl w:ilvl="0" w:tplc="B0E4C5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84D6C09"/>
    <w:multiLevelType w:val="hybridMultilevel"/>
    <w:tmpl w:val="D6E6D80C"/>
    <w:lvl w:ilvl="0" w:tplc="6A7CA2F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7"/>
  </w:num>
  <w:num w:numId="5">
    <w:abstractNumId w:val="6"/>
  </w:num>
  <w:num w:numId="6">
    <w:abstractNumId w:val="0"/>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07904"/>
    <w:rsid w:val="000130AA"/>
    <w:rsid w:val="00253EBA"/>
    <w:rsid w:val="005F5C0C"/>
    <w:rsid w:val="006F5643"/>
    <w:rsid w:val="007807BF"/>
    <w:rsid w:val="007E3E5A"/>
    <w:rsid w:val="008A1AD8"/>
    <w:rsid w:val="008D77A8"/>
    <w:rsid w:val="00907904"/>
    <w:rsid w:val="00917EAC"/>
    <w:rsid w:val="00952340"/>
    <w:rsid w:val="009D6A81"/>
    <w:rsid w:val="00AB6D25"/>
    <w:rsid w:val="00B31F1C"/>
    <w:rsid w:val="00ED18B4"/>
    <w:rsid w:val="00EF2385"/>
    <w:rsid w:val="00EF7DB4"/>
    <w:rsid w:val="00F32477"/>
    <w:rsid w:val="00FD52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BB85"/>
  <w15:docId w15:val="{52493F14-1E71-4B9C-83DD-D867ED0A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9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079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907904"/>
    <w:pPr>
      <w:ind w:left="720"/>
      <w:contextualSpacing/>
    </w:pPr>
  </w:style>
  <w:style w:type="paragraph" w:styleId="En-tte">
    <w:name w:val="header"/>
    <w:basedOn w:val="Normal"/>
    <w:link w:val="En-tteCar"/>
    <w:uiPriority w:val="99"/>
    <w:semiHidden/>
    <w:unhideWhenUsed/>
    <w:rsid w:val="00AB6D2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B6D25"/>
  </w:style>
  <w:style w:type="paragraph" w:styleId="Pieddepage">
    <w:name w:val="footer"/>
    <w:basedOn w:val="Normal"/>
    <w:link w:val="PieddepageCar"/>
    <w:uiPriority w:val="99"/>
    <w:unhideWhenUsed/>
    <w:rsid w:val="00AB6D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6D25"/>
  </w:style>
  <w:style w:type="paragraph" w:styleId="Textedebulles">
    <w:name w:val="Balloon Text"/>
    <w:basedOn w:val="Normal"/>
    <w:link w:val="TextedebullesCar"/>
    <w:uiPriority w:val="99"/>
    <w:semiHidden/>
    <w:unhideWhenUsed/>
    <w:rsid w:val="00AB6D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6D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1452</Words>
  <Characters>8282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Fatoubintou Diallo</dc:creator>
  <cp:lastModifiedBy>HP</cp:lastModifiedBy>
  <cp:revision>12</cp:revision>
  <dcterms:created xsi:type="dcterms:W3CDTF">2021-02-15T13:25:00Z</dcterms:created>
  <dcterms:modified xsi:type="dcterms:W3CDTF">2024-12-18T17:17:00Z</dcterms:modified>
</cp:coreProperties>
</file>