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jc w:val="center"/>
      </w:pPr>
      <w:r>
        <w:rPr>
          <w:rFonts w:ascii="Arial" w:cs="Arial" w:eastAsia="Arial" w:hAnsi="Arial"/>
          <w:b/>
          <w:bCs/>
          <w:color w:val="1E293B"/>
          <w:sz w:val="56"/>
          <w:szCs w:val="56"/>
        </w:rPr>
        <w:t xml:space="preserve">AI &amp; LLM Learning Roadmap</w:t>
      </w:r>
    </w:p>
    <w:p>
      <w:pPr>
        <w:spacing w:after="80" w:before="0"/>
        <w:jc w:val="center"/>
      </w:pPr>
      <w:r>
        <w:rPr>
          <w:rFonts w:ascii="Arial" w:cs="Arial" w:eastAsia="Arial" w:hAnsi="Arial"/>
          <w:i/>
          <w:iCs/>
          <w:color w:val="475569"/>
          <w:sz w:val="26"/>
          <w:szCs w:val="26"/>
        </w:rPr>
        <w:t xml:space="preserve">From zero to understanding large language models</w:t>
      </w:r>
    </w:p>
    <w:p>
      <w:pPr>
        <w:spacing w:after="0" w:before="0"/>
        <w:jc w:val="center"/>
      </w:pPr>
      <w:r>
        <w:rPr>
          <w:rFonts w:ascii="Arial" w:cs="Arial" w:eastAsia="Arial" w:hAnsi="Arial"/>
          <w:color w:val="94A3B8"/>
          <w:sz w:val="22"/>
          <w:szCs w:val="22"/>
        </w:rPr>
        <w:t xml:space="preserve">6 Layers • Complete Guide</w:t>
      </w:r>
    </w:p>
    <w:p>
      <w:pPr>
        <w:spacing w:after="0" w:before="2880"/>
      </w:pPr>
      <w:r>
        <w:t xml:space="preserve"/>
      </w:r>
    </w:p>
    <w:p>
      <w:pPr>
        <w:pStyle w:val="Heading2"/>
        <w:pBdr>
          <w:bottom w:val="single" w:color="1D4ED8" w:sz="4" w:space="4"/>
        </w:pBdr>
        <w:spacing w:after="160" w:before="360"/>
      </w:pPr>
      <w:r>
        <w:rPr>
          <w:rFonts w:ascii="Arial" w:cs="Arial" w:eastAsia="Arial" w:hAnsi="Arial"/>
          <w:b/>
          <w:bCs/>
          <w:color w:val="1D4ED8"/>
          <w:sz w:val="28"/>
          <w:szCs w:val="28"/>
        </w:rPr>
        <w:t xml:space="preserve">How to use this roadmap</w:t>
      </w:r>
    </w:p>
    <w:p>
      <w:pPr>
        <w:spacing w:after="100" w:before="60"/>
      </w:pPr>
      <w:r>
        <w:rPr>
          <w:rFonts w:ascii="Arial" w:cs="Arial" w:eastAsia="Arial" w:hAnsi="Arial"/>
          <w:color w:val="475569"/>
          <w:sz w:val="22"/>
          <w:szCs w:val="22"/>
        </w:rPr>
        <w:t xml:space="preserve">This roadmap is structured as six layers, each one building on the previous. You do not need to master a layer completely before moving to the next — aim for solid understanding and move forward. You will revisit earlier layers naturally as later concepts demand it.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EFF6FF" w:val="clear"/>
            <w:tcMar>
              <w:top w:type="dxa" w:w="120"/>
              <w:left w:type="dxa" w:w="180"/>
              <w:bottom w:type="dxa" w:w="80"/>
              <w:right w:type="dxa" w:w="180"/>
            </w:tcMar>
          </w:tcPr>
          <w:p>
            <w:pPr>
              <w:spacing w:after="80" w:before="0"/>
            </w:pPr>
            <w:r>
              <w:rPr>
                <w:rFonts w:ascii="Arial" w:cs="Arial" w:eastAsia="Arial" w:hAnsi="Arial"/>
                <w:b/>
                <w:bCs/>
                <w:color w:val="1D4ED8"/>
                <w:sz w:val="22"/>
                <w:szCs w:val="22"/>
              </w:rPr>
              <w:t xml:space="preserve">Suggested approach</w:t>
            </w:r>
          </w:p>
          <w:p>
            <w:pPr>
              <w:spacing w:after="40" w:before="0"/>
            </w:pPr>
            <w:r>
              <w:rPr>
                <w:rFonts w:ascii="Arial" w:cs="Arial" w:eastAsia="Arial" w:hAnsi="Arial"/>
                <w:color w:val="475569"/>
                <w:sz w:val="21"/>
                <w:szCs w:val="21"/>
              </w:rPr>
              <w:t xml:space="preserve">Start at Layer 1. Do not skip it even if you have some math background.</w:t>
            </w:r>
          </w:p>
          <w:p>
            <w:pPr>
              <w:spacing w:after="40" w:before="0"/>
            </w:pPr>
            <w:r>
              <w:rPr>
                <w:rFonts w:ascii="Arial" w:cs="Arial" w:eastAsia="Arial" w:hAnsi="Arial"/>
                <w:color w:val="475569"/>
                <w:sz w:val="21"/>
                <w:szCs w:val="21"/>
              </w:rPr>
              <w:t xml:space="preserve">For each topic: read the concept, write code to test it, then explain it out loud.</w:t>
            </w:r>
          </w:p>
          <w:p>
            <w:pPr>
              <w:spacing w:after="40" w:before="0"/>
            </w:pPr>
            <w:r>
              <w:rPr>
                <w:rFonts w:ascii="Arial" w:cs="Arial" w:eastAsia="Arial" w:hAnsi="Arial"/>
                <w:color w:val="475569"/>
                <w:sz w:val="21"/>
                <w:szCs w:val="21"/>
              </w:rPr>
              <w:t xml:space="preserve">When you hit a wall in a later layer, return to the relevant earlier section.</w:t>
            </w:r>
          </w:p>
          <w:p>
            <w:pPr>
              <w:spacing w:after="40" w:before="0"/>
            </w:pPr>
            <w:r>
              <w:rPr>
                <w:rFonts w:ascii="Arial" w:cs="Arial" w:eastAsia="Arial" w:hAnsi="Arial"/>
                <w:color w:val="475569"/>
                <w:sz w:val="21"/>
                <w:szCs w:val="21"/>
              </w:rPr>
              <w:t xml:space="preserve">The end goal is to read a paper like TurboQuant and follow every step.</w:t>
            </w:r>
          </w:p>
        </w:tc>
      </w:tr>
    </w:tbl>
    <w:p>
      <w:pPr>
        <w:spacing w:after="0" w:before="200"/>
      </w:pPr>
      <w:r>
        <w:t xml:space="preserve"/>
      </w:r>
    </w:p>
    <w:p>
      <w:pPr>
        <w:pStyle w:val="Heading2"/>
        <w:pBdr>
          <w:bottom w:val="single" w:color="1D4ED8" w:sz="4" w:space="4"/>
        </w:pBdr>
        <w:spacing w:after="160" w:before="360"/>
      </w:pPr>
      <w:r>
        <w:rPr>
          <w:rFonts w:ascii="Arial" w:cs="Arial" w:eastAsia="Arial" w:hAnsi="Arial"/>
          <w:b/>
          <w:bCs/>
          <w:color w:val="1D4ED8"/>
          <w:sz w:val="28"/>
          <w:szCs w:val="28"/>
        </w:rPr>
        <w:t xml:space="preserve">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3400"/>
        <w:gridCol w:w="2360"/>
      </w:tblGrid>
      <w:tr>
        <w:trPr>
          <w:tblHeader/>
        </w:trPr>
        <w:tc>
          <w:tcPr>
            <w:tcW w:type="dxa" w:w="8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8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34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Core skill you gain</w:t>
            </w:r>
          </w:p>
        </w:tc>
        <w:tc>
          <w:tcPr>
            <w:tcW w:type="dxa" w:w="236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Timeline</w:t>
            </w:r>
          </w:p>
        </w:tc>
      </w:tr>
      <w:tr>
        <w:tc>
          <w:tcPr>
            <w:tcW w:type="dxa" w:w="80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tcPr>
          <w:p>
            <w:r>
              <w:rPr>
                <w:rFonts w:ascii="Arial" w:cs="Arial" w:eastAsia="Arial" w:hAnsi="Arial"/>
                <w:b/>
                <w:bCs/>
                <w:color w:val="1D4ED8"/>
                <w:sz w:val="21"/>
                <w:szCs w:val="21"/>
              </w:rPr>
              <w:t xml:space="preserve">1</w:t>
            </w:r>
          </w:p>
        </w:tc>
        <w:tc>
          <w:tcPr>
            <w:tcW w:type="dxa" w:w="280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tcPr>
          <w:p>
            <w:r>
              <w:rPr>
                <w:rFonts w:ascii="Arial" w:cs="Arial" w:eastAsia="Arial" w:hAnsi="Arial"/>
                <w:b/>
                <w:bCs/>
                <w:color w:val="1E293B"/>
                <w:sz w:val="21"/>
                <w:szCs w:val="21"/>
              </w:rPr>
              <w:t xml:space="preserve">Math foundations</w:t>
            </w:r>
          </w:p>
        </w:tc>
        <w:tc>
          <w:tcPr>
            <w:tcW w:type="dxa" w:w="340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tcPr>
          <w:p>
            <w:r>
              <w:rPr>
                <w:rFonts w:ascii="Arial" w:cs="Arial" w:eastAsia="Arial" w:hAnsi="Arial"/>
                <w:color w:val="475569"/>
                <w:sz w:val="21"/>
                <w:szCs w:val="21"/>
              </w:rPr>
              <w:t xml:space="preserve">Read and write the equations behind ML</w:t>
            </w:r>
          </w:p>
        </w:tc>
        <w:tc>
          <w:tcPr>
            <w:tcW w:type="dxa" w:w="236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tcPr>
          <w:p>
            <w:r>
              <w:rPr>
                <w:rFonts w:ascii="Arial" w:cs="Arial" w:eastAsia="Arial" w:hAnsi="Arial"/>
                <w:color w:val="475569"/>
                <w:sz w:val="21"/>
                <w:szCs w:val="21"/>
              </w:rPr>
              <w:t xml:space="preserve">4–8 weeks</w:t>
            </w:r>
          </w:p>
        </w:tc>
      </w:tr>
      <w:tr>
        <w:tc>
          <w:tcPr>
            <w:tcW w:type="dxa" w:w="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D4ED8"/>
                <w:sz w:val="21"/>
                <w:szCs w:val="21"/>
              </w:rPr>
              <w:t xml:space="preserve">2</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E293B"/>
                <w:sz w:val="21"/>
                <w:szCs w:val="21"/>
              </w:rPr>
              <w:t xml:space="preserve">Classical ML</w:t>
            </w:r>
          </w:p>
        </w:tc>
        <w:tc>
          <w:tcPr>
            <w:tcW w:type="dxa" w:w="3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1"/>
                <w:szCs w:val="21"/>
              </w:rPr>
              <w:t xml:space="preserve">Understand how models learn from data</w:t>
            </w:r>
          </w:p>
        </w:tc>
        <w:tc>
          <w:tcPr>
            <w:tcW w:type="dxa" w:w="2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1"/>
                <w:szCs w:val="21"/>
              </w:rPr>
              <w:t xml:space="preserve">3–5 weeks</w:t>
            </w:r>
          </w:p>
        </w:tc>
      </w:tr>
      <w:tr>
        <w:tc>
          <w:tcPr>
            <w:tcW w:type="dxa" w:w="80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tcPr>
          <w:p>
            <w:r>
              <w:rPr>
                <w:rFonts w:ascii="Arial" w:cs="Arial" w:eastAsia="Arial" w:hAnsi="Arial"/>
                <w:b/>
                <w:bCs/>
                <w:color w:val="1D4ED8"/>
                <w:sz w:val="21"/>
                <w:szCs w:val="21"/>
              </w:rPr>
              <w:t xml:space="preserve">3</w:t>
            </w:r>
          </w:p>
        </w:tc>
        <w:tc>
          <w:tcPr>
            <w:tcW w:type="dxa" w:w="280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tcPr>
          <w:p>
            <w:r>
              <w:rPr>
                <w:rFonts w:ascii="Arial" w:cs="Arial" w:eastAsia="Arial" w:hAnsi="Arial"/>
                <w:b/>
                <w:bCs/>
                <w:color w:val="1E293B"/>
                <w:sz w:val="21"/>
                <w:szCs w:val="21"/>
              </w:rPr>
              <w:t xml:space="preserve">Neural networks</w:t>
            </w:r>
          </w:p>
        </w:tc>
        <w:tc>
          <w:tcPr>
            <w:tcW w:type="dxa" w:w="340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tcPr>
          <w:p>
            <w:r>
              <w:rPr>
                <w:rFonts w:ascii="Arial" w:cs="Arial" w:eastAsia="Arial" w:hAnsi="Arial"/>
                <w:color w:val="475569"/>
                <w:sz w:val="21"/>
                <w:szCs w:val="21"/>
              </w:rPr>
              <w:t xml:space="preserve">Build and train networks from scratch</w:t>
            </w:r>
          </w:p>
        </w:tc>
        <w:tc>
          <w:tcPr>
            <w:tcW w:type="dxa" w:w="236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tcPr>
          <w:p>
            <w:r>
              <w:rPr>
                <w:rFonts w:ascii="Arial" w:cs="Arial" w:eastAsia="Arial" w:hAnsi="Arial"/>
                <w:color w:val="475569"/>
                <w:sz w:val="21"/>
                <w:szCs w:val="21"/>
              </w:rPr>
              <w:t xml:space="preserve">4–6 weeks</w:t>
            </w:r>
          </w:p>
        </w:tc>
      </w:tr>
      <w:tr>
        <w:tc>
          <w:tcPr>
            <w:tcW w:type="dxa" w:w="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D4ED8"/>
                <w:sz w:val="21"/>
                <w:szCs w:val="21"/>
              </w:rPr>
              <w:t xml:space="preserve">4</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E293B"/>
                <w:sz w:val="21"/>
                <w:szCs w:val="21"/>
              </w:rPr>
              <w:t xml:space="preserve">The transformer</w:t>
            </w:r>
          </w:p>
        </w:tc>
        <w:tc>
          <w:tcPr>
            <w:tcW w:type="dxa" w:w="3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1"/>
                <w:szCs w:val="21"/>
              </w:rPr>
              <w:t xml:space="preserve">Understand the architecture behind all LLMs</w:t>
            </w:r>
          </w:p>
        </w:tc>
        <w:tc>
          <w:tcPr>
            <w:tcW w:type="dxa" w:w="2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1"/>
                <w:szCs w:val="21"/>
              </w:rPr>
              <w:t xml:space="preserve">4–6 weeks</w:t>
            </w:r>
          </w:p>
        </w:tc>
      </w:tr>
      <w:tr>
        <w:tc>
          <w:tcPr>
            <w:tcW w:type="dxa" w:w="80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tcPr>
          <w:p>
            <w:r>
              <w:rPr>
                <w:rFonts w:ascii="Arial" w:cs="Arial" w:eastAsia="Arial" w:hAnsi="Arial"/>
                <w:b/>
                <w:bCs/>
                <w:color w:val="1D4ED8"/>
                <w:sz w:val="21"/>
                <w:szCs w:val="21"/>
              </w:rPr>
              <w:t xml:space="preserve">5</w:t>
            </w:r>
          </w:p>
        </w:tc>
        <w:tc>
          <w:tcPr>
            <w:tcW w:type="dxa" w:w="280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tcPr>
          <w:p>
            <w:r>
              <w:rPr>
                <w:rFonts w:ascii="Arial" w:cs="Arial" w:eastAsia="Arial" w:hAnsi="Arial"/>
                <w:b/>
                <w:bCs/>
                <w:color w:val="1E293B"/>
                <w:sz w:val="21"/>
                <w:szCs w:val="21"/>
              </w:rPr>
              <w:t xml:space="preserve">LLMs specifically</w:t>
            </w:r>
          </w:p>
        </w:tc>
        <w:tc>
          <w:tcPr>
            <w:tcW w:type="dxa" w:w="340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tcPr>
          <w:p>
            <w:r>
              <w:rPr>
                <w:rFonts w:ascii="Arial" w:cs="Arial" w:eastAsia="Arial" w:hAnsi="Arial"/>
                <w:color w:val="475569"/>
                <w:sz w:val="21"/>
                <w:szCs w:val="21"/>
              </w:rPr>
              <w:t xml:space="preserve">Know how GPT, Llama, and Claude work</w:t>
            </w:r>
          </w:p>
        </w:tc>
        <w:tc>
          <w:tcPr>
            <w:tcW w:type="dxa" w:w="236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tcPr>
          <w:p>
            <w:r>
              <w:rPr>
                <w:rFonts w:ascii="Arial" w:cs="Arial" w:eastAsia="Arial" w:hAnsi="Arial"/>
                <w:color w:val="475569"/>
                <w:sz w:val="21"/>
                <w:szCs w:val="21"/>
              </w:rPr>
              <w:t xml:space="preserve">3–4 weeks</w:t>
            </w:r>
          </w:p>
        </w:tc>
      </w:tr>
      <w:tr>
        <w:tc>
          <w:tcPr>
            <w:tcW w:type="dxa" w:w="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D4ED8"/>
                <w:sz w:val="21"/>
                <w:szCs w:val="21"/>
              </w:rPr>
              <w:t xml:space="preserve">6</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E293B"/>
                <w:sz w:val="21"/>
                <w:szCs w:val="21"/>
              </w:rPr>
              <w:t xml:space="preserve">Production &amp; efficiency</w:t>
            </w:r>
          </w:p>
        </w:tc>
        <w:tc>
          <w:tcPr>
            <w:tcW w:type="dxa" w:w="3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1"/>
                <w:szCs w:val="21"/>
              </w:rPr>
              <w:t xml:space="preserve">Quantization, KV cache, deployment</w:t>
            </w:r>
          </w:p>
        </w:tc>
        <w:tc>
          <w:tcPr>
            <w:tcW w:type="dxa" w:w="2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1"/>
                <w:szCs w:val="21"/>
              </w:rPr>
              <w:t xml:space="preserve">3–5 weeks</w:t>
            </w:r>
          </w:p>
        </w:tc>
      </w:tr>
    </w:tbl>
    <w:p>
      <w:pPr>
        <w:spacing w:after="0" w:before="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1D4ED8" w:val="clear"/>
            <w:tcMar>
              <w:top w:type="dxa" w:w="180"/>
              <w:left w:type="dxa" w:w="240"/>
              <w:bottom w:type="dxa" w:w="180"/>
              <w:right w:type="dxa" w:w="240"/>
            </w:tcMar>
          </w:tcPr>
          <w:p>
            <w:pPr>
              <w:spacing w:after="60" w:before="0"/>
            </w:pPr>
            <w:r>
              <w:rPr>
                <w:rFonts w:ascii="Arial" w:cs="Arial" w:eastAsia="Arial" w:hAnsi="Arial"/>
                <w:b/>
                <w:bCs/>
                <w:color w:val="FFFFFF"/>
                <w:sz w:val="32"/>
                <w:szCs w:val="32"/>
              </w:rPr>
              <w:t xml:space="preserve">Layer 1  </w:t>
            </w:r>
            <w:r>
              <w:rPr>
                <w:rFonts w:ascii="Arial" w:cs="Arial" w:eastAsia="Arial" w:hAnsi="Arial"/>
                <w:b/>
                <w:bCs/>
                <w:color w:val="BFDBFE"/>
                <w:sz w:val="32"/>
                <w:szCs w:val="32"/>
              </w:rPr>
              <w:t xml:space="preserve">Math Foundations</w:t>
            </w:r>
          </w:p>
          <w:p>
            <w:pPr>
              <w:spacing w:after="0" w:before="0"/>
            </w:pPr>
            <w:r>
              <w:rPr>
                <w:rFonts w:ascii="Arial" w:cs="Arial" w:eastAsia="Arial" w:hAnsi="Arial"/>
                <w:i/>
                <w:iCs/>
                <w:color w:val="DBEAFE"/>
                <w:sz w:val="21"/>
                <w:szCs w:val="21"/>
              </w:rPr>
              <w:t xml:space="preserve">The language everything else is written in</w:t>
            </w:r>
          </w:p>
        </w:tc>
      </w:tr>
    </w:tbl>
    <w:p>
      <w:pPr>
        <w:spacing w:after="0" w:before="160"/>
      </w:pPr>
      <w:r>
        <w:t xml:space="preserve"/>
      </w:r>
    </w:p>
    <w:p>
      <w:pPr>
        <w:pStyle w:val="Heading3"/>
        <w:spacing w:after="100" w:before="240"/>
      </w:pPr>
      <w:r>
        <w:rPr>
          <w:rFonts w:ascii="Arial" w:cs="Arial" w:eastAsia="Arial" w:hAnsi="Arial"/>
          <w:b/>
          <w:bCs/>
          <w:color w:val="1E293B"/>
          <w:sz w:val="24"/>
          <w:szCs w:val="24"/>
        </w:rPr>
        <w:t xml:space="preserve">Why this layer matters</w:t>
      </w:r>
    </w:p>
    <w:p>
      <w:pPr>
        <w:spacing w:after="100" w:before="60"/>
      </w:pPr>
      <w:r>
        <w:rPr>
          <w:rFonts w:ascii="Arial" w:cs="Arial" w:eastAsia="Arial" w:hAnsi="Arial"/>
          <w:color w:val="475569"/>
          <w:sz w:val="22"/>
          <w:szCs w:val="22"/>
        </w:rPr>
        <w:t xml:space="preserve">Every operation in machine learning is, at its core, a mathematical operation on vectors and matrices. Skipping this layer means you will hit a wall the moment you try to read a research paper or debug a real implementation. The good news: you do not need a maths degree. You need working fluency with four topics.</w:t>
      </w:r>
    </w:p>
    <w:p>
      <w:pPr>
        <w:spacing w:after="0" w:before="120"/>
      </w:pPr>
      <w:r>
        <w:t xml:space="preserve"/>
      </w:r>
    </w:p>
    <w:p>
      <w:pPr>
        <w:pStyle w:val="Heading3"/>
        <w:spacing w:after="100" w:before="240"/>
      </w:pPr>
      <w:r>
        <w:rPr>
          <w:rFonts w:ascii="Arial" w:cs="Arial" w:eastAsia="Arial" w:hAnsi="Arial"/>
          <w:b/>
          <w:bCs/>
          <w:color w:val="1E293B"/>
          <w:sz w:val="24"/>
          <w:szCs w:val="24"/>
        </w:rPr>
        <w:t xml:space="preserve">1.1  Linear algebra</w:t>
      </w:r>
    </w:p>
    <w:p>
      <w:pPr>
        <w:spacing w:after="100" w:before="60"/>
      </w:pPr>
      <w:r>
        <w:rPr>
          <w:rFonts w:ascii="Arial" w:cs="Arial" w:eastAsia="Arial" w:hAnsi="Arial"/>
          <w:color w:val="475569"/>
          <w:sz w:val="22"/>
          <w:szCs w:val="22"/>
        </w:rPr>
        <w:t xml:space="preserve">Linear algebra is the foundation. Neural networks are, literally, chains of matrix multiplications. When a transformer processes your text, it is doing hundreds of matrix multiplications per token. When TurboQuant rotates a vector, that is a matrix multiply. You cannot avoid it.</w:t>
      </w:r>
    </w:p>
    <w:p>
      <w:pPr>
        <w:spacing w:after="0" w:before="60"/>
      </w:pPr>
      <w:r>
        <w:t xml:space="preserve"/>
      </w:r>
    </w:p>
    <w:p>
      <w:pPr>
        <w:spacing w:after="100" w:before="60"/>
      </w:pPr>
      <w:r>
        <w:rPr>
          <w:rFonts w:ascii="Arial" w:cs="Arial" w:eastAsia="Arial" w:hAnsi="Arial"/>
          <w:b/>
          <w:bCs/>
          <w:color w:val="475569"/>
          <w:sz w:val="22"/>
          <w:szCs w:val="22"/>
        </w:rPr>
        <w:t xml:space="preserve">Topics to cover:</w:t>
      </w:r>
    </w:p>
    <w:p>
      <w:pPr>
        <w:pStyle w:val="ListParagraph"/>
        <w:numPr>
          <w:ilvl w:val="0"/>
          <w:numId w:val="2"/>
        </w:numPr>
        <w:spacing w:after="40" w:before="40"/>
      </w:pPr>
      <w:r>
        <w:rPr>
          <w:rFonts w:ascii="Arial" w:cs="Arial" w:eastAsia="Arial" w:hAnsi="Arial"/>
          <w:color w:val="475569"/>
          <w:sz w:val="22"/>
          <w:szCs w:val="22"/>
        </w:rPr>
        <w:t xml:space="preserve">Vectors and what they represent — a list of numbers encoding position, meaning, or state</w:t>
      </w:r>
    </w:p>
    <w:p>
      <w:pPr>
        <w:pStyle w:val="ListParagraph"/>
        <w:numPr>
          <w:ilvl w:val="0"/>
          <w:numId w:val="2"/>
        </w:numPr>
        <w:spacing w:after="40" w:before="40"/>
      </w:pPr>
      <w:r>
        <w:rPr>
          <w:rFonts w:ascii="Arial" w:cs="Arial" w:eastAsia="Arial" w:hAnsi="Arial"/>
          <w:color w:val="475569"/>
          <w:sz w:val="22"/>
          <w:szCs w:val="22"/>
        </w:rPr>
        <w:t xml:space="preserve">Vector operations — addition, scaling, dot product, L2 norm</w:t>
      </w:r>
    </w:p>
    <w:p>
      <w:pPr>
        <w:pStyle w:val="ListParagraph"/>
        <w:numPr>
          <w:ilvl w:val="0"/>
          <w:numId w:val="2"/>
        </w:numPr>
        <w:spacing w:after="40" w:before="40"/>
      </w:pPr>
      <w:r>
        <w:rPr>
          <w:rFonts w:ascii="Arial" w:cs="Arial" w:eastAsia="Arial" w:hAnsi="Arial"/>
          <w:color w:val="475569"/>
          <w:sz w:val="22"/>
          <w:szCs w:val="22"/>
        </w:rPr>
        <w:t xml:space="preserve">Matrices — what they are and how matrix multiplication works</w:t>
      </w:r>
    </w:p>
    <w:p>
      <w:pPr>
        <w:pStyle w:val="ListParagraph"/>
        <w:numPr>
          <w:ilvl w:val="0"/>
          <w:numId w:val="2"/>
        </w:numPr>
        <w:spacing w:after="40" w:before="40"/>
      </w:pPr>
      <w:r>
        <w:rPr>
          <w:rFonts w:ascii="Arial" w:cs="Arial" w:eastAsia="Arial" w:hAnsi="Arial"/>
          <w:color w:val="475569"/>
          <w:sz w:val="22"/>
          <w:szCs w:val="22"/>
        </w:rPr>
        <w:t xml:space="preserve">The dot product deeply — why it measures similarity between vectors</w:t>
      </w:r>
    </w:p>
    <w:p>
      <w:pPr>
        <w:pStyle w:val="ListParagraph"/>
        <w:numPr>
          <w:ilvl w:val="0"/>
          <w:numId w:val="2"/>
        </w:numPr>
        <w:spacing w:after="40" w:before="40"/>
      </w:pPr>
      <w:r>
        <w:rPr>
          <w:rFonts w:ascii="Arial" w:cs="Arial" w:eastAsia="Arial" w:hAnsi="Arial"/>
          <w:color w:val="475569"/>
          <w:sz w:val="22"/>
          <w:szCs w:val="22"/>
        </w:rPr>
        <w:t xml:space="preserve">Matrix transpose, inverse, and identity matrix</w:t>
      </w:r>
    </w:p>
    <w:p>
      <w:pPr>
        <w:pStyle w:val="ListParagraph"/>
        <w:numPr>
          <w:ilvl w:val="0"/>
          <w:numId w:val="2"/>
        </w:numPr>
        <w:spacing w:after="40" w:before="40"/>
      </w:pPr>
      <w:r>
        <w:rPr>
          <w:rFonts w:ascii="Arial" w:cs="Arial" w:eastAsia="Arial" w:hAnsi="Arial"/>
          <w:color w:val="475569"/>
          <w:sz w:val="22"/>
          <w:szCs w:val="22"/>
        </w:rPr>
        <w:t xml:space="preserve">Eigenvalues and eigenvectors — what they reveal about a transformation</w:t>
      </w:r>
    </w:p>
    <w:p>
      <w:pPr>
        <w:pStyle w:val="ListParagraph"/>
        <w:numPr>
          <w:ilvl w:val="0"/>
          <w:numId w:val="2"/>
        </w:numPr>
        <w:spacing w:after="40" w:before="40"/>
      </w:pPr>
      <w:r>
        <w:rPr>
          <w:rFonts w:ascii="Arial" w:cs="Arial" w:eastAsia="Arial" w:hAnsi="Arial"/>
          <w:color w:val="475569"/>
          <w:sz w:val="22"/>
          <w:szCs w:val="22"/>
        </w:rPr>
        <w:t xml:space="preserve">Orthogonal matrices — why rotation preserves distances (key for TurboQuant)</w:t>
      </w:r>
    </w:p>
    <w:p>
      <w:pPr>
        <w:pStyle w:val="ListParagraph"/>
        <w:numPr>
          <w:ilvl w:val="0"/>
          <w:numId w:val="2"/>
        </w:numPr>
        <w:spacing w:after="40" w:before="40"/>
      </w:pPr>
      <w:r>
        <w:rPr>
          <w:rFonts w:ascii="Arial" w:cs="Arial" w:eastAsia="Arial" w:hAnsi="Arial"/>
          <w:color w:val="475569"/>
          <w:sz w:val="22"/>
          <w:szCs w:val="22"/>
        </w:rPr>
        <w:t xml:space="preserve">QR decomposition — how to produce a random rotation matrix</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EFF6FF" w:val="clear"/>
            <w:tcMar>
              <w:top w:type="dxa" w:w="120"/>
              <w:left w:type="dxa" w:w="180"/>
              <w:bottom w:type="dxa" w:w="80"/>
              <w:right w:type="dxa" w:w="180"/>
            </w:tcMar>
          </w:tcPr>
          <w:p>
            <w:pPr>
              <w:spacing w:after="80" w:before="0"/>
            </w:pPr>
            <w:r>
              <w:rPr>
                <w:rFonts w:ascii="Arial" w:cs="Arial" w:eastAsia="Arial" w:hAnsi="Arial"/>
                <w:b/>
                <w:bCs/>
                <w:color w:val="1D4ED8"/>
                <w:sz w:val="22"/>
                <w:szCs w:val="22"/>
              </w:rPr>
              <w:t xml:space="preserve">Why orthogonal matrices matter for TurboQuant</w:t>
            </w:r>
          </w:p>
          <w:p>
            <w:pPr>
              <w:spacing w:after="40" w:before="0"/>
            </w:pPr>
            <w:r>
              <w:rPr>
                <w:rFonts w:ascii="Arial" w:cs="Arial" w:eastAsia="Arial" w:hAnsi="Arial"/>
                <w:color w:val="475569"/>
                <w:sz w:val="21"/>
                <w:szCs w:val="21"/>
              </w:rPr>
              <w:t xml:space="preserve">The very first step of TurboQuant is to multiply the input vector by a random orthogonal matrix.</w:t>
            </w:r>
          </w:p>
          <w:p>
            <w:pPr>
              <w:spacing w:after="40" w:before="0"/>
            </w:pPr>
            <w:r>
              <w:rPr>
                <w:rFonts w:ascii="Arial" w:cs="Arial" w:eastAsia="Arial" w:hAnsi="Arial"/>
                <w:color w:val="475569"/>
                <w:sz w:val="21"/>
                <w:szCs w:val="21"/>
              </w:rPr>
              <w:t xml:space="preserve">An orthogonal matrix Q satisfies Q^T * Q = I, meaning it rotates without stretching.</w:t>
            </w:r>
          </w:p>
          <w:p>
            <w:pPr>
              <w:spacing w:after="40" w:before="0"/>
            </w:pPr>
            <w:r>
              <w:rPr>
                <w:rFonts w:ascii="Arial" w:cs="Arial" w:eastAsia="Arial" w:hAnsi="Arial"/>
                <w:color w:val="475569"/>
                <w:sz w:val="21"/>
                <w:szCs w:val="21"/>
              </w:rPr>
              <w:t xml:space="preserve">This is how TurboQuant turns any input into something with a known, uniform distribution.</w:t>
            </w:r>
          </w:p>
          <w:p>
            <w:pPr>
              <w:spacing w:after="40" w:before="0"/>
            </w:pPr>
            <w:r>
              <w:rPr>
                <w:rFonts w:ascii="Arial" w:cs="Arial" w:eastAsia="Arial" w:hAnsi="Arial"/>
                <w:color w:val="475569"/>
                <w:sz w:val="21"/>
                <w:szCs w:val="21"/>
              </w:rPr>
              <w:t xml:space="preserve">You cannot understand this without knowing what matrix multiplication does geometrically.</w:t>
            </w:r>
          </w:p>
        </w:tc>
      </w:tr>
    </w:tbl>
    <w:p>
      <w:pPr>
        <w:spacing w:after="0" w:before="120"/>
      </w:pPr>
      <w:r>
        <w:t xml:space="preserve"/>
      </w:r>
    </w:p>
    <w:p>
      <w:pPr>
        <w:pStyle w:val="Heading3"/>
        <w:spacing w:after="100" w:before="240"/>
      </w:pPr>
      <w:r>
        <w:rPr>
          <w:rFonts w:ascii="Arial" w:cs="Arial" w:eastAsia="Arial" w:hAnsi="Arial"/>
          <w:b/>
          <w:bCs/>
          <w:color w:val="1E293B"/>
          <w:sz w:val="24"/>
          <w:szCs w:val="24"/>
        </w:rPr>
        <w:t xml:space="preserve">1.2  Calculus</w:t>
      </w:r>
    </w:p>
    <w:p>
      <w:pPr>
        <w:spacing w:after="100" w:before="60"/>
      </w:pPr>
      <w:r>
        <w:rPr>
          <w:rFonts w:ascii="Arial" w:cs="Arial" w:eastAsia="Arial" w:hAnsi="Arial"/>
          <w:color w:val="475569"/>
          <w:sz w:val="22"/>
          <w:szCs w:val="22"/>
        </w:rPr>
        <w:t xml:space="preserve">Calculus tells you how things change. In ML, the core operation is: given a function that measures error, find the input values that minimize it. That process is gradient descent, and it is built entirely from derivatives.</w:t>
      </w:r>
    </w:p>
    <w:p>
      <w:pPr>
        <w:spacing w:after="0" w:before="60"/>
      </w:pPr>
      <w:r>
        <w:t xml:space="preserve"/>
      </w:r>
    </w:p>
    <w:p>
      <w:pPr>
        <w:spacing w:after="100" w:before="60"/>
      </w:pPr>
      <w:r>
        <w:rPr>
          <w:rFonts w:ascii="Arial" w:cs="Arial" w:eastAsia="Arial" w:hAnsi="Arial"/>
          <w:b/>
          <w:bCs/>
          <w:color w:val="475569"/>
          <w:sz w:val="22"/>
          <w:szCs w:val="22"/>
        </w:rPr>
        <w:t xml:space="preserve">Topics to cover:</w:t>
      </w:r>
    </w:p>
    <w:p>
      <w:pPr>
        <w:pStyle w:val="ListParagraph"/>
        <w:numPr>
          <w:ilvl w:val="0"/>
          <w:numId w:val="2"/>
        </w:numPr>
        <w:spacing w:after="40" w:before="40"/>
      </w:pPr>
      <w:r>
        <w:rPr>
          <w:rFonts w:ascii="Arial" w:cs="Arial" w:eastAsia="Arial" w:hAnsi="Arial"/>
          <w:color w:val="475569"/>
          <w:sz w:val="22"/>
          <w:szCs w:val="22"/>
        </w:rPr>
        <w:t xml:space="preserve">Derivatives — what they measure, how to compute them</w:t>
      </w:r>
    </w:p>
    <w:p>
      <w:pPr>
        <w:pStyle w:val="ListParagraph"/>
        <w:numPr>
          <w:ilvl w:val="0"/>
          <w:numId w:val="2"/>
        </w:numPr>
        <w:spacing w:after="40" w:before="40"/>
      </w:pPr>
      <w:r>
        <w:rPr>
          <w:rFonts w:ascii="Arial" w:cs="Arial" w:eastAsia="Arial" w:hAnsi="Arial"/>
          <w:color w:val="475569"/>
          <w:sz w:val="22"/>
          <w:szCs w:val="22"/>
        </w:rPr>
        <w:t xml:space="preserve">The chain rule — essential for backpropagation through layers</w:t>
      </w:r>
    </w:p>
    <w:p>
      <w:pPr>
        <w:pStyle w:val="ListParagraph"/>
        <w:numPr>
          <w:ilvl w:val="0"/>
          <w:numId w:val="2"/>
        </w:numPr>
        <w:spacing w:after="40" w:before="40"/>
      </w:pPr>
      <w:r>
        <w:rPr>
          <w:rFonts w:ascii="Arial" w:cs="Arial" w:eastAsia="Arial" w:hAnsi="Arial"/>
          <w:color w:val="475569"/>
          <w:sz w:val="22"/>
          <w:szCs w:val="22"/>
        </w:rPr>
        <w:t xml:space="preserve">Partial derivatives — derivatives when you have many inputs</w:t>
      </w:r>
    </w:p>
    <w:p>
      <w:pPr>
        <w:pStyle w:val="ListParagraph"/>
        <w:numPr>
          <w:ilvl w:val="0"/>
          <w:numId w:val="2"/>
        </w:numPr>
        <w:spacing w:after="40" w:before="40"/>
      </w:pPr>
      <w:r>
        <w:rPr>
          <w:rFonts w:ascii="Arial" w:cs="Arial" w:eastAsia="Arial" w:hAnsi="Arial"/>
          <w:color w:val="475569"/>
          <w:sz w:val="22"/>
          <w:szCs w:val="22"/>
        </w:rPr>
        <w:t xml:space="preserve">Gradients — the multi-dimensional version of a derivative</w:t>
      </w:r>
    </w:p>
    <w:p>
      <w:pPr>
        <w:pStyle w:val="ListParagraph"/>
        <w:numPr>
          <w:ilvl w:val="0"/>
          <w:numId w:val="2"/>
        </w:numPr>
        <w:spacing w:after="40" w:before="40"/>
      </w:pPr>
      <w:r>
        <w:rPr>
          <w:rFonts w:ascii="Arial" w:cs="Arial" w:eastAsia="Arial" w:hAnsi="Arial"/>
          <w:color w:val="475569"/>
          <w:sz w:val="22"/>
          <w:szCs w:val="22"/>
        </w:rPr>
        <w:t xml:space="preserve">The gradient as a direction of steepest ascent</w:t>
      </w:r>
    </w:p>
    <w:p>
      <w:pPr>
        <w:pStyle w:val="ListParagraph"/>
        <w:numPr>
          <w:ilvl w:val="0"/>
          <w:numId w:val="2"/>
        </w:numPr>
        <w:spacing w:after="40" w:before="40"/>
      </w:pPr>
      <w:r>
        <w:rPr>
          <w:rFonts w:ascii="Arial" w:cs="Arial" w:eastAsia="Arial" w:hAnsi="Arial"/>
          <w:color w:val="475569"/>
          <w:sz w:val="22"/>
          <w:szCs w:val="22"/>
        </w:rPr>
        <w:t xml:space="preserve">Minima and maxima — how to find where a function is smallest</w:t>
      </w:r>
    </w:p>
    <w:p>
      <w:pPr>
        <w:spacing w:after="0" w:before="120"/>
      </w:pPr>
      <w:r>
        <w:t xml:space="preserve"/>
      </w:r>
    </w:p>
    <w:p>
      <w:pPr>
        <w:pStyle w:val="Heading3"/>
        <w:spacing w:after="100" w:before="240"/>
      </w:pPr>
      <w:r>
        <w:rPr>
          <w:rFonts w:ascii="Arial" w:cs="Arial" w:eastAsia="Arial" w:hAnsi="Arial"/>
          <w:b/>
          <w:bCs/>
          <w:color w:val="1E293B"/>
          <w:sz w:val="24"/>
          <w:szCs w:val="24"/>
        </w:rPr>
        <w:t xml:space="preserve">1.3  Probability and statistics</w:t>
      </w:r>
    </w:p>
    <w:p>
      <w:pPr>
        <w:spacing w:after="100" w:before="60"/>
      </w:pPr>
      <w:r>
        <w:rPr>
          <w:rFonts w:ascii="Arial" w:cs="Arial" w:eastAsia="Arial" w:hAnsi="Arial"/>
          <w:color w:val="475569"/>
          <w:sz w:val="22"/>
          <w:szCs w:val="22"/>
        </w:rPr>
        <w:t xml:space="preserve">ML models are fundamentally probabilistic. They output distributions, are trained on random samples, and are evaluated statistically. TurboQuant's guarantees are all stated as expected values and variances — you need probability to understand what those mean.</w:t>
      </w:r>
    </w:p>
    <w:p>
      <w:pPr>
        <w:spacing w:after="0" w:before="60"/>
      </w:pPr>
      <w:r>
        <w:t xml:space="preserve"/>
      </w:r>
    </w:p>
    <w:p>
      <w:pPr>
        <w:spacing w:after="100" w:before="60"/>
      </w:pPr>
      <w:r>
        <w:rPr>
          <w:rFonts w:ascii="Arial" w:cs="Arial" w:eastAsia="Arial" w:hAnsi="Arial"/>
          <w:b/>
          <w:bCs/>
          <w:color w:val="475569"/>
          <w:sz w:val="22"/>
          <w:szCs w:val="22"/>
        </w:rPr>
        <w:t xml:space="preserve">Topics to cover:</w:t>
      </w:r>
    </w:p>
    <w:p>
      <w:pPr>
        <w:pStyle w:val="ListParagraph"/>
        <w:numPr>
          <w:ilvl w:val="0"/>
          <w:numId w:val="2"/>
        </w:numPr>
        <w:spacing w:after="40" w:before="40"/>
      </w:pPr>
      <w:r>
        <w:rPr>
          <w:rFonts w:ascii="Arial" w:cs="Arial" w:eastAsia="Arial" w:hAnsi="Arial"/>
          <w:color w:val="475569"/>
          <w:sz w:val="22"/>
          <w:szCs w:val="22"/>
        </w:rPr>
        <w:t xml:space="preserve">Random variables, probability distributions, PDFs and CDFs</w:t>
      </w:r>
    </w:p>
    <w:p>
      <w:pPr>
        <w:pStyle w:val="ListParagraph"/>
        <w:numPr>
          <w:ilvl w:val="0"/>
          <w:numId w:val="2"/>
        </w:numPr>
        <w:spacing w:after="40" w:before="40"/>
      </w:pPr>
      <w:r>
        <w:rPr>
          <w:rFonts w:ascii="Arial" w:cs="Arial" w:eastAsia="Arial" w:hAnsi="Arial"/>
          <w:color w:val="475569"/>
          <w:sz w:val="22"/>
          <w:szCs w:val="22"/>
        </w:rPr>
        <w:t xml:space="preserve">The Gaussian (normal) distribution and why it appears everywhere</w:t>
      </w:r>
    </w:p>
    <w:p>
      <w:pPr>
        <w:pStyle w:val="ListParagraph"/>
        <w:numPr>
          <w:ilvl w:val="0"/>
          <w:numId w:val="2"/>
        </w:numPr>
        <w:spacing w:after="40" w:before="40"/>
      </w:pPr>
      <w:r>
        <w:rPr>
          <w:rFonts w:ascii="Arial" w:cs="Arial" w:eastAsia="Arial" w:hAnsi="Arial"/>
          <w:color w:val="475569"/>
          <w:sz w:val="22"/>
          <w:szCs w:val="22"/>
        </w:rPr>
        <w:t xml:space="preserve">The Beta distribution — directly relevant to TurboQuant's coordinate analysis</w:t>
      </w:r>
    </w:p>
    <w:p>
      <w:pPr>
        <w:pStyle w:val="ListParagraph"/>
        <w:numPr>
          <w:ilvl w:val="0"/>
          <w:numId w:val="2"/>
        </w:numPr>
        <w:spacing w:after="40" w:before="40"/>
      </w:pPr>
      <w:r>
        <w:rPr>
          <w:rFonts w:ascii="Arial" w:cs="Arial" w:eastAsia="Arial" w:hAnsi="Arial"/>
          <w:color w:val="475569"/>
          <w:sz w:val="22"/>
          <w:szCs w:val="22"/>
        </w:rPr>
        <w:t xml:space="preserve">Expected value (mean) and variance</w:t>
      </w:r>
    </w:p>
    <w:p>
      <w:pPr>
        <w:pStyle w:val="ListParagraph"/>
        <w:numPr>
          <w:ilvl w:val="0"/>
          <w:numId w:val="2"/>
        </w:numPr>
        <w:spacing w:after="40" w:before="40"/>
      </w:pPr>
      <w:r>
        <w:rPr>
          <w:rFonts w:ascii="Arial" w:cs="Arial" w:eastAsia="Arial" w:hAnsi="Arial"/>
          <w:color w:val="475569"/>
          <w:sz w:val="22"/>
          <w:szCs w:val="22"/>
        </w:rPr>
        <w:t xml:space="preserve">The law of large numbers and central limit theorem</w:t>
      </w:r>
    </w:p>
    <w:p>
      <w:pPr>
        <w:pStyle w:val="ListParagraph"/>
        <w:numPr>
          <w:ilvl w:val="0"/>
          <w:numId w:val="2"/>
        </w:numPr>
        <w:spacing w:after="40" w:before="40"/>
      </w:pPr>
      <w:r>
        <w:rPr>
          <w:rFonts w:ascii="Arial" w:cs="Arial" w:eastAsia="Arial" w:hAnsi="Arial"/>
          <w:color w:val="475569"/>
          <w:sz w:val="22"/>
          <w:szCs w:val="22"/>
        </w:rPr>
        <w:t xml:space="preserve">Conditional probability and Bayes' theorem</w:t>
      </w:r>
    </w:p>
    <w:p>
      <w:pPr>
        <w:pStyle w:val="ListParagraph"/>
        <w:numPr>
          <w:ilvl w:val="0"/>
          <w:numId w:val="2"/>
        </w:numPr>
        <w:spacing w:after="40" w:before="40"/>
      </w:pPr>
      <w:r>
        <w:rPr>
          <w:rFonts w:ascii="Arial" w:cs="Arial" w:eastAsia="Arial" w:hAnsi="Arial"/>
          <w:color w:val="475569"/>
          <w:sz w:val="22"/>
          <w:szCs w:val="22"/>
        </w:rPr>
        <w:t xml:space="preserve">What it means for an estimator to be unbiased</w:t>
      </w:r>
    </w:p>
    <w:p>
      <w:pPr>
        <w:spacing w:after="0" w:before="120"/>
      </w:pPr>
      <w:r>
        <w:t xml:space="preserve"/>
      </w:r>
    </w:p>
    <w:p>
      <w:pPr>
        <w:pStyle w:val="Heading3"/>
        <w:spacing w:after="100" w:before="240"/>
      </w:pPr>
      <w:r>
        <w:rPr>
          <w:rFonts w:ascii="Arial" w:cs="Arial" w:eastAsia="Arial" w:hAnsi="Arial"/>
          <w:b/>
          <w:bCs/>
          <w:color w:val="1E293B"/>
          <w:sz w:val="24"/>
          <w:szCs w:val="24"/>
        </w:rPr>
        <w:t xml:space="preserve">1.4  Information theory</w:t>
      </w:r>
    </w:p>
    <w:p>
      <w:pPr>
        <w:spacing w:after="100" w:before="60"/>
      </w:pPr>
      <w:r>
        <w:rPr>
          <w:rFonts w:ascii="Arial" w:cs="Arial" w:eastAsia="Arial" w:hAnsi="Arial"/>
          <w:color w:val="475569"/>
          <w:sz w:val="22"/>
          <w:szCs w:val="22"/>
        </w:rPr>
        <w:t xml:space="preserve">Information theory is the science of compression and communication. It gives us the theoretical limits on how much we can compress data. TurboQuant is directly motivated by Shannon's source coding theory — the paper cites Shannon's original work repeatedly and proves bounds using Shannon's lower bound formula.</w:t>
      </w:r>
    </w:p>
    <w:p>
      <w:pPr>
        <w:spacing w:after="0" w:before="60"/>
      </w:pPr>
      <w:r>
        <w:t xml:space="preserve"/>
      </w:r>
    </w:p>
    <w:p>
      <w:pPr>
        <w:spacing w:after="100" w:before="60"/>
      </w:pPr>
      <w:r>
        <w:rPr>
          <w:rFonts w:ascii="Arial" w:cs="Arial" w:eastAsia="Arial" w:hAnsi="Arial"/>
          <w:b/>
          <w:bCs/>
          <w:color w:val="475569"/>
          <w:sz w:val="22"/>
          <w:szCs w:val="22"/>
        </w:rPr>
        <w:t xml:space="preserve">Topics to cover:</w:t>
      </w:r>
    </w:p>
    <w:p>
      <w:pPr>
        <w:pStyle w:val="ListParagraph"/>
        <w:numPr>
          <w:ilvl w:val="0"/>
          <w:numId w:val="2"/>
        </w:numPr>
        <w:spacing w:after="40" w:before="40"/>
      </w:pPr>
      <w:r>
        <w:rPr>
          <w:rFonts w:ascii="Arial" w:cs="Arial" w:eastAsia="Arial" w:hAnsi="Arial"/>
          <w:color w:val="475569"/>
          <w:sz w:val="22"/>
          <w:szCs w:val="22"/>
        </w:rPr>
        <w:t xml:space="preserve">Entropy — how to measure the information content of a distribution</w:t>
      </w:r>
    </w:p>
    <w:p>
      <w:pPr>
        <w:pStyle w:val="ListParagraph"/>
        <w:numPr>
          <w:ilvl w:val="0"/>
          <w:numId w:val="2"/>
        </w:numPr>
        <w:spacing w:after="40" w:before="40"/>
      </w:pPr>
      <w:r>
        <w:rPr>
          <w:rFonts w:ascii="Arial" w:cs="Arial" w:eastAsia="Arial" w:hAnsi="Arial"/>
          <w:color w:val="475569"/>
          <w:sz w:val="22"/>
          <w:szCs w:val="22"/>
        </w:rPr>
        <w:t xml:space="preserve">Shannon's source coding theorem — the fundamental limit on compression</w:t>
      </w:r>
    </w:p>
    <w:p>
      <w:pPr>
        <w:pStyle w:val="ListParagraph"/>
        <w:numPr>
          <w:ilvl w:val="0"/>
          <w:numId w:val="2"/>
        </w:numPr>
        <w:spacing w:after="40" w:before="40"/>
      </w:pPr>
      <w:r>
        <w:rPr>
          <w:rFonts w:ascii="Arial" w:cs="Arial" w:eastAsia="Arial" w:hAnsi="Arial"/>
          <w:color w:val="475569"/>
          <w:sz w:val="22"/>
          <w:szCs w:val="22"/>
        </w:rPr>
        <w:t xml:space="preserve">Mutual information — how much two random variables share</w:t>
      </w:r>
    </w:p>
    <w:p>
      <w:pPr>
        <w:pStyle w:val="ListParagraph"/>
        <w:numPr>
          <w:ilvl w:val="0"/>
          <w:numId w:val="2"/>
        </w:numPr>
        <w:spacing w:after="40" w:before="40"/>
      </w:pPr>
      <w:r>
        <w:rPr>
          <w:rFonts w:ascii="Arial" w:cs="Arial" w:eastAsia="Arial" w:hAnsi="Arial"/>
          <w:color w:val="475569"/>
          <w:sz w:val="22"/>
          <w:szCs w:val="22"/>
        </w:rPr>
        <w:t xml:space="preserve">The distortion-rate function — the tradeoff between compression and error</w:t>
      </w:r>
    </w:p>
    <w:p>
      <w:pPr>
        <w:pStyle w:val="ListParagraph"/>
        <w:numPr>
          <w:ilvl w:val="0"/>
          <w:numId w:val="2"/>
        </w:numPr>
        <w:spacing w:after="40" w:before="40"/>
      </w:pPr>
      <w:r>
        <w:rPr>
          <w:rFonts w:ascii="Arial" w:cs="Arial" w:eastAsia="Arial" w:hAnsi="Arial"/>
          <w:color w:val="475569"/>
          <w:sz w:val="22"/>
          <w:szCs w:val="22"/>
        </w:rPr>
        <w:t xml:space="preserve">Why these limits cannot be beaten by any algorithm</w:t>
      </w:r>
    </w:p>
    <w:p>
      <w:pPr>
        <w:spacing w:after="0" w:before="120"/>
      </w:pPr>
      <w:r>
        <w:t xml:space="preserve"/>
      </w:r>
    </w:p>
    <w:p>
      <w:pPr>
        <w:pStyle w:val="Heading3"/>
        <w:spacing w:after="100" w:before="240"/>
      </w:pPr>
      <w:r>
        <w:rPr>
          <w:rFonts w:ascii="Arial" w:cs="Arial" w:eastAsia="Arial" w:hAnsi="Arial"/>
          <w:b/>
          <w:bCs/>
          <w:color w:val="1E293B"/>
          <w:sz w:val="24"/>
          <w:szCs w:val="24"/>
        </w:rPr>
        <w:t xml:space="preserve">Resources for Layer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EFF6FF" w:val="clear"/>
            <w:tcMar>
              <w:top w:type="dxa" w:w="120"/>
              <w:left w:type="dxa" w:w="180"/>
              <w:bottom w:type="dxa" w:w="80"/>
              <w:right w:type="dxa" w:w="180"/>
            </w:tcMar>
          </w:tcPr>
          <w:p>
            <w:pPr>
              <w:spacing w:after="80" w:before="0"/>
            </w:pPr>
            <w:r>
              <w:rPr>
                <w:rFonts w:ascii="Arial" w:cs="Arial" w:eastAsia="Arial" w:hAnsi="Arial"/>
                <w:b/>
                <w:bCs/>
                <w:color w:val="1D4ED8"/>
                <w:sz w:val="22"/>
                <w:szCs w:val="22"/>
              </w:rPr>
              <w:t xml:space="preserve">Recommended resources</w:t>
            </w:r>
          </w:p>
          <w:p>
            <w:pPr>
              <w:spacing w:after="40" w:before="0"/>
            </w:pPr>
            <w:r>
              <w:rPr>
                <w:rFonts w:ascii="Arial" w:cs="Arial" w:eastAsia="Arial" w:hAnsi="Arial"/>
                <w:color w:val="475569"/>
                <w:sz w:val="21"/>
                <w:szCs w:val="21"/>
              </w:rPr>
              <w:t xml:space="preserve">Linear algebra: 3Blue1Brown 'Essence of Linear Algebra' series on YouTube (free, visual, excellent)</w:t>
            </w:r>
          </w:p>
          <w:p>
            <w:pPr>
              <w:spacing w:after="40" w:before="0"/>
            </w:pPr>
            <w:r>
              <w:rPr>
                <w:rFonts w:ascii="Arial" w:cs="Arial" w:eastAsia="Arial" w:hAnsi="Arial"/>
                <w:color w:val="475569"/>
                <w:sz w:val="21"/>
                <w:szCs w:val="21"/>
              </w:rPr>
              <w:t xml:space="preserve">Linear algebra (deeper): Gilbert Strang's MIT 18.06 lectures (free on MIT OpenCourseWare)</w:t>
            </w:r>
          </w:p>
          <w:p>
            <w:pPr>
              <w:spacing w:after="40" w:before="0"/>
            </w:pPr>
            <w:r>
              <w:rPr>
                <w:rFonts w:ascii="Arial" w:cs="Arial" w:eastAsia="Arial" w:hAnsi="Arial"/>
                <w:color w:val="475569"/>
                <w:sz w:val="21"/>
                <w:szCs w:val="21"/>
              </w:rPr>
              <w:t xml:space="preserve">Calculus: Khan Academy calculus series (free, thorough, well-paced)</w:t>
            </w:r>
          </w:p>
          <w:p>
            <w:pPr>
              <w:spacing w:after="40" w:before="0"/>
            </w:pPr>
            <w:r>
              <w:rPr>
                <w:rFonts w:ascii="Arial" w:cs="Arial" w:eastAsia="Arial" w:hAnsi="Arial"/>
                <w:color w:val="475569"/>
                <w:sz w:val="21"/>
                <w:szCs w:val="21"/>
              </w:rPr>
              <w:t xml:space="preserve">Probability: 'Introduction to Probability' by Blitzstein &amp; Hwang (free PDF online)</w:t>
            </w:r>
          </w:p>
          <w:p>
            <w:pPr>
              <w:spacing w:after="40" w:before="0"/>
            </w:pPr>
            <w:r>
              <w:rPr>
                <w:rFonts w:ascii="Arial" w:cs="Arial" w:eastAsia="Arial" w:hAnsi="Arial"/>
                <w:color w:val="475569"/>
                <w:sz w:val="21"/>
                <w:szCs w:val="21"/>
              </w:rPr>
              <w:t xml:space="preserve">Information theory: Chapter 2 of 'Elements of Information Theory' by Cover &amp; Thomas</w:t>
            </w:r>
          </w:p>
          <w:p>
            <w:pPr>
              <w:spacing w:after="40" w:before="0"/>
            </w:pPr>
            <w:r>
              <w:rPr>
                <w:rFonts w:ascii="Arial" w:cs="Arial" w:eastAsia="Arial" w:hAnsi="Arial"/>
                <w:color w:val="475569"/>
                <w:sz w:val="21"/>
                <w:szCs w:val="21"/>
              </w:rPr>
              <w:t xml:space="preserve">Practical: implement everything in NumPy — coding forces real understanding</w:t>
            </w:r>
          </w:p>
        </w:tc>
      </w:tr>
    </w:tbl>
    <w:p>
      <w:pPr>
        <w:spacing w:after="0" w:before="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1D4ED8" w:val="clear"/>
            <w:tcMar>
              <w:top w:type="dxa" w:w="180"/>
              <w:left w:type="dxa" w:w="240"/>
              <w:bottom w:type="dxa" w:w="180"/>
              <w:right w:type="dxa" w:w="240"/>
            </w:tcMar>
          </w:tcPr>
          <w:p>
            <w:pPr>
              <w:spacing w:after="60" w:before="0"/>
            </w:pPr>
            <w:r>
              <w:rPr>
                <w:rFonts w:ascii="Arial" w:cs="Arial" w:eastAsia="Arial" w:hAnsi="Arial"/>
                <w:b/>
                <w:bCs/>
                <w:color w:val="FFFFFF"/>
                <w:sz w:val="32"/>
                <w:szCs w:val="32"/>
              </w:rPr>
              <w:t xml:space="preserve">Layer 2  </w:t>
            </w:r>
            <w:r>
              <w:rPr>
                <w:rFonts w:ascii="Arial" w:cs="Arial" w:eastAsia="Arial" w:hAnsi="Arial"/>
                <w:b/>
                <w:bCs/>
                <w:color w:val="BFDBFE"/>
                <w:sz w:val="32"/>
                <w:szCs w:val="32"/>
              </w:rPr>
              <w:t xml:space="preserve">Classical ML</w:t>
            </w:r>
          </w:p>
          <w:p>
            <w:pPr>
              <w:spacing w:after="0" w:before="0"/>
            </w:pPr>
            <w:r>
              <w:rPr>
                <w:rFonts w:ascii="Arial" w:cs="Arial" w:eastAsia="Arial" w:hAnsi="Arial"/>
                <w:i/>
                <w:iCs/>
                <w:color w:val="DBEAFE"/>
                <w:sz w:val="21"/>
                <w:szCs w:val="21"/>
              </w:rPr>
              <w:t xml:space="preserve">How models learn from data</w:t>
            </w:r>
          </w:p>
        </w:tc>
      </w:tr>
    </w:tbl>
    <w:p>
      <w:pPr>
        <w:spacing w:after="0" w:before="160"/>
      </w:pPr>
      <w:r>
        <w:t xml:space="preserve"/>
      </w:r>
    </w:p>
    <w:p>
      <w:pPr>
        <w:pStyle w:val="Heading3"/>
        <w:spacing w:after="100" w:before="240"/>
      </w:pPr>
      <w:r>
        <w:rPr>
          <w:rFonts w:ascii="Arial" w:cs="Arial" w:eastAsia="Arial" w:hAnsi="Arial"/>
          <w:b/>
          <w:bCs/>
          <w:color w:val="1E293B"/>
          <w:sz w:val="24"/>
          <w:szCs w:val="24"/>
        </w:rPr>
        <w:t xml:space="preserve">Why this layer matters</w:t>
      </w:r>
    </w:p>
    <w:p>
      <w:pPr>
        <w:spacing w:after="100" w:before="60"/>
      </w:pPr>
      <w:r>
        <w:rPr>
          <w:rFonts w:ascii="Arial" w:cs="Arial" w:eastAsia="Arial" w:hAnsi="Arial"/>
          <w:color w:val="475569"/>
          <w:sz w:val="22"/>
          <w:szCs w:val="22"/>
        </w:rPr>
        <w:t xml:space="preserve">Before deep learning, ML researchers developed clean, principled approaches to learning from data. These ideas — loss functions, optimization, overfitting, generalization — are still the core concepts in modern AI. Deep learning is an extension of these ideas, not a replacement.</w:t>
      </w:r>
    </w:p>
    <w:p>
      <w:pPr>
        <w:spacing w:after="0" w:before="120"/>
      </w:pPr>
      <w:r>
        <w:t xml:space="preserve"/>
      </w:r>
    </w:p>
    <w:p>
      <w:pPr>
        <w:pStyle w:val="Heading3"/>
        <w:spacing w:after="100" w:before="240"/>
      </w:pPr>
      <w:r>
        <w:rPr>
          <w:rFonts w:ascii="Arial" w:cs="Arial" w:eastAsia="Arial" w:hAnsi="Arial"/>
          <w:b/>
          <w:bCs/>
          <w:color w:val="1E293B"/>
          <w:sz w:val="24"/>
          <w:szCs w:val="24"/>
        </w:rPr>
        <w:t xml:space="preserve">2.1  Linear and logistic regression</w:t>
      </w:r>
    </w:p>
    <w:p>
      <w:pPr>
        <w:spacing w:after="100" w:before="60"/>
      </w:pPr>
      <w:r>
        <w:rPr>
          <w:rFonts w:ascii="Arial" w:cs="Arial" w:eastAsia="Arial" w:hAnsi="Arial"/>
          <w:color w:val="475569"/>
          <w:sz w:val="22"/>
          <w:szCs w:val="22"/>
        </w:rPr>
        <w:t xml:space="preserve">These are the simplest models that actually learn. They teach you the fundamental pattern: define a model, define a loss, minimize the loss. Every neural network follows this same pattern.</w:t>
      </w:r>
    </w:p>
    <w:p>
      <w:pPr>
        <w:pStyle w:val="ListParagraph"/>
        <w:numPr>
          <w:ilvl w:val="0"/>
          <w:numId w:val="2"/>
        </w:numPr>
        <w:spacing w:after="40" w:before="40"/>
      </w:pPr>
      <w:r>
        <w:rPr>
          <w:rFonts w:ascii="Arial" w:cs="Arial" w:eastAsia="Arial" w:hAnsi="Arial"/>
          <w:color w:val="475569"/>
          <w:sz w:val="22"/>
          <w:szCs w:val="22"/>
        </w:rPr>
        <w:t xml:space="preserve">Linear regression — fitting a line to data by minimizing squared error</w:t>
      </w:r>
    </w:p>
    <w:p>
      <w:pPr>
        <w:pStyle w:val="ListParagraph"/>
        <w:numPr>
          <w:ilvl w:val="0"/>
          <w:numId w:val="2"/>
        </w:numPr>
        <w:spacing w:after="40" w:before="40"/>
      </w:pPr>
      <w:r>
        <w:rPr>
          <w:rFonts w:ascii="Arial" w:cs="Arial" w:eastAsia="Arial" w:hAnsi="Arial"/>
          <w:color w:val="475569"/>
          <w:sz w:val="22"/>
          <w:szCs w:val="22"/>
        </w:rPr>
        <w:t xml:space="preserve">Loss functions — what we are minimizing and why the choice matters</w:t>
      </w:r>
    </w:p>
    <w:p>
      <w:pPr>
        <w:pStyle w:val="ListParagraph"/>
        <w:numPr>
          <w:ilvl w:val="0"/>
          <w:numId w:val="2"/>
        </w:numPr>
        <w:spacing w:after="40" w:before="40"/>
      </w:pPr>
      <w:r>
        <w:rPr>
          <w:rFonts w:ascii="Arial" w:cs="Arial" w:eastAsia="Arial" w:hAnsi="Arial"/>
          <w:color w:val="475569"/>
          <w:sz w:val="22"/>
          <w:szCs w:val="22"/>
        </w:rPr>
        <w:t xml:space="preserve">The normal equation — closed-form solution via linear algebra</w:t>
      </w:r>
    </w:p>
    <w:p>
      <w:pPr>
        <w:pStyle w:val="ListParagraph"/>
        <w:numPr>
          <w:ilvl w:val="0"/>
          <w:numId w:val="2"/>
        </w:numPr>
        <w:spacing w:after="40" w:before="40"/>
      </w:pPr>
      <w:r>
        <w:rPr>
          <w:rFonts w:ascii="Arial" w:cs="Arial" w:eastAsia="Arial" w:hAnsi="Arial"/>
          <w:color w:val="475569"/>
          <w:sz w:val="22"/>
          <w:szCs w:val="22"/>
        </w:rPr>
        <w:t xml:space="preserve">Logistic regression — extending to classification with probabilities</w:t>
      </w:r>
    </w:p>
    <w:p>
      <w:pPr>
        <w:pStyle w:val="ListParagraph"/>
        <w:numPr>
          <w:ilvl w:val="0"/>
          <w:numId w:val="2"/>
        </w:numPr>
        <w:spacing w:after="40" w:before="40"/>
      </w:pPr>
      <w:r>
        <w:rPr>
          <w:rFonts w:ascii="Arial" w:cs="Arial" w:eastAsia="Arial" w:hAnsi="Arial"/>
          <w:color w:val="475569"/>
          <w:sz w:val="22"/>
          <w:szCs w:val="22"/>
        </w:rPr>
        <w:t xml:space="preserve">Cross-entropy loss — the standard loss for classification</w:t>
      </w:r>
    </w:p>
    <w:p>
      <w:pPr>
        <w:spacing w:after="0" w:before="120"/>
      </w:pPr>
      <w:r>
        <w:t xml:space="preserve"/>
      </w:r>
    </w:p>
    <w:p>
      <w:pPr>
        <w:pStyle w:val="Heading3"/>
        <w:spacing w:after="100" w:before="240"/>
      </w:pPr>
      <w:r>
        <w:rPr>
          <w:rFonts w:ascii="Arial" w:cs="Arial" w:eastAsia="Arial" w:hAnsi="Arial"/>
          <w:b/>
          <w:bCs/>
          <w:color w:val="1E293B"/>
          <w:sz w:val="24"/>
          <w:szCs w:val="24"/>
        </w:rPr>
        <w:t xml:space="preserve">2.2  Gradient descent</w:t>
      </w:r>
    </w:p>
    <w:p>
      <w:pPr>
        <w:spacing w:after="100" w:before="60"/>
      </w:pPr>
      <w:r>
        <w:rPr>
          <w:rFonts w:ascii="Arial" w:cs="Arial" w:eastAsia="Arial" w:hAnsi="Arial"/>
          <w:color w:val="475569"/>
          <w:sz w:val="22"/>
          <w:szCs w:val="22"/>
        </w:rPr>
        <w:t xml:space="preserve">Gradient descent is the engine of all modern ML. The idea is simple: compute the gradient of your loss with respect to your parameters, then take a small step in the opposite direction. Repeat until convergence. Understanding this deeply is non-negotiable.</w:t>
      </w:r>
    </w:p>
    <w:p>
      <w:pPr>
        <w:pStyle w:val="ListParagraph"/>
        <w:numPr>
          <w:ilvl w:val="0"/>
          <w:numId w:val="2"/>
        </w:numPr>
        <w:spacing w:after="40" w:before="40"/>
      </w:pPr>
      <w:r>
        <w:rPr>
          <w:rFonts w:ascii="Arial" w:cs="Arial" w:eastAsia="Arial" w:hAnsi="Arial"/>
          <w:color w:val="475569"/>
          <w:sz w:val="22"/>
          <w:szCs w:val="22"/>
        </w:rPr>
        <w:t xml:space="preserve">Batch gradient descent — use all data to compute each update</w:t>
      </w:r>
    </w:p>
    <w:p>
      <w:pPr>
        <w:pStyle w:val="ListParagraph"/>
        <w:numPr>
          <w:ilvl w:val="0"/>
          <w:numId w:val="2"/>
        </w:numPr>
        <w:spacing w:after="40" w:before="40"/>
      </w:pPr>
      <w:r>
        <w:rPr>
          <w:rFonts w:ascii="Arial" w:cs="Arial" w:eastAsia="Arial" w:hAnsi="Arial"/>
          <w:color w:val="475569"/>
          <w:sz w:val="22"/>
          <w:szCs w:val="22"/>
        </w:rPr>
        <w:t xml:space="preserve">Stochastic and mini-batch gradient descent — practical variants</w:t>
      </w:r>
    </w:p>
    <w:p>
      <w:pPr>
        <w:pStyle w:val="ListParagraph"/>
        <w:numPr>
          <w:ilvl w:val="0"/>
          <w:numId w:val="2"/>
        </w:numPr>
        <w:spacing w:after="40" w:before="40"/>
      </w:pPr>
      <w:r>
        <w:rPr>
          <w:rFonts w:ascii="Arial" w:cs="Arial" w:eastAsia="Arial" w:hAnsi="Arial"/>
          <w:color w:val="475569"/>
          <w:sz w:val="22"/>
          <w:szCs w:val="22"/>
        </w:rPr>
        <w:t xml:space="preserve">Learning rate — the most important hyperparameter</w:t>
      </w:r>
    </w:p>
    <w:p>
      <w:pPr>
        <w:pStyle w:val="ListParagraph"/>
        <w:numPr>
          <w:ilvl w:val="0"/>
          <w:numId w:val="2"/>
        </w:numPr>
        <w:spacing w:after="40" w:before="40"/>
      </w:pPr>
      <w:r>
        <w:rPr>
          <w:rFonts w:ascii="Arial" w:cs="Arial" w:eastAsia="Arial" w:hAnsi="Arial"/>
          <w:color w:val="475569"/>
          <w:sz w:val="22"/>
          <w:szCs w:val="22"/>
        </w:rPr>
        <w:t xml:space="preserve">Momentum, Adam, and adaptive optimizers — why plain gradient descent is not enough</w:t>
      </w:r>
    </w:p>
    <w:p>
      <w:pPr>
        <w:pStyle w:val="ListParagraph"/>
        <w:numPr>
          <w:ilvl w:val="0"/>
          <w:numId w:val="2"/>
        </w:numPr>
        <w:spacing w:after="40" w:before="40"/>
      </w:pPr>
      <w:r>
        <w:rPr>
          <w:rFonts w:ascii="Arial" w:cs="Arial" w:eastAsia="Arial" w:hAnsi="Arial"/>
          <w:color w:val="475569"/>
          <w:sz w:val="22"/>
          <w:szCs w:val="22"/>
        </w:rPr>
        <w:t xml:space="preserve">The loss landscape — what you are actually navigating</w:t>
      </w:r>
    </w:p>
    <w:p>
      <w:pPr>
        <w:spacing w:after="0" w:before="120"/>
      </w:pPr>
      <w:r>
        <w:t xml:space="preserve"/>
      </w:r>
    </w:p>
    <w:p>
      <w:pPr>
        <w:pStyle w:val="Heading3"/>
        <w:spacing w:after="100" w:before="240"/>
      </w:pPr>
      <w:r>
        <w:rPr>
          <w:rFonts w:ascii="Arial" w:cs="Arial" w:eastAsia="Arial" w:hAnsi="Arial"/>
          <w:b/>
          <w:bCs/>
          <w:color w:val="1E293B"/>
          <w:sz w:val="24"/>
          <w:szCs w:val="24"/>
        </w:rPr>
        <w:t xml:space="preserve">2.3  Overfitting and generalization</w:t>
      </w:r>
    </w:p>
    <w:p>
      <w:pPr>
        <w:spacing w:after="100" w:before="60"/>
      </w:pPr>
      <w:r>
        <w:rPr>
          <w:rFonts w:ascii="Arial" w:cs="Arial" w:eastAsia="Arial" w:hAnsi="Arial"/>
          <w:color w:val="475569"/>
          <w:sz w:val="22"/>
          <w:szCs w:val="22"/>
        </w:rPr>
        <w:t xml:space="preserve">A model that memorizes training data is useless. Understanding why models generalize — and when they fail to — is one of the most important skills in ML.</w:t>
      </w:r>
    </w:p>
    <w:p>
      <w:pPr>
        <w:pStyle w:val="ListParagraph"/>
        <w:numPr>
          <w:ilvl w:val="0"/>
          <w:numId w:val="2"/>
        </w:numPr>
        <w:spacing w:after="40" w:before="40"/>
      </w:pPr>
      <w:r>
        <w:rPr>
          <w:rFonts w:ascii="Arial" w:cs="Arial" w:eastAsia="Arial" w:hAnsi="Arial"/>
          <w:color w:val="475569"/>
          <w:sz w:val="22"/>
          <w:szCs w:val="22"/>
        </w:rPr>
        <w:t xml:space="preserve">Train vs validation vs test sets — why you need three splits</w:t>
      </w:r>
    </w:p>
    <w:p>
      <w:pPr>
        <w:pStyle w:val="ListParagraph"/>
        <w:numPr>
          <w:ilvl w:val="0"/>
          <w:numId w:val="2"/>
        </w:numPr>
        <w:spacing w:after="40" w:before="40"/>
      </w:pPr>
      <w:r>
        <w:rPr>
          <w:rFonts w:ascii="Arial" w:cs="Arial" w:eastAsia="Arial" w:hAnsi="Arial"/>
          <w:color w:val="475569"/>
          <w:sz w:val="22"/>
          <w:szCs w:val="22"/>
        </w:rPr>
        <w:t xml:space="preserve">Overfitting and underfitting — diagnosing from learning curves</w:t>
      </w:r>
    </w:p>
    <w:p>
      <w:pPr>
        <w:pStyle w:val="ListParagraph"/>
        <w:numPr>
          <w:ilvl w:val="0"/>
          <w:numId w:val="2"/>
        </w:numPr>
        <w:spacing w:after="40" w:before="40"/>
      </w:pPr>
      <w:r>
        <w:rPr>
          <w:rFonts w:ascii="Arial" w:cs="Arial" w:eastAsia="Arial" w:hAnsi="Arial"/>
          <w:color w:val="475569"/>
          <w:sz w:val="22"/>
          <w:szCs w:val="22"/>
        </w:rPr>
        <w:t xml:space="preserve">Regularization — L1, L2, dropout</w:t>
      </w:r>
    </w:p>
    <w:p>
      <w:pPr>
        <w:pStyle w:val="ListParagraph"/>
        <w:numPr>
          <w:ilvl w:val="0"/>
          <w:numId w:val="2"/>
        </w:numPr>
        <w:spacing w:after="40" w:before="40"/>
      </w:pPr>
      <w:r>
        <w:rPr>
          <w:rFonts w:ascii="Arial" w:cs="Arial" w:eastAsia="Arial" w:hAnsi="Arial"/>
          <w:color w:val="475569"/>
          <w:sz w:val="22"/>
          <w:szCs w:val="22"/>
        </w:rPr>
        <w:t xml:space="preserve">Bias-variance tradeoff — the fundamental tension in model design</w:t>
      </w:r>
    </w:p>
    <w:p>
      <w:pPr>
        <w:spacing w:after="0" w:before="120"/>
      </w:pPr>
      <w:r>
        <w:t xml:space="preserve"/>
      </w:r>
    </w:p>
    <w:p>
      <w:pPr>
        <w:pStyle w:val="Heading3"/>
        <w:spacing w:after="100" w:before="240"/>
      </w:pPr>
      <w:r>
        <w:rPr>
          <w:rFonts w:ascii="Arial" w:cs="Arial" w:eastAsia="Arial" w:hAnsi="Arial"/>
          <w:b/>
          <w:bCs/>
          <w:color w:val="1E293B"/>
          <w:sz w:val="24"/>
          <w:szCs w:val="24"/>
        </w:rPr>
        <w:t xml:space="preserve">2.4  Dimensionality and embeddings</w:t>
      </w:r>
    </w:p>
    <w:p>
      <w:pPr>
        <w:spacing w:after="100" w:before="60"/>
      </w:pPr>
      <w:r>
        <w:rPr>
          <w:rFonts w:ascii="Arial" w:cs="Arial" w:eastAsia="Arial" w:hAnsi="Arial"/>
          <w:color w:val="475569"/>
          <w:sz w:val="22"/>
          <w:szCs w:val="22"/>
        </w:rPr>
        <w:t xml:space="preserve">High-dimensional spaces behave counterintuitively. This topic prepares you for understanding why random rotations in TurboQuant work, and why embeddings in LLMs are so powerful.</w:t>
      </w:r>
    </w:p>
    <w:p>
      <w:pPr>
        <w:pStyle w:val="ListParagraph"/>
        <w:numPr>
          <w:ilvl w:val="0"/>
          <w:numId w:val="2"/>
        </w:numPr>
        <w:spacing w:after="40" w:before="40"/>
      </w:pPr>
      <w:r>
        <w:rPr>
          <w:rFonts w:ascii="Arial" w:cs="Arial" w:eastAsia="Arial" w:hAnsi="Arial"/>
          <w:color w:val="475569"/>
          <w:sz w:val="22"/>
          <w:szCs w:val="22"/>
        </w:rPr>
        <w:t xml:space="preserve">The curse of dimensionality — why distance breaks down in high dimensions</w:t>
      </w:r>
    </w:p>
    <w:p>
      <w:pPr>
        <w:pStyle w:val="ListParagraph"/>
        <w:numPr>
          <w:ilvl w:val="0"/>
          <w:numId w:val="2"/>
        </w:numPr>
        <w:spacing w:after="40" w:before="40"/>
      </w:pPr>
      <w:r>
        <w:rPr>
          <w:rFonts w:ascii="Arial" w:cs="Arial" w:eastAsia="Arial" w:hAnsi="Arial"/>
          <w:color w:val="475569"/>
          <w:sz w:val="22"/>
          <w:szCs w:val="22"/>
        </w:rPr>
        <w:t xml:space="preserve">PCA — reducing dimensions while preserving variance</w:t>
      </w:r>
    </w:p>
    <w:p>
      <w:pPr>
        <w:pStyle w:val="ListParagraph"/>
        <w:numPr>
          <w:ilvl w:val="0"/>
          <w:numId w:val="2"/>
        </w:numPr>
        <w:spacing w:after="40" w:before="40"/>
      </w:pPr>
      <w:r>
        <w:rPr>
          <w:rFonts w:ascii="Arial" w:cs="Arial" w:eastAsia="Arial" w:hAnsi="Arial"/>
          <w:color w:val="475569"/>
          <w:sz w:val="22"/>
          <w:szCs w:val="22"/>
        </w:rPr>
        <w:t xml:space="preserve">What embeddings are — dense vector representations of discrete objects</w:t>
      </w:r>
    </w:p>
    <w:p>
      <w:pPr>
        <w:pStyle w:val="ListParagraph"/>
        <w:numPr>
          <w:ilvl w:val="0"/>
          <w:numId w:val="2"/>
        </w:numPr>
        <w:spacing w:after="40" w:before="40"/>
      </w:pPr>
      <w:r>
        <w:rPr>
          <w:rFonts w:ascii="Arial" w:cs="Arial" w:eastAsia="Arial" w:hAnsi="Arial"/>
          <w:color w:val="475569"/>
          <w:sz w:val="22"/>
          <w:szCs w:val="22"/>
        </w:rPr>
        <w:t xml:space="preserve">Why similar things cluster together in embedding space</w:t>
      </w:r>
    </w:p>
    <w:p>
      <w:pPr>
        <w:spacing w:after="0" w:before="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1D4ED8" w:val="clear"/>
            <w:tcMar>
              <w:top w:type="dxa" w:w="180"/>
              <w:left w:type="dxa" w:w="240"/>
              <w:bottom w:type="dxa" w:w="180"/>
              <w:right w:type="dxa" w:w="240"/>
            </w:tcMar>
          </w:tcPr>
          <w:p>
            <w:pPr>
              <w:spacing w:after="60" w:before="0"/>
            </w:pPr>
            <w:r>
              <w:rPr>
                <w:rFonts w:ascii="Arial" w:cs="Arial" w:eastAsia="Arial" w:hAnsi="Arial"/>
                <w:b/>
                <w:bCs/>
                <w:color w:val="FFFFFF"/>
                <w:sz w:val="32"/>
                <w:szCs w:val="32"/>
              </w:rPr>
              <w:t xml:space="preserve">Layer 3  </w:t>
            </w:r>
            <w:r>
              <w:rPr>
                <w:rFonts w:ascii="Arial" w:cs="Arial" w:eastAsia="Arial" w:hAnsi="Arial"/>
                <w:b/>
                <w:bCs/>
                <w:color w:val="BFDBFE"/>
                <w:sz w:val="32"/>
                <w:szCs w:val="32"/>
              </w:rPr>
              <w:t xml:space="preserve">Neural Networks</w:t>
            </w:r>
          </w:p>
          <w:p>
            <w:pPr>
              <w:spacing w:after="0" w:before="0"/>
            </w:pPr>
            <w:r>
              <w:rPr>
                <w:rFonts w:ascii="Arial" w:cs="Arial" w:eastAsia="Arial" w:hAnsi="Arial"/>
                <w:i/>
                <w:iCs/>
                <w:color w:val="DBEAFE"/>
                <w:sz w:val="21"/>
                <w:szCs w:val="21"/>
              </w:rPr>
              <w:t xml:space="preserve">Learning hierarchical representations</w:t>
            </w:r>
          </w:p>
        </w:tc>
      </w:tr>
    </w:tbl>
    <w:p>
      <w:pPr>
        <w:spacing w:after="0" w:before="160"/>
      </w:pPr>
      <w:r>
        <w:t xml:space="preserve"/>
      </w:r>
    </w:p>
    <w:p>
      <w:pPr>
        <w:pStyle w:val="Heading3"/>
        <w:spacing w:after="100" w:before="240"/>
      </w:pPr>
      <w:r>
        <w:rPr>
          <w:rFonts w:ascii="Arial" w:cs="Arial" w:eastAsia="Arial" w:hAnsi="Arial"/>
          <w:b/>
          <w:bCs/>
          <w:color w:val="1E293B"/>
          <w:sz w:val="24"/>
          <w:szCs w:val="24"/>
        </w:rPr>
        <w:t xml:space="preserve">Why this layer matters</w:t>
      </w:r>
    </w:p>
    <w:p>
      <w:pPr>
        <w:spacing w:after="100" w:before="60"/>
      </w:pPr>
      <w:r>
        <w:rPr>
          <w:rFonts w:ascii="Arial" w:cs="Arial" w:eastAsia="Arial" w:hAnsi="Arial"/>
          <w:color w:val="475569"/>
          <w:sz w:val="22"/>
          <w:szCs w:val="22"/>
        </w:rPr>
        <w:t xml:space="preserve">Neural networks are the building block of all modern AI. A transformer is a specific kind of neural network. To understand GPT or Llama, you must first understand how a basic network is structured, how it is trained, and what it is actually doing.</w:t>
      </w:r>
    </w:p>
    <w:p>
      <w:pPr>
        <w:spacing w:after="0" w:before="120"/>
      </w:pPr>
      <w:r>
        <w:t xml:space="preserve"/>
      </w:r>
    </w:p>
    <w:p>
      <w:pPr>
        <w:pStyle w:val="Heading3"/>
        <w:spacing w:after="100" w:before="240"/>
      </w:pPr>
      <w:r>
        <w:rPr>
          <w:rFonts w:ascii="Arial" w:cs="Arial" w:eastAsia="Arial" w:hAnsi="Arial"/>
          <w:b/>
          <w:bCs/>
          <w:color w:val="1E293B"/>
          <w:sz w:val="24"/>
          <w:szCs w:val="24"/>
        </w:rPr>
        <w:t xml:space="preserve">3.1  Network structure</w:t>
      </w:r>
    </w:p>
    <w:p>
      <w:pPr>
        <w:pStyle w:val="ListParagraph"/>
        <w:numPr>
          <w:ilvl w:val="0"/>
          <w:numId w:val="2"/>
        </w:numPr>
        <w:spacing w:after="40" w:before="40"/>
      </w:pPr>
      <w:r>
        <w:rPr>
          <w:rFonts w:ascii="Arial" w:cs="Arial" w:eastAsia="Arial" w:hAnsi="Arial"/>
          <w:color w:val="475569"/>
          <w:sz w:val="22"/>
          <w:szCs w:val="22"/>
        </w:rPr>
        <w:t xml:space="preserve">Neurons, weights, and biases — the basic computational unit</w:t>
      </w:r>
    </w:p>
    <w:p>
      <w:pPr>
        <w:pStyle w:val="ListParagraph"/>
        <w:numPr>
          <w:ilvl w:val="0"/>
          <w:numId w:val="2"/>
        </w:numPr>
        <w:spacing w:after="40" w:before="40"/>
      </w:pPr>
      <w:r>
        <w:rPr>
          <w:rFonts w:ascii="Arial" w:cs="Arial" w:eastAsia="Arial" w:hAnsi="Arial"/>
          <w:color w:val="475569"/>
          <w:sz w:val="22"/>
          <w:szCs w:val="22"/>
        </w:rPr>
        <w:t xml:space="preserve">Activation functions — ReLU, sigmoid, tanh, and why they are needed</w:t>
      </w:r>
    </w:p>
    <w:p>
      <w:pPr>
        <w:pStyle w:val="ListParagraph"/>
        <w:numPr>
          <w:ilvl w:val="0"/>
          <w:numId w:val="2"/>
        </w:numPr>
        <w:spacing w:after="40" w:before="40"/>
      </w:pPr>
      <w:r>
        <w:rPr>
          <w:rFonts w:ascii="Arial" w:cs="Arial" w:eastAsia="Arial" w:hAnsi="Arial"/>
          <w:color w:val="475569"/>
          <w:sz w:val="22"/>
          <w:szCs w:val="22"/>
        </w:rPr>
        <w:t xml:space="preserve">Layers and depth — what deep means and why it helps</w:t>
      </w:r>
    </w:p>
    <w:p>
      <w:pPr>
        <w:pStyle w:val="ListParagraph"/>
        <w:numPr>
          <w:ilvl w:val="0"/>
          <w:numId w:val="2"/>
        </w:numPr>
        <w:spacing w:after="40" w:before="40"/>
      </w:pPr>
      <w:r>
        <w:rPr>
          <w:rFonts w:ascii="Arial" w:cs="Arial" w:eastAsia="Arial" w:hAnsi="Arial"/>
          <w:color w:val="475569"/>
          <w:sz w:val="22"/>
          <w:szCs w:val="22"/>
        </w:rPr>
        <w:t xml:space="preserve">The forward pass — how input becomes output</w:t>
      </w:r>
    </w:p>
    <w:p>
      <w:pPr>
        <w:pStyle w:val="ListParagraph"/>
        <w:numPr>
          <w:ilvl w:val="0"/>
          <w:numId w:val="2"/>
        </w:numPr>
        <w:spacing w:after="40" w:before="40"/>
      </w:pPr>
      <w:r>
        <w:rPr>
          <w:rFonts w:ascii="Arial" w:cs="Arial" w:eastAsia="Arial" w:hAnsi="Arial"/>
          <w:color w:val="475569"/>
          <w:sz w:val="22"/>
          <w:szCs w:val="22"/>
        </w:rPr>
        <w:t xml:space="preserve">Universal approximation — why neural networks can represent any function</w:t>
      </w:r>
    </w:p>
    <w:p>
      <w:pPr>
        <w:spacing w:after="0" w:before="120"/>
      </w:pPr>
      <w:r>
        <w:t xml:space="preserve"/>
      </w:r>
    </w:p>
    <w:p>
      <w:pPr>
        <w:pStyle w:val="Heading3"/>
        <w:spacing w:after="100" w:before="240"/>
      </w:pPr>
      <w:r>
        <w:rPr>
          <w:rFonts w:ascii="Arial" w:cs="Arial" w:eastAsia="Arial" w:hAnsi="Arial"/>
          <w:b/>
          <w:bCs/>
          <w:color w:val="1E293B"/>
          <w:sz w:val="24"/>
          <w:szCs w:val="24"/>
        </w:rPr>
        <w:t xml:space="preserve">3.2  Backpropagation</w:t>
      </w:r>
    </w:p>
    <w:p>
      <w:pPr>
        <w:spacing w:after="100" w:before="60"/>
      </w:pPr>
      <w:r>
        <w:rPr>
          <w:rFonts w:ascii="Arial" w:cs="Arial" w:eastAsia="Arial" w:hAnsi="Arial"/>
          <w:color w:val="475569"/>
          <w:sz w:val="22"/>
          <w:szCs w:val="22"/>
        </w:rPr>
        <w:t xml:space="preserve">Backpropagation is how neural networks learn. It is the chain rule applied repeatedly through a network to compute gradients. Understanding this deeply means you will never be confused by training dynamics.</w:t>
      </w:r>
    </w:p>
    <w:p>
      <w:pPr>
        <w:pStyle w:val="ListParagraph"/>
        <w:numPr>
          <w:ilvl w:val="0"/>
          <w:numId w:val="2"/>
        </w:numPr>
        <w:spacing w:after="40" w:before="40"/>
      </w:pPr>
      <w:r>
        <w:rPr>
          <w:rFonts w:ascii="Arial" w:cs="Arial" w:eastAsia="Arial" w:hAnsi="Arial"/>
          <w:color w:val="475569"/>
          <w:sz w:val="22"/>
          <w:szCs w:val="22"/>
        </w:rPr>
        <w:t xml:space="preserve">Computational graphs — representing operations as a graph</w:t>
      </w:r>
    </w:p>
    <w:p>
      <w:pPr>
        <w:pStyle w:val="ListParagraph"/>
        <w:numPr>
          <w:ilvl w:val="0"/>
          <w:numId w:val="2"/>
        </w:numPr>
        <w:spacing w:after="40" w:before="40"/>
      </w:pPr>
      <w:r>
        <w:rPr>
          <w:rFonts w:ascii="Arial" w:cs="Arial" w:eastAsia="Arial" w:hAnsi="Arial"/>
          <w:color w:val="475569"/>
          <w:sz w:val="22"/>
          <w:szCs w:val="22"/>
        </w:rPr>
        <w:t xml:space="preserve">Forward and backward passes — what happens during training</w:t>
      </w:r>
    </w:p>
    <w:p>
      <w:pPr>
        <w:pStyle w:val="ListParagraph"/>
        <w:numPr>
          <w:ilvl w:val="0"/>
          <w:numId w:val="2"/>
        </w:numPr>
        <w:spacing w:after="40" w:before="40"/>
      </w:pPr>
      <w:r>
        <w:rPr>
          <w:rFonts w:ascii="Arial" w:cs="Arial" w:eastAsia="Arial" w:hAnsi="Arial"/>
          <w:color w:val="475569"/>
          <w:sz w:val="22"/>
          <w:szCs w:val="22"/>
        </w:rPr>
        <w:t xml:space="preserve">Vanishing and exploding gradients — why deep networks were hard to train</w:t>
      </w:r>
    </w:p>
    <w:p>
      <w:pPr>
        <w:pStyle w:val="ListParagraph"/>
        <w:numPr>
          <w:ilvl w:val="0"/>
          <w:numId w:val="2"/>
        </w:numPr>
        <w:spacing w:after="40" w:before="40"/>
      </w:pPr>
      <w:r>
        <w:rPr>
          <w:rFonts w:ascii="Arial" w:cs="Arial" w:eastAsia="Arial" w:hAnsi="Arial"/>
          <w:color w:val="475569"/>
          <w:sz w:val="22"/>
          <w:szCs w:val="22"/>
        </w:rPr>
        <w:t xml:space="preserve">Batch normalization — stabilizing training in deep networks</w:t>
      </w:r>
    </w:p>
    <w:p>
      <w:pPr>
        <w:spacing w:after="0" w:before="120"/>
      </w:pPr>
      <w:r>
        <w:t xml:space="preserve"/>
      </w:r>
    </w:p>
    <w:p>
      <w:pPr>
        <w:pStyle w:val="Heading3"/>
        <w:spacing w:after="100" w:before="240"/>
      </w:pPr>
      <w:r>
        <w:rPr>
          <w:rFonts w:ascii="Arial" w:cs="Arial" w:eastAsia="Arial" w:hAnsi="Arial"/>
          <w:b/>
          <w:bCs/>
          <w:color w:val="1E293B"/>
          <w:sz w:val="24"/>
          <w:szCs w:val="24"/>
        </w:rPr>
        <w:t xml:space="preserve">3.3  Common architectures</w:t>
      </w:r>
    </w:p>
    <w:p>
      <w:pPr>
        <w:pStyle w:val="ListParagraph"/>
        <w:numPr>
          <w:ilvl w:val="0"/>
          <w:numId w:val="2"/>
        </w:numPr>
        <w:spacing w:after="40" w:before="40"/>
      </w:pPr>
      <w:r>
        <w:rPr>
          <w:rFonts w:ascii="Arial" w:cs="Arial" w:eastAsia="Arial" w:hAnsi="Arial"/>
          <w:color w:val="475569"/>
          <w:sz w:val="22"/>
          <w:szCs w:val="22"/>
        </w:rPr>
        <w:t xml:space="preserve">Fully connected networks — the baseline</w:t>
      </w:r>
    </w:p>
    <w:p>
      <w:pPr>
        <w:pStyle w:val="ListParagraph"/>
        <w:numPr>
          <w:ilvl w:val="0"/>
          <w:numId w:val="2"/>
        </w:numPr>
        <w:spacing w:after="40" w:before="40"/>
      </w:pPr>
      <w:r>
        <w:rPr>
          <w:rFonts w:ascii="Arial" w:cs="Arial" w:eastAsia="Arial" w:hAnsi="Arial"/>
          <w:color w:val="475569"/>
          <w:sz w:val="22"/>
          <w:szCs w:val="22"/>
        </w:rPr>
        <w:t xml:space="preserve">Convolutional neural networks (CNNs) — for spatial data like images</w:t>
      </w:r>
    </w:p>
    <w:p>
      <w:pPr>
        <w:pStyle w:val="ListParagraph"/>
        <w:numPr>
          <w:ilvl w:val="0"/>
          <w:numId w:val="2"/>
        </w:numPr>
        <w:spacing w:after="40" w:before="40"/>
      </w:pPr>
      <w:r>
        <w:rPr>
          <w:rFonts w:ascii="Arial" w:cs="Arial" w:eastAsia="Arial" w:hAnsi="Arial"/>
          <w:color w:val="475569"/>
          <w:sz w:val="22"/>
          <w:szCs w:val="22"/>
        </w:rPr>
        <w:t xml:space="preserve">Recurrent neural networks (RNNs) and LSTMs — for sequences</w:t>
      </w:r>
    </w:p>
    <w:p>
      <w:pPr>
        <w:pStyle w:val="ListParagraph"/>
        <w:numPr>
          <w:ilvl w:val="0"/>
          <w:numId w:val="2"/>
        </w:numPr>
        <w:spacing w:after="40" w:before="40"/>
      </w:pPr>
      <w:r>
        <w:rPr>
          <w:rFonts w:ascii="Arial" w:cs="Arial" w:eastAsia="Arial" w:hAnsi="Arial"/>
          <w:color w:val="475569"/>
          <w:sz w:val="22"/>
          <w:szCs w:val="22"/>
        </w:rPr>
        <w:t xml:space="preserve">Why RNNs struggle with long sequences — the motivation for transformers</w:t>
      </w:r>
    </w:p>
    <w:p>
      <w:pPr>
        <w:spacing w:after="0" w:before="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1D4ED8" w:val="clear"/>
            <w:tcMar>
              <w:top w:type="dxa" w:w="180"/>
              <w:left w:type="dxa" w:w="240"/>
              <w:bottom w:type="dxa" w:w="180"/>
              <w:right w:type="dxa" w:w="240"/>
            </w:tcMar>
          </w:tcPr>
          <w:p>
            <w:pPr>
              <w:spacing w:after="60" w:before="0"/>
            </w:pPr>
            <w:r>
              <w:rPr>
                <w:rFonts w:ascii="Arial" w:cs="Arial" w:eastAsia="Arial" w:hAnsi="Arial"/>
                <w:b/>
                <w:bCs/>
                <w:color w:val="FFFFFF"/>
                <w:sz w:val="32"/>
                <w:szCs w:val="32"/>
              </w:rPr>
              <w:t xml:space="preserve">Layer 4  </w:t>
            </w:r>
            <w:r>
              <w:rPr>
                <w:rFonts w:ascii="Arial" w:cs="Arial" w:eastAsia="Arial" w:hAnsi="Arial"/>
                <w:b/>
                <w:bCs/>
                <w:color w:val="BFDBFE"/>
                <w:sz w:val="32"/>
                <w:szCs w:val="32"/>
              </w:rPr>
              <w:t xml:space="preserve">The Transformer</w:t>
            </w:r>
          </w:p>
          <w:p>
            <w:pPr>
              <w:spacing w:after="0" w:before="0"/>
            </w:pPr>
            <w:r>
              <w:rPr>
                <w:rFonts w:ascii="Arial" w:cs="Arial" w:eastAsia="Arial" w:hAnsi="Arial"/>
                <w:i/>
                <w:iCs/>
                <w:color w:val="DBEAFE"/>
                <w:sz w:val="21"/>
                <w:szCs w:val="21"/>
              </w:rPr>
              <w:t xml:space="preserve">The architecture behind every modern LLM</w:t>
            </w:r>
          </w:p>
        </w:tc>
      </w:tr>
    </w:tbl>
    <w:p>
      <w:pPr>
        <w:spacing w:after="0" w:before="160"/>
      </w:pPr>
      <w:r>
        <w:t xml:space="preserve"/>
      </w:r>
    </w:p>
    <w:p>
      <w:pPr>
        <w:pStyle w:val="Heading3"/>
        <w:spacing w:after="100" w:before="240"/>
      </w:pPr>
      <w:r>
        <w:rPr>
          <w:rFonts w:ascii="Arial" w:cs="Arial" w:eastAsia="Arial" w:hAnsi="Arial"/>
          <w:b/>
          <w:bCs/>
          <w:color w:val="1E293B"/>
          <w:sz w:val="24"/>
          <w:szCs w:val="24"/>
        </w:rPr>
        <w:t xml:space="preserve">Why this layer matters</w:t>
      </w:r>
    </w:p>
    <w:p>
      <w:pPr>
        <w:spacing w:after="100" w:before="60"/>
      </w:pPr>
      <w:r>
        <w:rPr>
          <w:rFonts w:ascii="Arial" w:cs="Arial" w:eastAsia="Arial" w:hAnsi="Arial"/>
          <w:color w:val="475569"/>
          <w:sz w:val="22"/>
          <w:szCs w:val="22"/>
        </w:rPr>
        <w:t xml:space="preserve">The transformer, introduced in 'Attention is All You Need' (2017), replaced RNNs for almost every sequence task. Every major LLM today — GPT-4, Claude, Llama, Gemini — is a transformer. You cannot understand LLMs without understanding transformers.</w:t>
      </w:r>
    </w:p>
    <w:p>
      <w:pPr>
        <w:spacing w:after="0" w:before="120"/>
      </w:pPr>
      <w:r>
        <w:t xml:space="preserve"/>
      </w:r>
    </w:p>
    <w:p>
      <w:pPr>
        <w:pStyle w:val="Heading3"/>
        <w:spacing w:after="100" w:before="240"/>
      </w:pPr>
      <w:r>
        <w:rPr>
          <w:rFonts w:ascii="Arial" w:cs="Arial" w:eastAsia="Arial" w:hAnsi="Arial"/>
          <w:b/>
          <w:bCs/>
          <w:color w:val="1E293B"/>
          <w:sz w:val="24"/>
          <w:szCs w:val="24"/>
        </w:rPr>
        <w:t xml:space="preserve">4.1  The attention mechanism</w:t>
      </w:r>
    </w:p>
    <w:p>
      <w:pPr>
        <w:spacing w:after="100" w:before="60"/>
      </w:pPr>
      <w:r>
        <w:rPr>
          <w:rFonts w:ascii="Arial" w:cs="Arial" w:eastAsia="Arial" w:hAnsi="Arial"/>
          <w:color w:val="475569"/>
          <w:sz w:val="22"/>
          <w:szCs w:val="22"/>
        </w:rPr>
        <w:t xml:space="preserve">Attention is the core innovation of the transformer. It allows any token to directly attend to any other token in the sequence, regardless of distance. This solved the long-range dependency problem that broke RNNs.</w:t>
      </w:r>
    </w:p>
    <w:p>
      <w:pPr>
        <w:pStyle w:val="ListParagraph"/>
        <w:numPr>
          <w:ilvl w:val="0"/>
          <w:numId w:val="2"/>
        </w:numPr>
        <w:spacing w:after="40" w:before="40"/>
      </w:pPr>
      <w:r>
        <w:rPr>
          <w:rFonts w:ascii="Arial" w:cs="Arial" w:eastAsia="Arial" w:hAnsi="Arial"/>
          <w:color w:val="475569"/>
          <w:sz w:val="22"/>
          <w:szCs w:val="22"/>
        </w:rPr>
        <w:t xml:space="preserve">Queries, keys, and values — the three projections</w:t>
      </w:r>
    </w:p>
    <w:p>
      <w:pPr>
        <w:pStyle w:val="ListParagraph"/>
        <w:numPr>
          <w:ilvl w:val="0"/>
          <w:numId w:val="2"/>
        </w:numPr>
        <w:spacing w:after="40" w:before="40"/>
      </w:pPr>
      <w:r>
        <w:rPr>
          <w:rFonts w:ascii="Arial" w:cs="Arial" w:eastAsia="Arial" w:hAnsi="Arial"/>
          <w:color w:val="475569"/>
          <w:sz w:val="22"/>
          <w:szCs w:val="22"/>
        </w:rPr>
        <w:t xml:space="preserve">Scaled dot-product attention — the core formula</w:t>
      </w:r>
    </w:p>
    <w:p>
      <w:pPr>
        <w:pStyle w:val="ListParagraph"/>
        <w:numPr>
          <w:ilvl w:val="0"/>
          <w:numId w:val="2"/>
        </w:numPr>
        <w:spacing w:after="40" w:before="40"/>
      </w:pPr>
      <w:r>
        <w:rPr>
          <w:rFonts w:ascii="Arial" w:cs="Arial" w:eastAsia="Arial" w:hAnsi="Arial"/>
          <w:color w:val="475569"/>
          <w:sz w:val="22"/>
          <w:szCs w:val="22"/>
        </w:rPr>
        <w:t xml:space="preserve">Attention weights — what they mean and how to read them</w:t>
      </w:r>
    </w:p>
    <w:p>
      <w:pPr>
        <w:pStyle w:val="ListParagraph"/>
        <w:numPr>
          <w:ilvl w:val="0"/>
          <w:numId w:val="2"/>
        </w:numPr>
        <w:spacing w:after="40" w:before="40"/>
      </w:pPr>
      <w:r>
        <w:rPr>
          <w:rFonts w:ascii="Arial" w:cs="Arial" w:eastAsia="Arial" w:hAnsi="Arial"/>
          <w:color w:val="475569"/>
          <w:sz w:val="22"/>
          <w:szCs w:val="22"/>
        </w:rPr>
        <w:t xml:space="preserve">Why attention is O(n^2) in sequence length — and why that matters</w:t>
      </w:r>
    </w:p>
    <w:p>
      <w:pPr>
        <w:spacing w:after="0" w:before="120"/>
      </w:pPr>
      <w:r>
        <w:t xml:space="preserve"/>
      </w:r>
    </w:p>
    <w:p>
      <w:pPr>
        <w:pStyle w:val="Heading3"/>
        <w:spacing w:after="100" w:before="240"/>
      </w:pPr>
      <w:r>
        <w:rPr>
          <w:rFonts w:ascii="Arial" w:cs="Arial" w:eastAsia="Arial" w:hAnsi="Arial"/>
          <w:b/>
          <w:bCs/>
          <w:color w:val="1E293B"/>
          <w:sz w:val="24"/>
          <w:szCs w:val="24"/>
        </w:rPr>
        <w:t xml:space="preserve">4.2  Multi-head attention</w:t>
      </w:r>
    </w:p>
    <w:p>
      <w:pPr>
        <w:pStyle w:val="ListParagraph"/>
        <w:numPr>
          <w:ilvl w:val="0"/>
          <w:numId w:val="2"/>
        </w:numPr>
        <w:spacing w:after="40" w:before="40"/>
      </w:pPr>
      <w:r>
        <w:rPr>
          <w:rFonts w:ascii="Arial" w:cs="Arial" w:eastAsia="Arial" w:hAnsi="Arial"/>
          <w:color w:val="475569"/>
          <w:sz w:val="22"/>
          <w:szCs w:val="22"/>
        </w:rPr>
        <w:t xml:space="preserve">Why one attention head is not enough</w:t>
      </w:r>
    </w:p>
    <w:p>
      <w:pPr>
        <w:pStyle w:val="ListParagraph"/>
        <w:numPr>
          <w:ilvl w:val="0"/>
          <w:numId w:val="2"/>
        </w:numPr>
        <w:spacing w:after="40" w:before="40"/>
      </w:pPr>
      <w:r>
        <w:rPr>
          <w:rFonts w:ascii="Arial" w:cs="Arial" w:eastAsia="Arial" w:hAnsi="Arial"/>
          <w:color w:val="475569"/>
          <w:sz w:val="22"/>
          <w:szCs w:val="22"/>
        </w:rPr>
        <w:t xml:space="preserve">Running attention in parallel across multiple heads</w:t>
      </w:r>
    </w:p>
    <w:p>
      <w:pPr>
        <w:pStyle w:val="ListParagraph"/>
        <w:numPr>
          <w:ilvl w:val="0"/>
          <w:numId w:val="2"/>
        </w:numPr>
        <w:spacing w:after="40" w:before="40"/>
      </w:pPr>
      <w:r>
        <w:rPr>
          <w:rFonts w:ascii="Arial" w:cs="Arial" w:eastAsia="Arial" w:hAnsi="Arial"/>
          <w:color w:val="475569"/>
          <w:sz w:val="22"/>
          <w:szCs w:val="22"/>
        </w:rPr>
        <w:t xml:space="preserve">Concatenating and projecting head outputs</w:t>
      </w:r>
    </w:p>
    <w:p>
      <w:pPr>
        <w:pStyle w:val="ListParagraph"/>
        <w:numPr>
          <w:ilvl w:val="0"/>
          <w:numId w:val="2"/>
        </w:numPr>
        <w:spacing w:after="40" w:before="40"/>
      </w:pPr>
      <w:r>
        <w:rPr>
          <w:rFonts w:ascii="Arial" w:cs="Arial" w:eastAsia="Arial" w:hAnsi="Arial"/>
          <w:color w:val="475569"/>
          <w:sz w:val="22"/>
          <w:szCs w:val="22"/>
        </w:rPr>
        <w:t xml:space="preserve">What different heads learn to attend to</w:t>
      </w:r>
    </w:p>
    <w:p>
      <w:pPr>
        <w:spacing w:after="0" w:before="120"/>
      </w:pPr>
      <w:r>
        <w:t xml:space="preserve"/>
      </w:r>
    </w:p>
    <w:p>
      <w:pPr>
        <w:pStyle w:val="Heading3"/>
        <w:spacing w:after="100" w:before="240"/>
      </w:pPr>
      <w:r>
        <w:rPr>
          <w:rFonts w:ascii="Arial" w:cs="Arial" w:eastAsia="Arial" w:hAnsi="Arial"/>
          <w:b/>
          <w:bCs/>
          <w:color w:val="1E293B"/>
          <w:sz w:val="24"/>
          <w:szCs w:val="24"/>
        </w:rPr>
        <w:t xml:space="preserve">4.3  The full transformer block</w:t>
      </w:r>
    </w:p>
    <w:p>
      <w:pPr>
        <w:pStyle w:val="ListParagraph"/>
        <w:numPr>
          <w:ilvl w:val="0"/>
          <w:numId w:val="2"/>
        </w:numPr>
        <w:spacing w:after="40" w:before="40"/>
      </w:pPr>
      <w:r>
        <w:rPr>
          <w:rFonts w:ascii="Arial" w:cs="Arial" w:eastAsia="Arial" w:hAnsi="Arial"/>
          <w:color w:val="475569"/>
          <w:sz w:val="22"/>
          <w:szCs w:val="22"/>
        </w:rPr>
        <w:t xml:space="preserve">Layer normalization — where it goes and why</w:t>
      </w:r>
    </w:p>
    <w:p>
      <w:pPr>
        <w:pStyle w:val="ListParagraph"/>
        <w:numPr>
          <w:ilvl w:val="0"/>
          <w:numId w:val="2"/>
        </w:numPr>
        <w:spacing w:after="40" w:before="40"/>
      </w:pPr>
      <w:r>
        <w:rPr>
          <w:rFonts w:ascii="Arial" w:cs="Arial" w:eastAsia="Arial" w:hAnsi="Arial"/>
          <w:color w:val="475569"/>
          <w:sz w:val="22"/>
          <w:szCs w:val="22"/>
        </w:rPr>
        <w:t xml:space="preserve">The feedforward sublayer — two linear layers with a nonlinearity</w:t>
      </w:r>
    </w:p>
    <w:p>
      <w:pPr>
        <w:pStyle w:val="ListParagraph"/>
        <w:numPr>
          <w:ilvl w:val="0"/>
          <w:numId w:val="2"/>
        </w:numPr>
        <w:spacing w:after="40" w:before="40"/>
      </w:pPr>
      <w:r>
        <w:rPr>
          <w:rFonts w:ascii="Arial" w:cs="Arial" w:eastAsia="Arial" w:hAnsi="Arial"/>
          <w:color w:val="475569"/>
          <w:sz w:val="22"/>
          <w:szCs w:val="22"/>
        </w:rPr>
        <w:t xml:space="preserve">Residual connections — why they are critical for deep transformers</w:t>
      </w:r>
    </w:p>
    <w:p>
      <w:pPr>
        <w:pStyle w:val="ListParagraph"/>
        <w:numPr>
          <w:ilvl w:val="0"/>
          <w:numId w:val="2"/>
        </w:numPr>
        <w:spacing w:after="40" w:before="40"/>
      </w:pPr>
      <w:r>
        <w:rPr>
          <w:rFonts w:ascii="Arial" w:cs="Arial" w:eastAsia="Arial" w:hAnsi="Arial"/>
          <w:color w:val="475569"/>
          <w:sz w:val="22"/>
          <w:szCs w:val="22"/>
        </w:rPr>
        <w:t xml:space="preserve">Positional encoding — how transformers know token order</w:t>
      </w:r>
    </w:p>
    <w:p>
      <w:pPr>
        <w:spacing w:after="0" w:before="120"/>
      </w:pPr>
      <w:r>
        <w:t xml:space="preserve"/>
      </w:r>
    </w:p>
    <w:p>
      <w:pPr>
        <w:pStyle w:val="Heading3"/>
        <w:spacing w:after="100" w:before="240"/>
      </w:pPr>
      <w:r>
        <w:rPr>
          <w:rFonts w:ascii="Arial" w:cs="Arial" w:eastAsia="Arial" w:hAnsi="Arial"/>
          <w:b/>
          <w:bCs/>
          <w:color w:val="1E293B"/>
          <w:sz w:val="24"/>
          <w:szCs w:val="24"/>
        </w:rPr>
        <w:t xml:space="preserve">4.4  Encoder vs decoder</w:t>
      </w:r>
    </w:p>
    <w:p>
      <w:pPr>
        <w:pStyle w:val="ListParagraph"/>
        <w:numPr>
          <w:ilvl w:val="0"/>
          <w:numId w:val="2"/>
        </w:numPr>
        <w:spacing w:after="40" w:before="40"/>
      </w:pPr>
      <w:r>
        <w:rPr>
          <w:rFonts w:ascii="Arial" w:cs="Arial" w:eastAsia="Arial" w:hAnsi="Arial"/>
          <w:color w:val="475569"/>
          <w:sz w:val="22"/>
          <w:szCs w:val="22"/>
        </w:rPr>
        <w:t xml:space="preserve">Encoder-only models like BERT — bidirectional, good for understanding</w:t>
      </w:r>
    </w:p>
    <w:p>
      <w:pPr>
        <w:pStyle w:val="ListParagraph"/>
        <w:numPr>
          <w:ilvl w:val="0"/>
          <w:numId w:val="2"/>
        </w:numPr>
        <w:spacing w:after="40" w:before="40"/>
      </w:pPr>
      <w:r>
        <w:rPr>
          <w:rFonts w:ascii="Arial" w:cs="Arial" w:eastAsia="Arial" w:hAnsi="Arial"/>
          <w:color w:val="475569"/>
          <w:sz w:val="22"/>
          <w:szCs w:val="22"/>
        </w:rPr>
        <w:t xml:space="preserve">Decoder-only models like GPT — autoregressive, good for generation</w:t>
      </w:r>
    </w:p>
    <w:p>
      <w:pPr>
        <w:pStyle w:val="ListParagraph"/>
        <w:numPr>
          <w:ilvl w:val="0"/>
          <w:numId w:val="2"/>
        </w:numPr>
        <w:spacing w:after="40" w:before="40"/>
      </w:pPr>
      <w:r>
        <w:rPr>
          <w:rFonts w:ascii="Arial" w:cs="Arial" w:eastAsia="Arial" w:hAnsi="Arial"/>
          <w:color w:val="475569"/>
          <w:sz w:val="22"/>
          <w:szCs w:val="22"/>
        </w:rPr>
        <w:t xml:space="preserve">Encoder-decoder models like T5 — translation and summarization</w:t>
      </w:r>
    </w:p>
    <w:p>
      <w:pPr>
        <w:pStyle w:val="ListParagraph"/>
        <w:numPr>
          <w:ilvl w:val="0"/>
          <w:numId w:val="2"/>
        </w:numPr>
        <w:spacing w:after="40" w:before="40"/>
      </w:pPr>
      <w:r>
        <w:rPr>
          <w:rFonts w:ascii="Arial" w:cs="Arial" w:eastAsia="Arial" w:hAnsi="Arial"/>
          <w:color w:val="475569"/>
          <w:sz w:val="22"/>
          <w:szCs w:val="22"/>
        </w:rPr>
        <w:t xml:space="preserve">Why most modern LLMs are decoder-only</w:t>
      </w:r>
    </w:p>
    <w:p>
      <w:pPr>
        <w:spacing w:after="0" w:before="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1D4ED8" w:val="clear"/>
            <w:tcMar>
              <w:top w:type="dxa" w:w="180"/>
              <w:left w:type="dxa" w:w="240"/>
              <w:bottom w:type="dxa" w:w="180"/>
              <w:right w:type="dxa" w:w="240"/>
            </w:tcMar>
          </w:tcPr>
          <w:p>
            <w:pPr>
              <w:spacing w:after="60" w:before="0"/>
            </w:pPr>
            <w:r>
              <w:rPr>
                <w:rFonts w:ascii="Arial" w:cs="Arial" w:eastAsia="Arial" w:hAnsi="Arial"/>
                <w:b/>
                <w:bCs/>
                <w:color w:val="FFFFFF"/>
                <w:sz w:val="32"/>
                <w:szCs w:val="32"/>
              </w:rPr>
              <w:t xml:space="preserve">Layer 5  </w:t>
            </w:r>
            <w:r>
              <w:rPr>
                <w:rFonts w:ascii="Arial" w:cs="Arial" w:eastAsia="Arial" w:hAnsi="Arial"/>
                <w:b/>
                <w:bCs/>
                <w:color w:val="BFDBFE"/>
                <w:sz w:val="32"/>
                <w:szCs w:val="32"/>
              </w:rPr>
              <w:t xml:space="preserve">LLMs Specifically</w:t>
            </w:r>
          </w:p>
          <w:p>
            <w:pPr>
              <w:spacing w:after="0" w:before="0"/>
            </w:pPr>
            <w:r>
              <w:rPr>
                <w:rFonts w:ascii="Arial" w:cs="Arial" w:eastAsia="Arial" w:hAnsi="Arial"/>
                <w:i/>
                <w:iCs/>
                <w:color w:val="DBEAFE"/>
                <w:sz w:val="21"/>
                <w:szCs w:val="21"/>
              </w:rPr>
              <w:t xml:space="preserve">How language models are built and trained</w:t>
            </w:r>
          </w:p>
        </w:tc>
      </w:tr>
    </w:tbl>
    <w:p>
      <w:pPr>
        <w:spacing w:after="0" w:before="160"/>
      </w:pPr>
      <w:r>
        <w:t xml:space="preserve"/>
      </w:r>
    </w:p>
    <w:p>
      <w:pPr>
        <w:pStyle w:val="Heading3"/>
        <w:spacing w:after="100" w:before="240"/>
      </w:pPr>
      <w:r>
        <w:rPr>
          <w:rFonts w:ascii="Arial" w:cs="Arial" w:eastAsia="Arial" w:hAnsi="Arial"/>
          <w:b/>
          <w:bCs/>
          <w:color w:val="1E293B"/>
          <w:sz w:val="24"/>
          <w:szCs w:val="24"/>
        </w:rPr>
        <w:t xml:space="preserve">Why this layer matters</w:t>
      </w:r>
    </w:p>
    <w:p>
      <w:pPr>
        <w:spacing w:after="100" w:before="60"/>
      </w:pPr>
      <w:r>
        <w:rPr>
          <w:rFonts w:ascii="Arial" w:cs="Arial" w:eastAsia="Arial" w:hAnsi="Arial"/>
          <w:color w:val="475569"/>
          <w:sz w:val="22"/>
          <w:szCs w:val="22"/>
        </w:rPr>
        <w:t xml:space="preserve">Understanding the transformer architecture is necessary but not sufficient. LLMs involve a specific set of training choices, data pipelines, and inference procedures that are distinct from general deep learning. This layer covers what makes an LLM an LLM.</w:t>
      </w:r>
    </w:p>
    <w:p>
      <w:pPr>
        <w:spacing w:after="0" w:before="120"/>
      </w:pPr>
      <w:r>
        <w:t xml:space="preserve"/>
      </w:r>
    </w:p>
    <w:p>
      <w:pPr>
        <w:pStyle w:val="Heading3"/>
        <w:spacing w:after="100" w:before="240"/>
      </w:pPr>
      <w:r>
        <w:rPr>
          <w:rFonts w:ascii="Arial" w:cs="Arial" w:eastAsia="Arial" w:hAnsi="Arial"/>
          <w:b/>
          <w:bCs/>
          <w:color w:val="1E293B"/>
          <w:sz w:val="24"/>
          <w:szCs w:val="24"/>
        </w:rPr>
        <w:t xml:space="preserve">5.1  Tokenization</w:t>
      </w:r>
    </w:p>
    <w:p>
      <w:pPr>
        <w:spacing w:after="100" w:before="60"/>
      </w:pPr>
      <w:r>
        <w:rPr>
          <w:rFonts w:ascii="Arial" w:cs="Arial" w:eastAsia="Arial" w:hAnsi="Arial"/>
          <w:color w:val="475569"/>
          <w:sz w:val="22"/>
          <w:szCs w:val="22"/>
        </w:rPr>
        <w:t xml:space="preserve">Text must be converted to numbers before a model can process it. The way this is done has a significant effect on model performance.</w:t>
      </w:r>
    </w:p>
    <w:p>
      <w:pPr>
        <w:pStyle w:val="ListParagraph"/>
        <w:numPr>
          <w:ilvl w:val="0"/>
          <w:numId w:val="2"/>
        </w:numPr>
        <w:spacing w:after="40" w:before="40"/>
      </w:pPr>
      <w:r>
        <w:rPr>
          <w:rFonts w:ascii="Arial" w:cs="Arial" w:eastAsia="Arial" w:hAnsi="Arial"/>
          <w:color w:val="475569"/>
          <w:sz w:val="22"/>
          <w:szCs w:val="22"/>
        </w:rPr>
        <w:t xml:space="preserve">Byte-pair encoding (BPE) — the most common tokenization algorithm</w:t>
      </w:r>
    </w:p>
    <w:p>
      <w:pPr>
        <w:pStyle w:val="ListParagraph"/>
        <w:numPr>
          <w:ilvl w:val="0"/>
          <w:numId w:val="2"/>
        </w:numPr>
        <w:spacing w:after="40" w:before="40"/>
      </w:pPr>
      <w:r>
        <w:rPr>
          <w:rFonts w:ascii="Arial" w:cs="Arial" w:eastAsia="Arial" w:hAnsi="Arial"/>
          <w:color w:val="475569"/>
          <w:sz w:val="22"/>
          <w:szCs w:val="22"/>
        </w:rPr>
        <w:t xml:space="preserve">Vocabulary size and its tradeoffs</w:t>
      </w:r>
    </w:p>
    <w:p>
      <w:pPr>
        <w:pStyle w:val="ListParagraph"/>
        <w:numPr>
          <w:ilvl w:val="0"/>
          <w:numId w:val="2"/>
        </w:numPr>
        <w:spacing w:after="40" w:before="40"/>
      </w:pPr>
      <w:r>
        <w:rPr>
          <w:rFonts w:ascii="Arial" w:cs="Arial" w:eastAsia="Arial" w:hAnsi="Arial"/>
          <w:color w:val="475569"/>
          <w:sz w:val="22"/>
          <w:szCs w:val="22"/>
        </w:rPr>
        <w:t xml:space="preserve">Subword tokenization — why whole words are not used</w:t>
      </w:r>
    </w:p>
    <w:p>
      <w:pPr>
        <w:pStyle w:val="ListParagraph"/>
        <w:numPr>
          <w:ilvl w:val="0"/>
          <w:numId w:val="2"/>
        </w:numPr>
        <w:spacing w:after="40" w:before="40"/>
      </w:pPr>
      <w:r>
        <w:rPr>
          <w:rFonts w:ascii="Arial" w:cs="Arial" w:eastAsia="Arial" w:hAnsi="Arial"/>
          <w:color w:val="475569"/>
          <w:sz w:val="22"/>
          <w:szCs w:val="22"/>
        </w:rPr>
        <w:t xml:space="preserve">How tokens map to vector embeddings</w:t>
      </w:r>
    </w:p>
    <w:p>
      <w:pPr>
        <w:spacing w:after="0" w:before="120"/>
      </w:pPr>
      <w:r>
        <w:t xml:space="preserve"/>
      </w:r>
    </w:p>
    <w:p>
      <w:pPr>
        <w:pStyle w:val="Heading3"/>
        <w:spacing w:after="100" w:before="240"/>
      </w:pPr>
      <w:r>
        <w:rPr>
          <w:rFonts w:ascii="Arial" w:cs="Arial" w:eastAsia="Arial" w:hAnsi="Arial"/>
          <w:b/>
          <w:bCs/>
          <w:color w:val="1E293B"/>
          <w:sz w:val="24"/>
          <w:szCs w:val="24"/>
        </w:rPr>
        <w:t xml:space="preserve">5.2  Pre-training</w:t>
      </w:r>
    </w:p>
    <w:p>
      <w:pPr>
        <w:pStyle w:val="ListParagraph"/>
        <w:numPr>
          <w:ilvl w:val="0"/>
          <w:numId w:val="2"/>
        </w:numPr>
        <w:spacing w:after="40" w:before="40"/>
      </w:pPr>
      <w:r>
        <w:rPr>
          <w:rFonts w:ascii="Arial" w:cs="Arial" w:eastAsia="Arial" w:hAnsi="Arial"/>
          <w:color w:val="475569"/>
          <w:sz w:val="22"/>
          <w:szCs w:val="22"/>
        </w:rPr>
        <w:t xml:space="preserve">Next-token prediction — the self-supervised training objective</w:t>
      </w:r>
    </w:p>
    <w:p>
      <w:pPr>
        <w:pStyle w:val="ListParagraph"/>
        <w:numPr>
          <w:ilvl w:val="0"/>
          <w:numId w:val="2"/>
        </w:numPr>
        <w:spacing w:after="40" w:before="40"/>
      </w:pPr>
      <w:r>
        <w:rPr>
          <w:rFonts w:ascii="Arial" w:cs="Arial" w:eastAsia="Arial" w:hAnsi="Arial"/>
          <w:color w:val="475569"/>
          <w:sz w:val="22"/>
          <w:szCs w:val="22"/>
        </w:rPr>
        <w:t xml:space="preserve">Training data — what LLMs are trained on and why it matters</w:t>
      </w:r>
    </w:p>
    <w:p>
      <w:pPr>
        <w:pStyle w:val="ListParagraph"/>
        <w:numPr>
          <w:ilvl w:val="0"/>
          <w:numId w:val="2"/>
        </w:numPr>
        <w:spacing w:after="40" w:before="40"/>
      </w:pPr>
      <w:r>
        <w:rPr>
          <w:rFonts w:ascii="Arial" w:cs="Arial" w:eastAsia="Arial" w:hAnsi="Arial"/>
          <w:color w:val="475569"/>
          <w:sz w:val="22"/>
          <w:szCs w:val="22"/>
        </w:rPr>
        <w:t xml:space="preserve">Scaling laws — why bigger models trained on more data are better</w:t>
      </w:r>
    </w:p>
    <w:p>
      <w:pPr>
        <w:pStyle w:val="ListParagraph"/>
        <w:numPr>
          <w:ilvl w:val="0"/>
          <w:numId w:val="2"/>
        </w:numPr>
        <w:spacing w:after="40" w:before="40"/>
      </w:pPr>
      <w:r>
        <w:rPr>
          <w:rFonts w:ascii="Arial" w:cs="Arial" w:eastAsia="Arial" w:hAnsi="Arial"/>
          <w:color w:val="475569"/>
          <w:sz w:val="22"/>
          <w:szCs w:val="22"/>
        </w:rPr>
        <w:t xml:space="preserve">Compute requirements — what it actually costs to train an LLM</w:t>
      </w:r>
    </w:p>
    <w:p>
      <w:pPr>
        <w:spacing w:after="0" w:before="120"/>
      </w:pPr>
      <w:r>
        <w:t xml:space="preserve"/>
      </w:r>
    </w:p>
    <w:p>
      <w:pPr>
        <w:pStyle w:val="Heading3"/>
        <w:spacing w:after="100" w:before="240"/>
      </w:pPr>
      <w:r>
        <w:rPr>
          <w:rFonts w:ascii="Arial" w:cs="Arial" w:eastAsia="Arial" w:hAnsi="Arial"/>
          <w:b/>
          <w:bCs/>
          <w:color w:val="1E293B"/>
          <w:sz w:val="24"/>
          <w:szCs w:val="24"/>
        </w:rPr>
        <w:t xml:space="preserve">5.3  Fine-tuning and alignment</w:t>
      </w:r>
    </w:p>
    <w:p>
      <w:pPr>
        <w:pStyle w:val="ListParagraph"/>
        <w:numPr>
          <w:ilvl w:val="0"/>
          <w:numId w:val="2"/>
        </w:numPr>
        <w:spacing w:after="40" w:before="40"/>
      </w:pPr>
      <w:r>
        <w:rPr>
          <w:rFonts w:ascii="Arial" w:cs="Arial" w:eastAsia="Arial" w:hAnsi="Arial"/>
          <w:color w:val="475569"/>
          <w:sz w:val="22"/>
          <w:szCs w:val="22"/>
        </w:rPr>
        <w:t xml:space="preserve">Supervised fine-tuning (SFT) — adapting to specific tasks</w:t>
      </w:r>
    </w:p>
    <w:p>
      <w:pPr>
        <w:pStyle w:val="ListParagraph"/>
        <w:numPr>
          <w:ilvl w:val="0"/>
          <w:numId w:val="2"/>
        </w:numPr>
        <w:spacing w:after="40" w:before="40"/>
      </w:pPr>
      <w:r>
        <w:rPr>
          <w:rFonts w:ascii="Arial" w:cs="Arial" w:eastAsia="Arial" w:hAnsi="Arial"/>
          <w:color w:val="475569"/>
          <w:sz w:val="22"/>
          <w:szCs w:val="22"/>
        </w:rPr>
        <w:t xml:space="preserve">RLHF — reinforcement learning from human feedback</w:t>
      </w:r>
    </w:p>
    <w:p>
      <w:pPr>
        <w:pStyle w:val="ListParagraph"/>
        <w:numPr>
          <w:ilvl w:val="0"/>
          <w:numId w:val="2"/>
        </w:numPr>
        <w:spacing w:after="40" w:before="40"/>
      </w:pPr>
      <w:r>
        <w:rPr>
          <w:rFonts w:ascii="Arial" w:cs="Arial" w:eastAsia="Arial" w:hAnsi="Arial"/>
          <w:color w:val="475569"/>
          <w:sz w:val="22"/>
          <w:szCs w:val="22"/>
        </w:rPr>
        <w:t xml:space="preserve">Instruction following — how models learn to follow prompts</w:t>
      </w:r>
    </w:p>
    <w:p>
      <w:pPr>
        <w:pStyle w:val="ListParagraph"/>
        <w:numPr>
          <w:ilvl w:val="0"/>
          <w:numId w:val="2"/>
        </w:numPr>
        <w:spacing w:after="40" w:before="40"/>
      </w:pPr>
      <w:r>
        <w:rPr>
          <w:rFonts w:ascii="Arial" w:cs="Arial" w:eastAsia="Arial" w:hAnsi="Arial"/>
          <w:color w:val="475569"/>
          <w:sz w:val="22"/>
          <w:szCs w:val="22"/>
        </w:rPr>
        <w:t xml:space="preserve">Constitutional AI and direct preference optimization</w:t>
      </w:r>
    </w:p>
    <w:p>
      <w:pPr>
        <w:spacing w:after="0" w:before="120"/>
      </w:pPr>
      <w:r>
        <w:t xml:space="preserve"/>
      </w:r>
    </w:p>
    <w:p>
      <w:pPr>
        <w:pStyle w:val="Heading3"/>
        <w:spacing w:after="100" w:before="240"/>
      </w:pPr>
      <w:r>
        <w:rPr>
          <w:rFonts w:ascii="Arial" w:cs="Arial" w:eastAsia="Arial" w:hAnsi="Arial"/>
          <w:b/>
          <w:bCs/>
          <w:color w:val="1E293B"/>
          <w:sz w:val="24"/>
          <w:szCs w:val="24"/>
        </w:rPr>
        <w:t xml:space="preserve">5.4  Inference and generation</w:t>
      </w:r>
    </w:p>
    <w:p>
      <w:pPr>
        <w:spacing w:after="100" w:before="60"/>
      </w:pPr>
      <w:r>
        <w:rPr>
          <w:rFonts w:ascii="Arial" w:cs="Arial" w:eastAsia="Arial" w:hAnsi="Arial"/>
          <w:color w:val="475569"/>
          <w:sz w:val="22"/>
          <w:szCs w:val="22"/>
        </w:rPr>
        <w:t xml:space="preserve">Understanding inference is what connects to Layer 6. This is where the KV cache lives.</w:t>
      </w:r>
    </w:p>
    <w:p>
      <w:pPr>
        <w:pStyle w:val="ListParagraph"/>
        <w:numPr>
          <w:ilvl w:val="0"/>
          <w:numId w:val="2"/>
        </w:numPr>
        <w:spacing w:after="40" w:before="40"/>
      </w:pPr>
      <w:r>
        <w:rPr>
          <w:rFonts w:ascii="Arial" w:cs="Arial" w:eastAsia="Arial" w:hAnsi="Arial"/>
          <w:color w:val="475569"/>
          <w:sz w:val="22"/>
          <w:szCs w:val="22"/>
        </w:rPr>
        <w:t xml:space="preserve">Autoregressive generation — generating one token at a time</w:t>
      </w:r>
    </w:p>
    <w:p>
      <w:pPr>
        <w:pStyle w:val="ListParagraph"/>
        <w:numPr>
          <w:ilvl w:val="0"/>
          <w:numId w:val="2"/>
        </w:numPr>
        <w:spacing w:after="40" w:before="40"/>
      </w:pPr>
      <w:r>
        <w:rPr>
          <w:rFonts w:ascii="Arial" w:cs="Arial" w:eastAsia="Arial" w:hAnsi="Arial"/>
          <w:color w:val="475569"/>
          <w:sz w:val="22"/>
          <w:szCs w:val="22"/>
        </w:rPr>
        <w:t xml:space="preserve">Sampling strategies — temperature, top-k, top-p</w:t>
      </w:r>
    </w:p>
    <w:p>
      <w:pPr>
        <w:pStyle w:val="ListParagraph"/>
        <w:numPr>
          <w:ilvl w:val="0"/>
          <w:numId w:val="2"/>
        </w:numPr>
        <w:spacing w:after="40" w:before="40"/>
      </w:pPr>
      <w:r>
        <w:rPr>
          <w:rFonts w:ascii="Arial" w:cs="Arial" w:eastAsia="Arial" w:hAnsi="Arial"/>
          <w:color w:val="475569"/>
          <w:sz w:val="22"/>
          <w:szCs w:val="22"/>
        </w:rPr>
        <w:t xml:space="preserve">The KV cache — why storing past key/value vectors is necessary</w:t>
      </w:r>
    </w:p>
    <w:p>
      <w:pPr>
        <w:pStyle w:val="ListParagraph"/>
        <w:numPr>
          <w:ilvl w:val="0"/>
          <w:numId w:val="2"/>
        </w:numPr>
        <w:spacing w:after="40" w:before="40"/>
      </w:pPr>
      <w:r>
        <w:rPr>
          <w:rFonts w:ascii="Arial" w:cs="Arial" w:eastAsia="Arial" w:hAnsi="Arial"/>
          <w:color w:val="475569"/>
          <w:sz w:val="22"/>
          <w:szCs w:val="22"/>
        </w:rPr>
        <w:t xml:space="preserve">Why the KV cache grows with context length — the memory bottleneck</w:t>
      </w:r>
    </w:p>
    <w:p>
      <w:pPr>
        <w:pStyle w:val="ListParagraph"/>
        <w:numPr>
          <w:ilvl w:val="0"/>
          <w:numId w:val="2"/>
        </w:numPr>
        <w:spacing w:after="40" w:before="40"/>
      </w:pPr>
      <w:r>
        <w:rPr>
          <w:rFonts w:ascii="Arial" w:cs="Arial" w:eastAsia="Arial" w:hAnsi="Arial"/>
          <w:color w:val="475569"/>
          <w:sz w:val="22"/>
          <w:szCs w:val="22"/>
        </w:rPr>
        <w:t xml:space="preserve">Prefill vs decode phases of inference</w:t>
      </w:r>
    </w:p>
    <w:p>
      <w:pPr>
        <w:spacing w:after="0" w:before="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1D4ED8" w:val="clear"/>
            <w:tcMar>
              <w:top w:type="dxa" w:w="180"/>
              <w:left w:type="dxa" w:w="240"/>
              <w:bottom w:type="dxa" w:w="180"/>
              <w:right w:type="dxa" w:w="240"/>
            </w:tcMar>
          </w:tcPr>
          <w:p>
            <w:pPr>
              <w:spacing w:after="60" w:before="0"/>
            </w:pPr>
            <w:r>
              <w:rPr>
                <w:rFonts w:ascii="Arial" w:cs="Arial" w:eastAsia="Arial" w:hAnsi="Arial"/>
                <w:b/>
                <w:bCs/>
                <w:color w:val="FFFFFF"/>
                <w:sz w:val="32"/>
                <w:szCs w:val="32"/>
              </w:rPr>
              <w:t xml:space="preserve">Layer 6  </w:t>
            </w:r>
            <w:r>
              <w:rPr>
                <w:rFonts w:ascii="Arial" w:cs="Arial" w:eastAsia="Arial" w:hAnsi="Arial"/>
                <w:b/>
                <w:bCs/>
                <w:color w:val="BFDBFE"/>
                <w:sz w:val="32"/>
                <w:szCs w:val="32"/>
              </w:rPr>
              <w:t xml:space="preserve">Production &amp; Efficiency</w:t>
            </w:r>
          </w:p>
          <w:p>
            <w:pPr>
              <w:spacing w:after="0" w:before="0"/>
            </w:pPr>
            <w:r>
              <w:rPr>
                <w:rFonts w:ascii="Arial" w:cs="Arial" w:eastAsia="Arial" w:hAnsi="Arial"/>
                <w:i/>
                <w:iCs/>
                <w:color w:val="DBEAFE"/>
                <w:sz w:val="21"/>
                <w:szCs w:val="21"/>
              </w:rPr>
              <w:t xml:space="preserve">Making LLMs fast, small, and deployable</w:t>
            </w:r>
          </w:p>
        </w:tc>
      </w:tr>
    </w:tbl>
    <w:p>
      <w:pPr>
        <w:spacing w:after="0" w:before="160"/>
      </w:pPr>
      <w:r>
        <w:t xml:space="preserve"/>
      </w:r>
    </w:p>
    <w:p>
      <w:pPr>
        <w:pStyle w:val="Heading3"/>
        <w:spacing w:after="100" w:before="240"/>
      </w:pPr>
      <w:r>
        <w:rPr>
          <w:rFonts w:ascii="Arial" w:cs="Arial" w:eastAsia="Arial" w:hAnsi="Arial"/>
          <w:b/>
          <w:bCs/>
          <w:color w:val="1E293B"/>
          <w:sz w:val="24"/>
          <w:szCs w:val="24"/>
        </w:rPr>
        <w:t xml:space="preserve">Why this layer matters</w:t>
      </w:r>
    </w:p>
    <w:p>
      <w:pPr>
        <w:spacing w:after="100" w:before="60"/>
      </w:pPr>
      <w:r>
        <w:rPr>
          <w:rFonts w:ascii="Arial" w:cs="Arial" w:eastAsia="Arial" w:hAnsi="Arial"/>
          <w:color w:val="475569"/>
          <w:sz w:val="22"/>
          <w:szCs w:val="22"/>
        </w:rPr>
        <w:t xml:space="preserve">LLMs are expensive. A 70B parameter model requires ~140GB of GPU memory in float16. Real deployments require aggressive optimization. This layer is where TurboQuant lives — it is the cutting edge of making inference cheaper without hurting quality.</w:t>
      </w:r>
    </w:p>
    <w:p>
      <w:pPr>
        <w:spacing w:after="0" w:before="120"/>
      </w:pPr>
      <w:r>
        <w:t xml:space="preserve"/>
      </w:r>
    </w:p>
    <w:p>
      <w:pPr>
        <w:pStyle w:val="Heading3"/>
        <w:spacing w:after="100" w:before="240"/>
      </w:pPr>
      <w:r>
        <w:rPr>
          <w:rFonts w:ascii="Arial" w:cs="Arial" w:eastAsia="Arial" w:hAnsi="Arial"/>
          <w:b/>
          <w:bCs/>
          <w:color w:val="1E293B"/>
          <w:sz w:val="24"/>
          <w:szCs w:val="24"/>
        </w:rPr>
        <w:t xml:space="preserve">6.1  Quantization</w:t>
      </w:r>
    </w:p>
    <w:p>
      <w:pPr>
        <w:spacing w:after="100" w:before="60"/>
      </w:pPr>
      <w:r>
        <w:rPr>
          <w:rFonts w:ascii="Arial" w:cs="Arial" w:eastAsia="Arial" w:hAnsi="Arial"/>
          <w:color w:val="475569"/>
          <w:sz w:val="22"/>
          <w:szCs w:val="22"/>
        </w:rPr>
        <w:t xml:space="preserve">Quantization converts floating-point weights or activations to lower-precision integers. This is the primary technique for reducing model memory and increasing throughput.</w:t>
      </w:r>
    </w:p>
    <w:p>
      <w:pPr>
        <w:pStyle w:val="ListParagraph"/>
        <w:numPr>
          <w:ilvl w:val="0"/>
          <w:numId w:val="2"/>
        </w:numPr>
        <w:spacing w:after="40" w:before="40"/>
      </w:pPr>
      <w:r>
        <w:rPr>
          <w:rFonts w:ascii="Arial" w:cs="Arial" w:eastAsia="Arial" w:hAnsi="Arial"/>
          <w:color w:val="475569"/>
          <w:sz w:val="22"/>
          <w:szCs w:val="22"/>
        </w:rPr>
        <w:t xml:space="preserve">Float32, float16, bfloat16, int8, int4 — the precision landscape</w:t>
      </w:r>
    </w:p>
    <w:p>
      <w:pPr>
        <w:pStyle w:val="ListParagraph"/>
        <w:numPr>
          <w:ilvl w:val="0"/>
          <w:numId w:val="2"/>
        </w:numPr>
        <w:spacing w:after="40" w:before="40"/>
      </w:pPr>
      <w:r>
        <w:rPr>
          <w:rFonts w:ascii="Arial" w:cs="Arial" w:eastAsia="Arial" w:hAnsi="Arial"/>
          <w:color w:val="475569"/>
          <w:sz w:val="22"/>
          <w:szCs w:val="22"/>
        </w:rPr>
        <w:t xml:space="preserve">Post-training quantization (PTQ) vs quantization-aware training (QAT)</w:t>
      </w:r>
    </w:p>
    <w:p>
      <w:pPr>
        <w:pStyle w:val="ListParagraph"/>
        <w:numPr>
          <w:ilvl w:val="0"/>
          <w:numId w:val="2"/>
        </w:numPr>
        <w:spacing w:after="40" w:before="40"/>
      </w:pPr>
      <w:r>
        <w:rPr>
          <w:rFonts w:ascii="Arial" w:cs="Arial" w:eastAsia="Arial" w:hAnsi="Arial"/>
          <w:color w:val="475569"/>
          <w:sz w:val="22"/>
          <w:szCs w:val="22"/>
        </w:rPr>
        <w:t xml:space="preserve">Weight quantization vs activation quantization — different challenges</w:t>
      </w:r>
    </w:p>
    <w:p>
      <w:pPr>
        <w:pStyle w:val="ListParagraph"/>
        <w:numPr>
          <w:ilvl w:val="0"/>
          <w:numId w:val="2"/>
        </w:numPr>
        <w:spacing w:after="40" w:before="40"/>
      </w:pPr>
      <w:r>
        <w:rPr>
          <w:rFonts w:ascii="Arial" w:cs="Arial" w:eastAsia="Arial" w:hAnsi="Arial"/>
          <w:color w:val="475569"/>
          <w:sz w:val="22"/>
          <w:szCs w:val="22"/>
        </w:rPr>
        <w:t xml:space="preserve">GPTQ, AWQ, and other modern approaches</w:t>
      </w:r>
    </w:p>
    <w:p>
      <w:pPr>
        <w:pStyle w:val="ListParagraph"/>
        <w:numPr>
          <w:ilvl w:val="0"/>
          <w:numId w:val="2"/>
        </w:numPr>
        <w:spacing w:after="40" w:before="40"/>
      </w:pPr>
      <w:r>
        <w:rPr>
          <w:rFonts w:ascii="Arial" w:cs="Arial" w:eastAsia="Arial" w:hAnsi="Arial"/>
          <w:color w:val="475569"/>
          <w:sz w:val="22"/>
          <w:szCs w:val="22"/>
        </w:rPr>
        <w:t xml:space="preserve">TurboQuant — near-optimal vector quantization with theoretical guarantees</w:t>
      </w:r>
    </w:p>
    <w:p>
      <w:pPr>
        <w:spacing w:after="0" w:before="120"/>
      </w:pPr>
      <w:r>
        <w:t xml:space="preserve"/>
      </w:r>
    </w:p>
    <w:p>
      <w:pPr>
        <w:pStyle w:val="Heading3"/>
        <w:spacing w:after="100" w:before="240"/>
      </w:pPr>
      <w:r>
        <w:rPr>
          <w:rFonts w:ascii="Arial" w:cs="Arial" w:eastAsia="Arial" w:hAnsi="Arial"/>
          <w:b/>
          <w:bCs/>
          <w:color w:val="1E293B"/>
          <w:sz w:val="24"/>
          <w:szCs w:val="24"/>
        </w:rPr>
        <w:t xml:space="preserve">6.2  KV cache compression</w:t>
      </w:r>
    </w:p>
    <w:p>
      <w:pPr>
        <w:spacing w:after="100" w:before="60"/>
      </w:pPr>
      <w:r>
        <w:rPr>
          <w:rFonts w:ascii="Arial" w:cs="Arial" w:eastAsia="Arial" w:hAnsi="Arial"/>
          <w:color w:val="475569"/>
          <w:sz w:val="22"/>
          <w:szCs w:val="22"/>
        </w:rPr>
        <w:t xml:space="preserve">The KV cache is often the dominant memory cost during long-context inference. Compressing it is one of the most active research areas in LLM efficiency.</w:t>
      </w:r>
    </w:p>
    <w:p>
      <w:pPr>
        <w:pStyle w:val="ListParagraph"/>
        <w:numPr>
          <w:ilvl w:val="0"/>
          <w:numId w:val="2"/>
        </w:numPr>
        <w:spacing w:after="40" w:before="40"/>
      </w:pPr>
      <w:r>
        <w:rPr>
          <w:rFonts w:ascii="Arial" w:cs="Arial" w:eastAsia="Arial" w:hAnsi="Arial"/>
          <w:color w:val="475569"/>
          <w:sz w:val="22"/>
          <w:szCs w:val="22"/>
        </w:rPr>
        <w:t xml:space="preserve">Why the KV cache grows linearly with context length</w:t>
      </w:r>
    </w:p>
    <w:p>
      <w:pPr>
        <w:pStyle w:val="ListParagraph"/>
        <w:numPr>
          <w:ilvl w:val="0"/>
          <w:numId w:val="2"/>
        </w:numPr>
        <w:spacing w:after="40" w:before="40"/>
      </w:pPr>
      <w:r>
        <w:rPr>
          <w:rFonts w:ascii="Arial" w:cs="Arial" w:eastAsia="Arial" w:hAnsi="Arial"/>
          <w:color w:val="475569"/>
          <w:sz w:val="22"/>
          <w:szCs w:val="22"/>
        </w:rPr>
        <w:t xml:space="preserve">Quantization of KV vectors — the TurboQuant use case</w:t>
      </w:r>
    </w:p>
    <w:p>
      <w:pPr>
        <w:pStyle w:val="ListParagraph"/>
        <w:numPr>
          <w:ilvl w:val="0"/>
          <w:numId w:val="2"/>
        </w:numPr>
        <w:spacing w:after="40" w:before="40"/>
      </w:pPr>
      <w:r>
        <w:rPr>
          <w:rFonts w:ascii="Arial" w:cs="Arial" w:eastAsia="Arial" w:hAnsi="Arial"/>
          <w:color w:val="475569"/>
          <w:sz w:val="22"/>
          <w:szCs w:val="22"/>
        </w:rPr>
        <w:t xml:space="preserve">Token eviction — dropping less important past tokens</w:t>
      </w:r>
    </w:p>
    <w:p>
      <w:pPr>
        <w:pStyle w:val="ListParagraph"/>
        <w:numPr>
          <w:ilvl w:val="0"/>
          <w:numId w:val="2"/>
        </w:numPr>
        <w:spacing w:after="40" w:before="40"/>
      </w:pPr>
      <w:r>
        <w:rPr>
          <w:rFonts w:ascii="Arial" w:cs="Arial" w:eastAsia="Arial" w:hAnsi="Arial"/>
          <w:color w:val="475569"/>
          <w:sz w:val="22"/>
          <w:szCs w:val="22"/>
        </w:rPr>
        <w:t xml:space="preserve">Multi-query and grouped-query attention — architectural approaches</w:t>
      </w:r>
    </w:p>
    <w:p>
      <w:pPr>
        <w:spacing w:after="0" w:before="120"/>
      </w:pPr>
      <w:r>
        <w:t xml:space="preserve"/>
      </w:r>
    </w:p>
    <w:p>
      <w:pPr>
        <w:pStyle w:val="Heading3"/>
        <w:spacing w:after="100" w:before="240"/>
      </w:pPr>
      <w:r>
        <w:rPr>
          <w:rFonts w:ascii="Arial" w:cs="Arial" w:eastAsia="Arial" w:hAnsi="Arial"/>
          <w:b/>
          <w:bCs/>
          <w:color w:val="1E293B"/>
          <w:sz w:val="24"/>
          <w:szCs w:val="24"/>
        </w:rPr>
        <w:t xml:space="preserve">6.3  Vector databases and search</w:t>
      </w:r>
    </w:p>
    <w:p>
      <w:pPr>
        <w:spacing w:after="100" w:before="60"/>
      </w:pPr>
      <w:r>
        <w:rPr>
          <w:rFonts w:ascii="Arial" w:cs="Arial" w:eastAsia="Arial" w:hAnsi="Arial"/>
          <w:color w:val="475569"/>
          <w:sz w:val="22"/>
          <w:szCs w:val="22"/>
        </w:rPr>
        <w:t xml:space="preserve">Embeddings are used to build searchable indexes over large corpora. Product quantization is the standard approach for compressing those indexes.</w:t>
      </w:r>
    </w:p>
    <w:p>
      <w:pPr>
        <w:pStyle w:val="ListParagraph"/>
        <w:numPr>
          <w:ilvl w:val="0"/>
          <w:numId w:val="2"/>
        </w:numPr>
        <w:spacing w:after="40" w:before="40"/>
      </w:pPr>
      <w:r>
        <w:rPr>
          <w:rFonts w:ascii="Arial" w:cs="Arial" w:eastAsia="Arial" w:hAnsi="Arial"/>
          <w:color w:val="475569"/>
          <w:sz w:val="22"/>
          <w:szCs w:val="22"/>
        </w:rPr>
        <w:t xml:space="preserve">How vector databases store and search embeddings</w:t>
      </w:r>
    </w:p>
    <w:p>
      <w:pPr>
        <w:pStyle w:val="ListParagraph"/>
        <w:numPr>
          <w:ilvl w:val="0"/>
          <w:numId w:val="2"/>
        </w:numPr>
        <w:spacing w:after="40" w:before="40"/>
      </w:pPr>
      <w:r>
        <w:rPr>
          <w:rFonts w:ascii="Arial" w:cs="Arial" w:eastAsia="Arial" w:hAnsi="Arial"/>
          <w:color w:val="475569"/>
          <w:sz w:val="22"/>
          <w:szCs w:val="22"/>
        </w:rPr>
        <w:t xml:space="preserve">Approximate nearest neighbor search — HNSW, IVF</w:t>
      </w:r>
    </w:p>
    <w:p>
      <w:pPr>
        <w:pStyle w:val="ListParagraph"/>
        <w:numPr>
          <w:ilvl w:val="0"/>
          <w:numId w:val="2"/>
        </w:numPr>
        <w:spacing w:after="40" w:before="40"/>
      </w:pPr>
      <w:r>
        <w:rPr>
          <w:rFonts w:ascii="Arial" w:cs="Arial" w:eastAsia="Arial" w:hAnsi="Arial"/>
          <w:color w:val="475569"/>
          <w:sz w:val="22"/>
          <w:szCs w:val="22"/>
        </w:rPr>
        <w:t xml:space="preserve">Product quantization — the traditional approach TurboQuant improves on</w:t>
      </w:r>
    </w:p>
    <w:p>
      <w:pPr>
        <w:pStyle w:val="ListParagraph"/>
        <w:numPr>
          <w:ilvl w:val="0"/>
          <w:numId w:val="2"/>
        </w:numPr>
        <w:spacing w:after="40" w:before="40"/>
      </w:pPr>
      <w:r>
        <w:rPr>
          <w:rFonts w:ascii="Arial" w:cs="Arial" w:eastAsia="Arial" w:hAnsi="Arial"/>
          <w:color w:val="475569"/>
          <w:sz w:val="22"/>
          <w:szCs w:val="22"/>
        </w:rPr>
        <w:t xml:space="preserve">Recall vs latency vs memory tradeoffs</w:t>
      </w:r>
    </w:p>
    <w:p>
      <w:pPr>
        <w:spacing w:after="0" w:before="120"/>
      </w:pPr>
      <w:r>
        <w:t xml:space="preserve"/>
      </w:r>
    </w:p>
    <w:p>
      <w:pPr>
        <w:pStyle w:val="Heading3"/>
        <w:spacing w:after="100" w:before="240"/>
      </w:pPr>
      <w:r>
        <w:rPr>
          <w:rFonts w:ascii="Arial" w:cs="Arial" w:eastAsia="Arial" w:hAnsi="Arial"/>
          <w:b/>
          <w:bCs/>
          <w:color w:val="1E293B"/>
          <w:sz w:val="24"/>
          <w:szCs w:val="24"/>
        </w:rPr>
        <w:t xml:space="preserve">6.4  Hardware and deployment</w:t>
      </w:r>
    </w:p>
    <w:p>
      <w:pPr>
        <w:pStyle w:val="ListParagraph"/>
        <w:numPr>
          <w:ilvl w:val="0"/>
          <w:numId w:val="2"/>
        </w:numPr>
        <w:spacing w:after="40" w:before="40"/>
      </w:pPr>
      <w:r>
        <w:rPr>
          <w:rFonts w:ascii="Arial" w:cs="Arial" w:eastAsia="Arial" w:hAnsi="Arial"/>
          <w:color w:val="475569"/>
          <w:sz w:val="22"/>
          <w:szCs w:val="22"/>
        </w:rPr>
        <w:t xml:space="preserve">GPU memory hierarchy — HBM vs SRAM and why it matters</w:t>
      </w:r>
    </w:p>
    <w:p>
      <w:pPr>
        <w:pStyle w:val="ListParagraph"/>
        <w:numPr>
          <w:ilvl w:val="0"/>
          <w:numId w:val="2"/>
        </w:numPr>
        <w:spacing w:after="40" w:before="40"/>
      </w:pPr>
      <w:r>
        <w:rPr>
          <w:rFonts w:ascii="Arial" w:cs="Arial" w:eastAsia="Arial" w:hAnsi="Arial"/>
          <w:color w:val="475569"/>
          <w:sz w:val="22"/>
          <w:szCs w:val="22"/>
        </w:rPr>
        <w:t xml:space="preserve">Memory bandwidth as the bottleneck during inference</w:t>
      </w:r>
    </w:p>
    <w:p>
      <w:pPr>
        <w:pStyle w:val="ListParagraph"/>
        <w:numPr>
          <w:ilvl w:val="0"/>
          <w:numId w:val="2"/>
        </w:numPr>
        <w:spacing w:after="40" w:before="40"/>
      </w:pPr>
      <w:r>
        <w:rPr>
          <w:rFonts w:ascii="Arial" w:cs="Arial" w:eastAsia="Arial" w:hAnsi="Arial"/>
          <w:color w:val="475569"/>
          <w:sz w:val="22"/>
          <w:szCs w:val="22"/>
        </w:rPr>
        <w:t xml:space="preserve">Tensor parallelism and pipeline parallelism</w:t>
      </w:r>
    </w:p>
    <w:p>
      <w:pPr>
        <w:pStyle w:val="ListParagraph"/>
        <w:numPr>
          <w:ilvl w:val="0"/>
          <w:numId w:val="2"/>
        </w:numPr>
        <w:spacing w:after="40" w:before="40"/>
      </w:pPr>
      <w:r>
        <w:rPr>
          <w:rFonts w:ascii="Arial" w:cs="Arial" w:eastAsia="Arial" w:hAnsi="Arial"/>
          <w:color w:val="475569"/>
          <w:sz w:val="22"/>
          <w:szCs w:val="22"/>
        </w:rPr>
        <w:t xml:space="preserve">Flash Attention — reordering operations to reduce memory movement</w:t>
      </w:r>
    </w:p>
    <w:p>
      <w:pPr>
        <w:pStyle w:val="ListParagraph"/>
        <w:numPr>
          <w:ilvl w:val="0"/>
          <w:numId w:val="2"/>
        </w:numPr>
        <w:spacing w:after="40" w:before="40"/>
      </w:pPr>
      <w:r>
        <w:rPr>
          <w:rFonts w:ascii="Arial" w:cs="Arial" w:eastAsia="Arial" w:hAnsi="Arial"/>
          <w:color w:val="475569"/>
          <w:sz w:val="22"/>
          <w:szCs w:val="22"/>
        </w:rPr>
        <w:t xml:space="preserve">Speculative decoding — using a small model to draft tokens</w:t>
      </w:r>
    </w:p>
    <w:p>
      <w:pPr>
        <w:spacing w:after="0" w:before="200"/>
      </w:pPr>
      <w:r>
        <w:t xml:space="preserve"/>
      </w:r>
    </w:p>
    <w:p>
      <w:r>
        <w:br w:type="page"/>
      </w:r>
    </w:p>
    <w:p>
      <w:pPr>
        <w:pStyle w:val="Heading2"/>
        <w:pBdr>
          <w:bottom w:val="single" w:color="1D4ED8" w:sz="4" w:space="4"/>
        </w:pBdr>
        <w:spacing w:after="160" w:before="360"/>
      </w:pPr>
      <w:r>
        <w:rPr>
          <w:rFonts w:ascii="Arial" w:cs="Arial" w:eastAsia="Arial" w:hAnsi="Arial"/>
          <w:b/>
          <w:bCs/>
          <w:color w:val="1D4ED8"/>
          <w:sz w:val="28"/>
          <w:szCs w:val="28"/>
        </w:rPr>
        <w:t xml:space="preserve">After Layer 6: reading research papers</w:t>
      </w:r>
    </w:p>
    <w:p>
      <w:pPr>
        <w:spacing w:after="100" w:before="60"/>
      </w:pPr>
      <w:r>
        <w:rPr>
          <w:rFonts w:ascii="Arial" w:cs="Arial" w:eastAsia="Arial" w:hAnsi="Arial"/>
          <w:color w:val="475569"/>
          <w:sz w:val="22"/>
          <w:szCs w:val="22"/>
        </w:rPr>
        <w:t xml:space="preserve">With all six layers complete, you will be able to open a paper like TurboQuant and follow the full argument: the problem definition, the algorithm, the proofs, and the experiments. That is the goal of this roadmap.</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EFF6FF" w:val="clear"/>
            <w:tcMar>
              <w:top w:type="dxa" w:w="120"/>
              <w:left w:type="dxa" w:w="180"/>
              <w:bottom w:type="dxa" w:w="80"/>
              <w:right w:type="dxa" w:w="180"/>
            </w:tcMar>
          </w:tcPr>
          <w:p>
            <w:pPr>
              <w:spacing w:after="80" w:before="0"/>
            </w:pPr>
            <w:r>
              <w:rPr>
                <w:rFonts w:ascii="Arial" w:cs="Arial" w:eastAsia="Arial" w:hAnsi="Arial"/>
                <w:b/>
                <w:bCs/>
                <w:color w:val="1D4ED8"/>
                <w:sz w:val="22"/>
                <w:szCs w:val="22"/>
              </w:rPr>
              <w:t xml:space="preserve">Papers to read in order</w:t>
            </w:r>
          </w:p>
          <w:p>
            <w:pPr>
              <w:spacing w:after="40" w:before="0"/>
            </w:pPr>
            <w:r>
              <w:rPr>
                <w:rFonts w:ascii="Arial" w:cs="Arial" w:eastAsia="Arial" w:hAnsi="Arial"/>
                <w:color w:val="475569"/>
                <w:sz w:val="21"/>
                <w:szCs w:val="21"/>
              </w:rPr>
              <w:t xml:space="preserve">1. 'Attention is All You Need' (Vaswani et al., 2017) — the original transformer</w:t>
            </w:r>
          </w:p>
          <w:p>
            <w:pPr>
              <w:spacing w:after="40" w:before="0"/>
            </w:pPr>
            <w:r>
              <w:rPr>
                <w:rFonts w:ascii="Arial" w:cs="Arial" w:eastAsia="Arial" w:hAnsi="Arial"/>
                <w:color w:val="475569"/>
                <w:sz w:val="21"/>
                <w:szCs w:val="21"/>
              </w:rPr>
              <w:t xml:space="preserve">2. 'Language Models are Few-Shot Learners' (Brown et al., 2020) — GPT-3</w:t>
            </w:r>
          </w:p>
          <w:p>
            <w:pPr>
              <w:spacing w:after="40" w:before="0"/>
            </w:pPr>
            <w:r>
              <w:rPr>
                <w:rFonts w:ascii="Arial" w:cs="Arial" w:eastAsia="Arial" w:hAnsi="Arial"/>
                <w:color w:val="475569"/>
                <w:sz w:val="21"/>
                <w:szCs w:val="21"/>
              </w:rPr>
              <w:t xml:space="preserve">3. 'Scaling Laws for Neural Language Models' (Kaplan et al., 2020)</w:t>
            </w:r>
          </w:p>
          <w:p>
            <w:pPr>
              <w:spacing w:after="40" w:before="0"/>
            </w:pPr>
            <w:r>
              <w:rPr>
                <w:rFonts w:ascii="Arial" w:cs="Arial" w:eastAsia="Arial" w:hAnsi="Arial"/>
                <w:color w:val="475569"/>
                <w:sz w:val="21"/>
                <w:szCs w:val="21"/>
              </w:rPr>
              <w:t xml:space="preserve">4. 'Product Quantization for Nearest Neighbor Search' (Jegou et al., 2011)</w:t>
            </w:r>
          </w:p>
          <w:p>
            <w:pPr>
              <w:spacing w:after="40" w:before="0"/>
            </w:pPr>
            <w:r>
              <w:rPr>
                <w:rFonts w:ascii="Arial" w:cs="Arial" w:eastAsia="Arial" w:hAnsi="Arial"/>
                <w:color w:val="475569"/>
                <w:sz w:val="21"/>
                <w:szCs w:val="21"/>
              </w:rPr>
              <w:t xml:space="preserve">5. 'GPTQ: Accurate Post-Training Quantization' (Frantar et al., 2022)</w:t>
            </w:r>
          </w:p>
          <w:p>
            <w:pPr>
              <w:spacing w:after="40" w:before="0"/>
            </w:pPr>
            <w:r>
              <w:rPr>
                <w:rFonts w:ascii="Arial" w:cs="Arial" w:eastAsia="Arial" w:hAnsi="Arial"/>
                <w:color w:val="475569"/>
                <w:sz w:val="21"/>
                <w:szCs w:val="21"/>
              </w:rPr>
              <w:t xml:space="preserve">6. 'TurboQuant: Online Vector Quantization with Near-optimal Distortion Rate' (2025)</w:t>
            </w:r>
          </w:p>
        </w:tc>
      </w:tr>
    </w:tbl>
    <w:p>
      <w:pPr>
        <w:spacing w:after="0" w:before="200"/>
      </w:pPr>
      <w:r>
        <w:t xml:space="preserve"/>
      </w:r>
    </w:p>
    <w:p>
      <w:pPr>
        <w:pStyle w:val="Heading2"/>
        <w:pBdr>
          <w:bottom w:val="single" w:color="1D4ED8" w:sz="4" w:space="4"/>
        </w:pBdr>
        <w:spacing w:after="160" w:before="360"/>
      </w:pPr>
      <w:r>
        <w:rPr>
          <w:rFonts w:ascii="Arial" w:cs="Arial" w:eastAsia="Arial" w:hAnsi="Arial"/>
          <w:b/>
          <w:bCs/>
          <w:color w:val="1D4ED8"/>
          <w:sz w:val="28"/>
          <w:szCs w:val="28"/>
        </w:rPr>
        <w:t xml:space="preserve">Estimated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736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Topics</w:t>
            </w:r>
          </w:p>
        </w:tc>
      </w:tr>
      <w:tr>
        <w:tc>
          <w:tcPr>
            <w:tcW w:type="dxa" w:w="200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tcPr>
          <w:p>
            <w:r>
              <w:rPr>
                <w:rFonts w:ascii="Arial" w:cs="Arial" w:eastAsia="Arial" w:hAnsi="Arial"/>
                <w:b/>
                <w:bCs/>
                <w:color w:val="1D4ED8"/>
                <w:sz w:val="21"/>
                <w:szCs w:val="21"/>
              </w:rPr>
              <w:t xml:space="preserve">Weeks 1-8</w:t>
            </w:r>
          </w:p>
          <w:p>
            <w:r>
              <w:rPr>
                <w:rFonts w:ascii="Arial" w:cs="Arial" w:eastAsia="Arial" w:hAnsi="Arial"/>
                <w:color w:val="94A3B8"/>
                <w:sz w:val="19"/>
                <w:szCs w:val="19"/>
              </w:rPr>
              <w:t xml:space="preserve">Layer 1</w:t>
            </w:r>
          </w:p>
        </w:tc>
        <w:tc>
          <w:tcPr>
            <w:tcW w:type="dxa" w:w="7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1"/>
                <w:szCs w:val="21"/>
              </w:rPr>
              <w:t xml:space="preserve">Linear algebra, calculus, probability, information theory</w:t>
            </w:r>
          </w:p>
        </w:tc>
      </w:tr>
      <w:tr>
        <w:tc>
          <w:tcPr>
            <w:tcW w:type="dxa" w:w="200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tcPr>
          <w:p>
            <w:r>
              <w:rPr>
                <w:rFonts w:ascii="Arial" w:cs="Arial" w:eastAsia="Arial" w:hAnsi="Arial"/>
                <w:b/>
                <w:bCs/>
                <w:color w:val="1D4ED8"/>
                <w:sz w:val="21"/>
                <w:szCs w:val="21"/>
              </w:rPr>
              <w:t xml:space="preserve">Weeks 9-13</w:t>
            </w:r>
          </w:p>
          <w:p>
            <w:r>
              <w:rPr>
                <w:rFonts w:ascii="Arial" w:cs="Arial" w:eastAsia="Arial" w:hAnsi="Arial"/>
                <w:color w:val="94A3B8"/>
                <w:sz w:val="19"/>
                <w:szCs w:val="19"/>
              </w:rPr>
              <w:t xml:space="preserve">Layer 2</w:t>
            </w:r>
          </w:p>
        </w:tc>
        <w:tc>
          <w:tcPr>
            <w:tcW w:type="dxa" w:w="7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1"/>
                <w:szCs w:val="21"/>
              </w:rPr>
              <w:t xml:space="preserve">Linear regression, gradient descent, overfitting, embeddings</w:t>
            </w:r>
          </w:p>
        </w:tc>
      </w:tr>
      <w:tr>
        <w:tc>
          <w:tcPr>
            <w:tcW w:type="dxa" w:w="200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tcPr>
          <w:p>
            <w:r>
              <w:rPr>
                <w:rFonts w:ascii="Arial" w:cs="Arial" w:eastAsia="Arial" w:hAnsi="Arial"/>
                <w:b/>
                <w:bCs/>
                <w:color w:val="1D4ED8"/>
                <w:sz w:val="21"/>
                <w:szCs w:val="21"/>
              </w:rPr>
              <w:t xml:space="preserve">Weeks 14-19</w:t>
            </w:r>
          </w:p>
          <w:p>
            <w:r>
              <w:rPr>
                <w:rFonts w:ascii="Arial" w:cs="Arial" w:eastAsia="Arial" w:hAnsi="Arial"/>
                <w:color w:val="94A3B8"/>
                <w:sz w:val="19"/>
                <w:szCs w:val="19"/>
              </w:rPr>
              <w:t xml:space="preserve">Layer 3</w:t>
            </w:r>
          </w:p>
        </w:tc>
        <w:tc>
          <w:tcPr>
            <w:tcW w:type="dxa" w:w="7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1"/>
                <w:szCs w:val="21"/>
              </w:rPr>
              <w:t xml:space="preserve">Neural networks, backpropagation, CNNs, RNNs</w:t>
            </w:r>
          </w:p>
        </w:tc>
      </w:tr>
      <w:tr>
        <w:tc>
          <w:tcPr>
            <w:tcW w:type="dxa" w:w="200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tcPr>
          <w:p>
            <w:r>
              <w:rPr>
                <w:rFonts w:ascii="Arial" w:cs="Arial" w:eastAsia="Arial" w:hAnsi="Arial"/>
                <w:b/>
                <w:bCs/>
                <w:color w:val="1D4ED8"/>
                <w:sz w:val="21"/>
                <w:szCs w:val="21"/>
              </w:rPr>
              <w:t xml:space="preserve">Weeks 20-25</w:t>
            </w:r>
          </w:p>
          <w:p>
            <w:r>
              <w:rPr>
                <w:rFonts w:ascii="Arial" w:cs="Arial" w:eastAsia="Arial" w:hAnsi="Arial"/>
                <w:color w:val="94A3B8"/>
                <w:sz w:val="19"/>
                <w:szCs w:val="19"/>
              </w:rPr>
              <w:t xml:space="preserve">Layer 4</w:t>
            </w:r>
          </w:p>
        </w:tc>
        <w:tc>
          <w:tcPr>
            <w:tcW w:type="dxa" w:w="7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1"/>
                <w:szCs w:val="21"/>
              </w:rPr>
              <w:t xml:space="preserve">Attention, multi-head attention, full transformer, encoder vs decoder</w:t>
            </w:r>
          </w:p>
        </w:tc>
      </w:tr>
      <w:tr>
        <w:tc>
          <w:tcPr>
            <w:tcW w:type="dxa" w:w="200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tcPr>
          <w:p>
            <w:r>
              <w:rPr>
                <w:rFonts w:ascii="Arial" w:cs="Arial" w:eastAsia="Arial" w:hAnsi="Arial"/>
                <w:b/>
                <w:bCs/>
                <w:color w:val="1D4ED8"/>
                <w:sz w:val="21"/>
                <w:szCs w:val="21"/>
              </w:rPr>
              <w:t xml:space="preserve">Weeks 26-29</w:t>
            </w:r>
          </w:p>
          <w:p>
            <w:r>
              <w:rPr>
                <w:rFonts w:ascii="Arial" w:cs="Arial" w:eastAsia="Arial" w:hAnsi="Arial"/>
                <w:color w:val="94A3B8"/>
                <w:sz w:val="19"/>
                <w:szCs w:val="19"/>
              </w:rPr>
              <w:t xml:space="preserve">Layer 5</w:t>
            </w:r>
          </w:p>
        </w:tc>
        <w:tc>
          <w:tcPr>
            <w:tcW w:type="dxa" w:w="7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1"/>
                <w:szCs w:val="21"/>
              </w:rPr>
              <w:t xml:space="preserve">Tokenization, pre-training, fine-tuning, inference, KV cache</w:t>
            </w:r>
          </w:p>
        </w:tc>
      </w:tr>
      <w:tr>
        <w:tc>
          <w:tcPr>
            <w:tcW w:type="dxa" w:w="200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tcPr>
          <w:p>
            <w:r>
              <w:rPr>
                <w:rFonts w:ascii="Arial" w:cs="Arial" w:eastAsia="Arial" w:hAnsi="Arial"/>
                <w:b/>
                <w:bCs/>
                <w:color w:val="1D4ED8"/>
                <w:sz w:val="21"/>
                <w:szCs w:val="21"/>
              </w:rPr>
              <w:t xml:space="preserve">Weeks 30-34</w:t>
            </w:r>
          </w:p>
          <w:p>
            <w:r>
              <w:rPr>
                <w:rFonts w:ascii="Arial" w:cs="Arial" w:eastAsia="Arial" w:hAnsi="Arial"/>
                <w:color w:val="94A3B8"/>
                <w:sz w:val="19"/>
                <w:szCs w:val="19"/>
              </w:rPr>
              <w:t xml:space="preserve">Layer 6</w:t>
            </w:r>
          </w:p>
        </w:tc>
        <w:tc>
          <w:tcPr>
            <w:tcW w:type="dxa" w:w="7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1"/>
                <w:szCs w:val="21"/>
              </w:rPr>
              <w:t xml:space="preserve">Quantization, KV cache compression, vector databases, hardware</w:t>
            </w:r>
          </w:p>
        </w:tc>
      </w:tr>
    </w:tbl>
    <w:p>
      <w:pPr>
        <w:spacing w:after="0" w:before="80"/>
      </w:pPr>
      <w:r>
        <w:t xml:space="preserve"/>
      </w:r>
    </w:p>
    <w:p>
      <w:pPr>
        <w:spacing w:after="100" w:before="60"/>
      </w:pPr>
      <w:r>
        <w:rPr>
          <w:rFonts w:ascii="Arial" w:cs="Arial" w:eastAsia="Arial" w:hAnsi="Arial"/>
          <w:i/>
          <w:iCs/>
          <w:color w:val="94A3B8"/>
          <w:sz w:val="22"/>
          <w:szCs w:val="22"/>
        </w:rPr>
        <w:t xml:space="preserve">These are estimates for someone studying part-time (~1-2 hours per day). With more time, each layer can be completed faster. The timeline is less important than the depth — move to the next layer when you can explain the current one, not just when the weeks have passed.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E293B"/>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1D4ED8"/>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1E293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2026-04-19T20:12:08.186Z</dcterms:created>
  <dcterms:modified xsi:type="dcterms:W3CDTF">2026-04-19T20:12:08.186Z</dcterms:modified>
</cp:coreProperties>
</file>

<file path=docProps/custom.xml><?xml version="1.0" encoding="utf-8"?>
<Properties xmlns="http://schemas.openxmlformats.org/officeDocument/2006/custom-properties" xmlns:vt="http://schemas.openxmlformats.org/officeDocument/2006/docPropsVTypes"/>
</file>