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47E" w:rsidRPr="0008647E" w:rsidRDefault="0008647E" w:rsidP="0008647E">
      <w:pPr>
        <w:spacing w:before="100" w:beforeAutospacing="1" w:after="100" w:afterAutospacing="1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  <w:t>FICHE DE PROJET</w:t>
      </w:r>
    </w:p>
    <w:p w:rsidR="0008647E" w:rsidRPr="0008647E" w:rsidRDefault="0008647E" w:rsidP="0008647E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Intégration des interventions de la DNOSP dans le PTCEE</w:t>
      </w:r>
    </w:p>
    <w:p w:rsidR="0008647E" w:rsidRP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1. Informations générales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52"/>
        <w:gridCol w:w="6810"/>
      </w:tblGrid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Intitulé du projet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Intégration des services d’orientation scolaire et professionnelle dans le PTCEE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Projet de rattachement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Projet Compétences pour la Transformation Économique et l’Emploi (PTCEE)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Institution porteuse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Ministère de l’Éducation Nationale et Nouvelle Citoyenneté (MEN-NC)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Structure responsable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Direction Nationale d’Orientation Scolaire et Professionnelle (DNOSP)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Partenaires clés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MFP, MESU, METPS, UGP/PEQIP, Secteur privé, ONG, Partenaires techniques et financiers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Zone d’intervention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National avec mise en œuvre progressive dans les provinces ciblées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Durée indicative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5 ans (alignée sur la durée du PTCEE)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Bénéficiaires directs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Élèves, étudiants, jeunes NEET, apprenants TVET, jeunes entrepreneurs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Bénéficiaires indirects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Établissements de formation, entreprises, communautés locales</w:t>
            </w:r>
          </w:p>
        </w:tc>
      </w:tr>
    </w:tbl>
    <w:p w:rsidR="0008647E" w:rsidRP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2. Contexte et justification</w:t>
      </w:r>
    </w:p>
    <w:p w:rsidR="0008647E" w:rsidRPr="0008647E" w:rsidRDefault="0008647E" w:rsidP="0008647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La République Démocratique du Congo fait face à une </w:t>
      </w: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inadéquation persistante entre les formations offertes et les besoins du marché du travail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>, avec une proportion importante de jeunes sans emploi ou en situation de NEET (ni en éducation, ni en emploi, ni en formation). Le PTCEE vise à renforcer les systèmes de développement des compétences afin de favoriser des emplois meilleurs et plus inclusifs.</w:t>
      </w:r>
    </w:p>
    <w:p w:rsidR="0008647E" w:rsidRPr="0008647E" w:rsidRDefault="0008647E" w:rsidP="0008647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Dans ce contexte, la </w:t>
      </w: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DNOSP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joue un rôle stratégique pour :</w:t>
      </w:r>
    </w:p>
    <w:p w:rsidR="0008647E" w:rsidRPr="0008647E" w:rsidRDefault="0008647E" w:rsidP="00086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Faciliter la transition </w:t>
      </w: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école–formation–emploi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; </w:t>
      </w:r>
    </w:p>
    <w:p w:rsidR="0008647E" w:rsidRPr="0008647E" w:rsidRDefault="0008647E" w:rsidP="00086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Orienter les jeunes vers les </w:t>
      </w: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secteurs prioritaires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(énergie, mines, agriculture, numérique, transport/logistique) ; </w:t>
      </w:r>
    </w:p>
    <w:p w:rsidR="0008647E" w:rsidRPr="0008647E" w:rsidRDefault="0008647E" w:rsidP="00086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Contribuer à l’atteinte des </w:t>
      </w: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indicateurs d’insertion professionnelle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; </w:t>
      </w:r>
    </w:p>
    <w:p w:rsidR="0008647E" w:rsidRPr="0008647E" w:rsidRDefault="0008647E" w:rsidP="00086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>Promouvoir l’</w:t>
      </w: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équité et l’inclusion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. </w:t>
      </w:r>
    </w:p>
    <w:p w:rsidR="0008647E" w:rsidRP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3. Objectif général</w:t>
      </w:r>
    </w:p>
    <w:p w:rsidR="0008647E" w:rsidRPr="0008647E" w:rsidRDefault="0008647E" w:rsidP="0008647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Contribuer à l’amélioration de l’employabilité et de l’insertion professionnelle des jeunes en renforçant les services d’orientation scolaire et professionnelle dans le cadre du PTCEE.</w:t>
      </w:r>
    </w:p>
    <w:p w:rsidR="0008647E" w:rsidRP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4. Objectifs spécifiques</w:t>
      </w:r>
    </w:p>
    <w:p w:rsidR="0008647E" w:rsidRPr="0008647E" w:rsidRDefault="0008647E" w:rsidP="00086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Orienter les jeunes vers des filières de formation alignées sur les besoins du marché du travail. </w:t>
      </w:r>
    </w:p>
    <w:p w:rsidR="0008647E" w:rsidRPr="0008647E" w:rsidRDefault="0008647E" w:rsidP="00086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lastRenderedPageBreak/>
        <w:t xml:space="preserve">Renforcer les services d’information et de conseil en orientation scolaire et professionnelle. </w:t>
      </w:r>
    </w:p>
    <w:p w:rsidR="0008647E" w:rsidRPr="0008647E" w:rsidRDefault="0008647E" w:rsidP="00086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Faciliter l’insertion professionnelle et l’entrepreneuriat des bénéficiaires. </w:t>
      </w:r>
    </w:p>
    <w:p w:rsidR="0008647E" w:rsidRPr="0008647E" w:rsidRDefault="0008647E" w:rsidP="00086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Contribuer au système d’information sur le marché du travail et au suivi des diplômés. </w:t>
      </w:r>
    </w:p>
    <w:p w:rsidR="0008647E" w:rsidRPr="0008647E" w:rsidRDefault="0008647E" w:rsidP="00086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Promouvoir l’inclusion des filles, des jeunes vulnérables et des personnes en situation de handicap. </w:t>
      </w:r>
    </w:p>
    <w:p w:rsidR="0008647E" w:rsidRP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5. Résultats attendus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6842"/>
      </w:tblGrid>
      <w:tr w:rsidR="0008647E" w:rsidRPr="0008647E" w:rsidTr="000864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47E" w:rsidRPr="0008647E" w:rsidRDefault="0008647E" w:rsidP="0008647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Résultat</w:t>
            </w:r>
          </w:p>
        </w:tc>
        <w:tc>
          <w:tcPr>
            <w:tcW w:w="0" w:type="auto"/>
            <w:vAlign w:val="center"/>
            <w:hideMark/>
          </w:tcPr>
          <w:p w:rsidR="0008647E" w:rsidRPr="0008647E" w:rsidRDefault="0008647E" w:rsidP="0008647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08647E" w:rsidRPr="0008647E" w:rsidTr="00086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47E" w:rsidRPr="0008647E" w:rsidRDefault="0008647E" w:rsidP="0008647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08647E" w:rsidRPr="0008647E" w:rsidRDefault="0008647E" w:rsidP="0008647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Les jeunes bénéficient de services d’orientation accessibles et de qualité.</w:t>
            </w:r>
          </w:p>
        </w:tc>
      </w:tr>
      <w:tr w:rsidR="0008647E" w:rsidRPr="0008647E" w:rsidTr="00086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47E" w:rsidRPr="0008647E" w:rsidRDefault="0008647E" w:rsidP="0008647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08647E" w:rsidRPr="0008647E" w:rsidRDefault="0008647E" w:rsidP="0008647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Les apprenants sont orientés vers les secteurs économiques prioritaires.</w:t>
            </w:r>
          </w:p>
        </w:tc>
      </w:tr>
      <w:tr w:rsidR="0008647E" w:rsidRPr="0008647E" w:rsidTr="00086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47E" w:rsidRPr="0008647E" w:rsidRDefault="0008647E" w:rsidP="0008647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08647E" w:rsidRPr="0008647E" w:rsidRDefault="0008647E" w:rsidP="0008647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Les dispositifs d’insertion professionnelle sont renforcés.</w:t>
            </w:r>
          </w:p>
        </w:tc>
      </w:tr>
      <w:tr w:rsidR="0008647E" w:rsidRPr="0008647E" w:rsidTr="00086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47E" w:rsidRPr="0008647E" w:rsidRDefault="0008647E" w:rsidP="0008647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08647E" w:rsidRPr="0008647E" w:rsidRDefault="0008647E" w:rsidP="0008647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Un système d’information sur l’orientation et l’insertion est opérationnel.</w:t>
            </w:r>
          </w:p>
        </w:tc>
      </w:tr>
      <w:tr w:rsidR="0008647E" w:rsidRPr="0008647E" w:rsidTr="00086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47E" w:rsidRPr="0008647E" w:rsidRDefault="0008647E" w:rsidP="0008647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08647E" w:rsidRPr="0008647E" w:rsidRDefault="0008647E" w:rsidP="0008647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L’accès équitable des filles et des groupes vulnérables est amélioré.</w:t>
            </w:r>
          </w:p>
        </w:tc>
      </w:tr>
    </w:tbl>
    <w:p w:rsidR="0008647E" w:rsidRP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6. Composantes et interventions de la DNOSP</w:t>
      </w:r>
    </w:p>
    <w:p w:rsidR="0008647E" w:rsidRPr="0008647E" w:rsidRDefault="0008647E" w:rsidP="0008647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Garamond"/>
          <w:b/>
          <w:bCs/>
          <w:sz w:val="24"/>
          <w:szCs w:val="24"/>
          <w:lang w:eastAsia="fr-FR"/>
        </w:rPr>
        <w:t>🟩</w:t>
      </w: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Composante 1 : Accès aux compétences (TVET/EFTP et Académie d’Inga)</w:t>
      </w:r>
    </w:p>
    <w:p w:rsidR="0008647E" w:rsidRPr="0008647E" w:rsidRDefault="0008647E" w:rsidP="0008647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Interventions :</w:t>
      </w:r>
    </w:p>
    <w:p w:rsidR="0008647E" w:rsidRPr="0008647E" w:rsidRDefault="0008647E" w:rsidP="000864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Mise en place de </w:t>
      </w: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cellules d’orientation et d’insertion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dans les établissements. </w:t>
      </w:r>
    </w:p>
    <w:p w:rsidR="0008647E" w:rsidRPr="0008647E" w:rsidRDefault="0008647E" w:rsidP="000864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Organisation de séances d’information et de sensibilisation. </w:t>
      </w:r>
    </w:p>
    <w:p w:rsidR="0008647E" w:rsidRPr="0008647E" w:rsidRDefault="0008647E" w:rsidP="000864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Administration de tests d’intérêts et d’aptitudes. </w:t>
      </w:r>
    </w:p>
    <w:p w:rsidR="0008647E" w:rsidRPr="0008647E" w:rsidRDefault="0008647E" w:rsidP="000864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Appui à la sélection et à l’affectation des bénéficiaires. </w:t>
      </w:r>
    </w:p>
    <w:p w:rsidR="0008647E" w:rsidRPr="0008647E" w:rsidRDefault="0008647E" w:rsidP="000864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Suivi des apprenants durant leur formation. </w:t>
      </w:r>
    </w:p>
    <w:p w:rsidR="0008647E" w:rsidRPr="0008647E" w:rsidRDefault="0008647E" w:rsidP="0008647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Garamond"/>
          <w:b/>
          <w:bCs/>
          <w:sz w:val="24"/>
          <w:szCs w:val="24"/>
          <w:lang w:eastAsia="fr-FR"/>
        </w:rPr>
        <w:t>🟩</w:t>
      </w: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Composante 2 : Employabilité et entrepreneuriat</w:t>
      </w:r>
    </w:p>
    <w:p w:rsidR="0008647E" w:rsidRPr="0008647E" w:rsidRDefault="0008647E" w:rsidP="0008647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Interventions :</w:t>
      </w:r>
    </w:p>
    <w:p w:rsidR="0008647E" w:rsidRPr="0008647E" w:rsidRDefault="0008647E" w:rsidP="000864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Accompagnement à l’élaboration de projets professionnels. </w:t>
      </w:r>
    </w:p>
    <w:p w:rsidR="0008647E" w:rsidRPr="0008647E" w:rsidRDefault="0008647E" w:rsidP="000864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Orientation vers l’emploi salarié ou l’auto-emploi. </w:t>
      </w:r>
    </w:p>
    <w:p w:rsidR="0008647E" w:rsidRPr="0008647E" w:rsidRDefault="0008647E" w:rsidP="000864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Organisation de forums métiers et de stages. </w:t>
      </w:r>
    </w:p>
    <w:p w:rsidR="0008647E" w:rsidRPr="0008647E" w:rsidRDefault="0008647E" w:rsidP="000864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Mise en relation avec les entreprises. </w:t>
      </w:r>
    </w:p>
    <w:p w:rsidR="0008647E" w:rsidRPr="0008647E" w:rsidRDefault="0008647E" w:rsidP="000864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Suivi post-formation des bénéficiaires. </w:t>
      </w:r>
    </w:p>
    <w:p w:rsidR="0008647E" w:rsidRPr="0008647E" w:rsidRDefault="0008647E" w:rsidP="0008647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Garamond"/>
          <w:b/>
          <w:bCs/>
          <w:sz w:val="24"/>
          <w:szCs w:val="24"/>
          <w:lang w:eastAsia="fr-FR"/>
        </w:rPr>
        <w:t>🟩</w:t>
      </w: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 xml:space="preserve"> Composante 3 : Renforcement des systèmes de compétences</w:t>
      </w:r>
    </w:p>
    <w:p w:rsidR="0008647E" w:rsidRPr="0008647E" w:rsidRDefault="0008647E" w:rsidP="0008647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Interventions :</w:t>
      </w:r>
    </w:p>
    <w:p w:rsidR="0008647E" w:rsidRPr="0008647E" w:rsidRDefault="0008647E" w:rsidP="000864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Contribution au </w:t>
      </w: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Système d’Information sur le Marché du Travail (SIMT)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. </w:t>
      </w:r>
    </w:p>
    <w:p w:rsidR="0008647E" w:rsidRPr="0008647E" w:rsidRDefault="0008647E" w:rsidP="000864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Élaboration d’un </w:t>
      </w: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répertoire national des métiers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. </w:t>
      </w:r>
    </w:p>
    <w:p w:rsidR="0008647E" w:rsidRPr="0008647E" w:rsidRDefault="0008647E" w:rsidP="000864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Collecte et analyse des données sur l’insertion professionnelle. </w:t>
      </w:r>
    </w:p>
    <w:p w:rsidR="0008647E" w:rsidRPr="0008647E" w:rsidRDefault="0008647E" w:rsidP="000864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Participation à l’harmonisation des référentiels de compétences. </w:t>
      </w:r>
    </w:p>
    <w:p w:rsid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sz w:val="24"/>
          <w:szCs w:val="24"/>
          <w:lang w:eastAsia="fr-FR"/>
        </w:rPr>
      </w:pPr>
    </w:p>
    <w:p w:rsidR="0008647E" w:rsidRP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lastRenderedPageBreak/>
        <w:t>7. Stratégie de mise en œuvre</w:t>
      </w:r>
    </w:p>
    <w:p w:rsidR="0008647E" w:rsidRPr="0008647E" w:rsidRDefault="0008647E" w:rsidP="0008647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7.1. Approche opérationnelle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93"/>
        <w:gridCol w:w="6769"/>
      </w:tblGrid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Étape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1. Information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Sensibilisation des jeunes sur les opportunités de formation et d’emploi.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2. Orientation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Évaluation des intérêts et aptitudes et orientation vers les filières adaptées.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3. Accompagnement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Suivi des bénéficiaires pendant la formation.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4. Insertion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Mise en relation avec les employeurs et appui à l’entrepreneuriat.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5. Suivi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Traçabilité des diplômés et évaluation de l’impact.</w:t>
            </w:r>
          </w:p>
        </w:tc>
      </w:tr>
    </w:tbl>
    <w:p w:rsidR="0008647E" w:rsidRP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8. Dispositif institutionnel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2"/>
        <w:gridCol w:w="5273"/>
      </w:tblGrid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Niveau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Rôle de la DNOSP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Comité de Pilotage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Contribution stratégique et validation des orientations.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Comité Technique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Coordination technique des activités d’orientation.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UGP/PEQIP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Planification, financement et suivi opérationnel.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Niveau provincial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Supervision et coordination des services d’orientation.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Niveau local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Mise en œuvre directe des activités d’orientation.</w:t>
            </w:r>
          </w:p>
        </w:tc>
      </w:tr>
    </w:tbl>
    <w:p w:rsidR="0008647E" w:rsidRP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9. Activités principales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4"/>
        <w:gridCol w:w="6460"/>
      </w:tblGrid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N°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Activités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A1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Élaboration des outils et guides d’orientation.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A2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Formation des conseillers d’orientation.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A3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Mise en place de cellules d’orientation dans les établissements.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A4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Organisation de campagnes d’information et de forums métiers.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A5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Développement d’un système numérique de suivi des bénéficiaires.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A6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Collecte et analyse des données d’insertion professionnelle.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A7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Sensibilisation pour l’inclusion des filles et des groupes vulnérables.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A8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Renforcement des partenariats avec le secteur privé.</w:t>
            </w:r>
          </w:p>
        </w:tc>
      </w:tr>
    </w:tbl>
    <w:p w:rsidR="0008647E" w:rsidRP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10. Indicateurs de performance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69"/>
        <w:gridCol w:w="2671"/>
      </w:tblGrid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Indicateur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Source de vérification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Nombre de jeunes orientés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Rapports DNOSP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Nombre de cellules d’orientation créées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Rapports institutionnels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Taux d’insertion professionnelle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Enquêtes de suivi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Nombre de jeunes NEET accompagnés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Base de données du projet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Pourcentage de femmes bénéficiaires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Rapports de suivi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Nombre de partenariats avec les entreprises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Protocoles d’accord</w:t>
            </w:r>
          </w:p>
        </w:tc>
      </w:tr>
    </w:tbl>
    <w:p w:rsidR="0008647E" w:rsidRP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11. Chronogramme indicatif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99"/>
        <w:gridCol w:w="1019"/>
        <w:gridCol w:w="1037"/>
        <w:gridCol w:w="1037"/>
        <w:gridCol w:w="1037"/>
        <w:gridCol w:w="1037"/>
      </w:tblGrid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Activités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Année 1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Année 2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Année 3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Année 4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Année 5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Planification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✔</w:t>
            </w: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lastRenderedPageBreak/>
              <w:t>Mise en place des outils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✔</w:t>
            </w: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✔</w:t>
            </w: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Formation des conseillers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✔</w:t>
            </w: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✔</w:t>
            </w: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✔</w:t>
            </w: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Déploiement des services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✔</w:t>
            </w: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✔</w:t>
            </w: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✔</w:t>
            </w: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✔</w:t>
            </w: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️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Suivi et évaluation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✔</w:t>
            </w: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✔</w:t>
            </w: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✔</w:t>
            </w: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✔</w:t>
            </w: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️</w:t>
            </w:r>
          </w:p>
        </w:tc>
      </w:tr>
    </w:tbl>
    <w:p w:rsidR="0008647E" w:rsidRP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12. Budget indicatif (exemple)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43"/>
        <w:gridCol w:w="2381"/>
      </w:tblGrid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Rubrique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Coût estimatif (USD)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Formation des conseillers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2 000 000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Mise en place des cellules d’orientation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3 000 000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Développement du système d’information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1 500 000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Campagnes de sensibilisation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1 000 000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Suivi et évaluation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500 000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Total estimatif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8 000 000</w:t>
            </w:r>
          </w:p>
        </w:tc>
      </w:tr>
    </w:tbl>
    <w:p w:rsidR="0008647E" w:rsidRPr="0008647E" w:rsidRDefault="0008647E" w:rsidP="0008647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i/>
          <w:iCs/>
          <w:sz w:val="24"/>
          <w:szCs w:val="24"/>
          <w:lang w:eastAsia="fr-FR"/>
        </w:rPr>
        <w:t>(Le budget sera ajusté en fonction des allocations du PTCEE.)</w:t>
      </w:r>
    </w:p>
    <w:p w:rsidR="0008647E" w:rsidRP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13. Analyse des risques et mesures d’atténuation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96"/>
        <w:gridCol w:w="5281"/>
      </w:tblGrid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Risques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b/>
                <w:bCs/>
                <w:sz w:val="24"/>
                <w:szCs w:val="24"/>
                <w:lang w:eastAsia="fr-FR"/>
              </w:rPr>
              <w:t>Mesures d’atténuation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Faible coordination institutionnelle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Mise en place de mécanismes de concertation réguliers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Insuffisance de ressources humaines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Formation et recrutement de conseillers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Manque de données fiables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Développement d’un système d’information intégré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Résistance socioculturelle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Sensibilisation des communautés</w:t>
            </w:r>
          </w:p>
        </w:tc>
      </w:tr>
      <w:tr w:rsidR="0008647E" w:rsidRPr="0008647E" w:rsidTr="0008647E"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Faible participation des filles</w:t>
            </w:r>
          </w:p>
        </w:tc>
        <w:tc>
          <w:tcPr>
            <w:tcW w:w="0" w:type="auto"/>
            <w:hideMark/>
          </w:tcPr>
          <w:p w:rsidR="0008647E" w:rsidRPr="0008647E" w:rsidRDefault="0008647E" w:rsidP="0008647E">
            <w:pPr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</w:pPr>
            <w:r w:rsidRPr="0008647E">
              <w:rPr>
                <w:rFonts w:ascii="Garamond" w:eastAsia="Times New Roman" w:hAnsi="Garamond" w:cs="Times New Roman"/>
                <w:sz w:val="24"/>
                <w:szCs w:val="24"/>
                <w:lang w:eastAsia="fr-FR"/>
              </w:rPr>
              <w:t>Programmes spécifiques d’inclusion</w:t>
            </w:r>
          </w:p>
        </w:tc>
      </w:tr>
    </w:tbl>
    <w:p w:rsidR="0008647E" w:rsidRP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14. Durabilité du projet</w:t>
      </w:r>
    </w:p>
    <w:p w:rsidR="0008647E" w:rsidRPr="0008647E" w:rsidRDefault="0008647E" w:rsidP="000864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Intégration institutionnelle de la DNOSP dans les politiques publiques. </w:t>
      </w:r>
    </w:p>
    <w:p w:rsidR="0008647E" w:rsidRPr="0008647E" w:rsidRDefault="0008647E" w:rsidP="000864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Renforcement des capacités nationales. </w:t>
      </w:r>
    </w:p>
    <w:p w:rsidR="0008647E" w:rsidRPr="0008647E" w:rsidRDefault="0008647E" w:rsidP="000864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Appropriation par les ministères sectoriels. </w:t>
      </w:r>
    </w:p>
    <w:p w:rsidR="0008647E" w:rsidRPr="0008647E" w:rsidRDefault="0008647E" w:rsidP="000864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Utilisation de systèmes numériques pérennes. </w:t>
      </w:r>
    </w:p>
    <w:p w:rsidR="0008647E" w:rsidRPr="0008647E" w:rsidRDefault="0008647E" w:rsidP="000864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Partenariats durables avec le secteur privé. </w:t>
      </w:r>
    </w:p>
    <w:p w:rsidR="0008647E" w:rsidRP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15. Partenaires clés</w:t>
      </w:r>
    </w:p>
    <w:p w:rsidR="0008647E" w:rsidRPr="0008647E" w:rsidRDefault="0008647E" w:rsidP="000864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Ministère de la Formation Professionnelle (MFP)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</w:t>
      </w:r>
    </w:p>
    <w:p w:rsidR="0008647E" w:rsidRPr="0008647E" w:rsidRDefault="0008647E" w:rsidP="000864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Ministère de l’Éducation Nationale et Nouvelle Citoyenneté (MEN-NC)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</w:t>
      </w:r>
    </w:p>
    <w:p w:rsidR="0008647E" w:rsidRPr="0008647E" w:rsidRDefault="0008647E" w:rsidP="000864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Ministère de l’Enseignement Supérieur et Universitaire (MESU)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</w:t>
      </w:r>
    </w:p>
    <w:p w:rsidR="0008647E" w:rsidRPr="0008647E" w:rsidRDefault="0008647E" w:rsidP="000864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Ministère de l’Emploi, Travail et Prévoyance Sociale (METPS)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</w:t>
      </w:r>
    </w:p>
    <w:p w:rsidR="0008647E" w:rsidRPr="0008647E" w:rsidRDefault="0008647E" w:rsidP="000864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UGP/PEQIP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</w:t>
      </w:r>
    </w:p>
    <w:p w:rsidR="0008647E" w:rsidRPr="0008647E" w:rsidRDefault="0008647E" w:rsidP="000864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Secteur privé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</w:t>
      </w:r>
    </w:p>
    <w:p w:rsidR="0008647E" w:rsidRPr="0008647E" w:rsidRDefault="0008647E" w:rsidP="000864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Partenaires techniques et financiers (ex. Banque mondiale)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</w:t>
      </w:r>
    </w:p>
    <w:p w:rsidR="0008647E" w:rsidRPr="0008647E" w:rsidRDefault="0008647E" w:rsidP="0008647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16. Mécanisme de suivi-évaluation</w:t>
      </w:r>
    </w:p>
    <w:p w:rsidR="0008647E" w:rsidRPr="0008647E" w:rsidRDefault="0008647E" w:rsidP="000864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Mise en place d’une </w:t>
      </w: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base de données nationale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des bénéficiaires. </w:t>
      </w:r>
    </w:p>
    <w:p w:rsidR="0008647E" w:rsidRPr="0008647E" w:rsidRDefault="0008647E" w:rsidP="000864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Enquêtes d’insertion à 6 et 12 mois. </w:t>
      </w:r>
    </w:p>
    <w:p w:rsidR="0008647E" w:rsidRPr="0008647E" w:rsidRDefault="0008647E" w:rsidP="000864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Rapports semestriels et annuels. </w:t>
      </w:r>
    </w:p>
    <w:p w:rsidR="0008647E" w:rsidRPr="0008647E" w:rsidRDefault="0008647E" w:rsidP="000864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lastRenderedPageBreak/>
        <w:t xml:space="preserve">Évaluations à mi-parcours et finale. </w:t>
      </w:r>
    </w:p>
    <w:p w:rsidR="0008647E" w:rsidRPr="0008647E" w:rsidRDefault="0008647E" w:rsidP="000864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Tableaux de bord pour la prise de décision. </w:t>
      </w:r>
    </w:p>
    <w:p w:rsidR="0008647E" w:rsidRPr="0008647E" w:rsidRDefault="0008647E" w:rsidP="0008647E">
      <w:pPr>
        <w:spacing w:before="100" w:beforeAutospacing="1" w:after="100" w:afterAutospacing="1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</w:pPr>
      <w:bookmarkStart w:id="0" w:name="_GoBack"/>
      <w:bookmarkEnd w:id="0"/>
      <w:r w:rsidRPr="0008647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fr-FR"/>
        </w:rPr>
        <w:t>✅</w:t>
      </w:r>
      <w:r w:rsidRPr="0008647E">
        <w:rPr>
          <w:rFonts w:ascii="Garamond" w:eastAsia="Times New Roman" w:hAnsi="Garamond" w:cs="Times New Roman"/>
          <w:b/>
          <w:bCs/>
          <w:kern w:val="36"/>
          <w:sz w:val="24"/>
          <w:szCs w:val="24"/>
          <w:lang w:eastAsia="fr-FR"/>
        </w:rPr>
        <w:t xml:space="preserve"> Conclusion</w:t>
      </w:r>
    </w:p>
    <w:p w:rsidR="0008647E" w:rsidRPr="0008647E" w:rsidRDefault="0008647E" w:rsidP="0008647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Cette fiche de projet démontre que la </w:t>
      </w: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DNOSP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constitue un </w:t>
      </w:r>
      <w:r w:rsidRPr="0008647E">
        <w:rPr>
          <w:rFonts w:ascii="Garamond" w:eastAsia="Times New Roman" w:hAnsi="Garamond" w:cs="Times New Roman"/>
          <w:b/>
          <w:bCs/>
          <w:sz w:val="24"/>
          <w:szCs w:val="24"/>
          <w:lang w:eastAsia="fr-FR"/>
        </w:rPr>
        <w:t>maillon essentiel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pour la réussite du PTCEE. Son intervention structurée permet :</w:t>
      </w:r>
    </w:p>
    <w:p w:rsidR="0008647E" w:rsidRPr="0008647E" w:rsidRDefault="0008647E" w:rsidP="0008647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fr-FR"/>
        </w:rPr>
      </w:pPr>
      <w:r w:rsidRPr="0008647E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Une meilleure adéquation formation–emploi.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br/>
      </w:r>
      <w:r w:rsidRPr="0008647E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Une insertion professionnelle durable des jeunes.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br/>
      </w:r>
      <w:r w:rsidRPr="0008647E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Une inclusion accrue des groupes vulnérables.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br/>
      </w:r>
      <w:r w:rsidRPr="0008647E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08647E">
        <w:rPr>
          <w:rFonts w:ascii="Garamond" w:eastAsia="Times New Roman" w:hAnsi="Garamond" w:cs="Times New Roman"/>
          <w:sz w:val="24"/>
          <w:szCs w:val="24"/>
          <w:lang w:eastAsia="fr-FR"/>
        </w:rPr>
        <w:t xml:space="preserve"> Un renforcement du système national de développement des compétences.</w:t>
      </w:r>
    </w:p>
    <w:p w:rsidR="00612A96" w:rsidRPr="0008647E" w:rsidRDefault="00612A96">
      <w:pPr>
        <w:rPr>
          <w:rFonts w:ascii="Garamond" w:hAnsi="Garamond"/>
          <w:sz w:val="24"/>
          <w:szCs w:val="24"/>
        </w:rPr>
      </w:pPr>
    </w:p>
    <w:sectPr w:rsidR="00612A96" w:rsidRPr="000864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30E87"/>
    <w:multiLevelType w:val="multilevel"/>
    <w:tmpl w:val="22E8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462F"/>
    <w:multiLevelType w:val="multilevel"/>
    <w:tmpl w:val="8DE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E36EF"/>
    <w:multiLevelType w:val="multilevel"/>
    <w:tmpl w:val="6FC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B3F23"/>
    <w:multiLevelType w:val="multilevel"/>
    <w:tmpl w:val="D2E0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F25C0"/>
    <w:multiLevelType w:val="multilevel"/>
    <w:tmpl w:val="F782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C2D0F"/>
    <w:multiLevelType w:val="multilevel"/>
    <w:tmpl w:val="A406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31F8E"/>
    <w:multiLevelType w:val="multilevel"/>
    <w:tmpl w:val="834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45A02"/>
    <w:multiLevelType w:val="multilevel"/>
    <w:tmpl w:val="85BA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47E"/>
    <w:rsid w:val="0008647E"/>
    <w:rsid w:val="0061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4BD57"/>
  <w15:chartTrackingRefBased/>
  <w15:docId w15:val="{62A36548-A1AF-4B20-A86C-26E90C3B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864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864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0864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0864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647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8647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8647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08647E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864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6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08647E"/>
    <w:rPr>
      <w:i/>
      <w:iCs/>
    </w:rPr>
  </w:style>
  <w:style w:type="table" w:styleId="Grilledutableau">
    <w:name w:val="Table Grid"/>
    <w:basedOn w:val="TableauNormal"/>
    <w:uiPriority w:val="39"/>
    <w:rsid w:val="00086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0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29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3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7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1231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2026-04-09T12:09:00Z</dcterms:created>
  <dcterms:modified xsi:type="dcterms:W3CDTF">2026-04-09T12:12:00Z</dcterms:modified>
</cp:coreProperties>
</file>