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Calibri" w:hAnsi="Calibri"/>
          <w:b/>
          <w:color w:val="0F766E"/>
          <w:sz w:val="20"/>
        </w:rPr>
        <w:t>PRODUCT STRATEGY + TECHNICAL REDESIGN</w:t>
      </w:r>
    </w:p>
    <w:p>
      <w:pPr>
        <w:spacing w:after="140"/>
      </w:pPr>
      <w:r>
        <w:rPr>
          <w:rFonts w:ascii="Calibri" w:hAnsi="Calibri"/>
          <w:b/>
          <w:color w:val="0B2545"/>
          <w:sz w:val="60"/>
        </w:rPr>
        <w:t>TrendSell</w:t>
      </w:r>
    </w:p>
    <w:p>
      <w:pPr>
        <w:spacing w:after="360"/>
        <w:pBdr>
          <w:bottom w:val="single" w:sz="16" w:space="10" w:color="0F766E"/>
        </w:pBdr>
      </w:pPr>
      <w:r>
        <w:rPr>
          <w:rFonts w:ascii="Calibri" w:hAnsi="Calibri"/>
          <w:color w:val="475569"/>
          <w:sz w:val="30"/>
        </w:rPr>
        <w:t>From a synthetic trend dashboard to an evidence-backed opportunity decision platform</w:t>
      </w:r>
    </w:p>
    <w:p>
      <w:pPr>
        <w:spacing w:after="40" w:line="240" w:lineRule="auto"/>
      </w:pPr>
      <w:r>
        <w:rPr>
          <w:rFonts w:ascii="Calibri" w:hAnsi="Calibri"/>
          <w:b/>
          <w:color w:val="0B2545"/>
          <w:sz w:val="21"/>
        </w:rPr>
        <w:t xml:space="preserve">Prepared for: </w:t>
      </w:r>
      <w:r>
        <w:rPr>
          <w:rFonts w:ascii="Calibri" w:hAnsi="Calibri"/>
          <w:color w:val="475569"/>
          <w:sz w:val="21"/>
        </w:rPr>
        <w:t>TrendSell product owner and implementation developer</w:t>
      </w:r>
    </w:p>
    <w:p>
      <w:pPr>
        <w:spacing w:after="40" w:line="240" w:lineRule="auto"/>
      </w:pPr>
      <w:r>
        <w:rPr>
          <w:rFonts w:ascii="Calibri" w:hAnsi="Calibri"/>
          <w:b/>
          <w:color w:val="0B2545"/>
          <w:sz w:val="21"/>
        </w:rPr>
        <w:t xml:space="preserve">Repository: </w:t>
      </w:r>
      <w:r>
        <w:rPr>
          <w:rFonts w:ascii="Calibri" w:hAnsi="Calibri"/>
          <w:color w:val="475569"/>
          <w:sz w:val="21"/>
        </w:rPr>
        <w:t>NdumLab/trendsell-app</w:t>
      </w:r>
    </w:p>
    <w:p>
      <w:pPr>
        <w:spacing w:after="40" w:line="240" w:lineRule="auto"/>
      </w:pPr>
      <w:r>
        <w:rPr>
          <w:rFonts w:ascii="Calibri" w:hAnsi="Calibri"/>
          <w:b/>
          <w:color w:val="0B2545"/>
          <w:sz w:val="21"/>
        </w:rPr>
        <w:t xml:space="preserve">Baseline reviewed: </w:t>
      </w:r>
      <w:r>
        <w:rPr>
          <w:rFonts w:ascii="Calibri" w:hAnsi="Calibri"/>
          <w:color w:val="475569"/>
          <w:sz w:val="21"/>
        </w:rPr>
        <w:t>Main branch at commit 672aef8 (4 September 2026)</w:t>
      </w:r>
    </w:p>
    <w:p>
      <w:pPr>
        <w:spacing w:after="40" w:line="240" w:lineRule="auto"/>
      </w:pPr>
      <w:r>
        <w:rPr>
          <w:rFonts w:ascii="Calibri" w:hAnsi="Calibri"/>
          <w:b/>
          <w:color w:val="0B2545"/>
          <w:sz w:val="21"/>
        </w:rPr>
        <w:t xml:space="preserve">Plan date: </w:t>
      </w:r>
      <w:r>
        <w:rPr>
          <w:rFonts w:ascii="Calibri" w:hAnsi="Calibri"/>
          <w:color w:val="475569"/>
          <w:sz w:val="21"/>
        </w:rPr>
        <w:t>6 September 2026</w:t>
      </w:r>
    </w:p>
    <w:p>
      <w:pPr>
        <w:spacing w:after="40" w:line="240" w:lineRule="auto"/>
      </w:pPr>
      <w:r>
        <w:rPr>
          <w:rFonts w:ascii="Calibri" w:hAnsi="Calibri"/>
          <w:b/>
          <w:color w:val="0B2545"/>
          <w:sz w:val="21"/>
        </w:rPr>
        <w:t xml:space="preserve">Document status: </w:t>
      </w:r>
      <w:r>
        <w:rPr>
          <w:rFonts w:ascii="Calibri" w:hAnsi="Calibri"/>
          <w:color w:val="475569"/>
          <w:sz w:val="21"/>
        </w:rPr>
        <w:t>Developer-ready redesign blueprint; estimates are planning assumptions</w:t>
      </w:r>
    </w:p>
    <w:p>
      <w:pPr>
        <w:spacing w:after="80"/>
      </w:pP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North-star promise: </w:t>
            </w:r>
            <w:r>
              <w:rPr>
                <w:rFonts w:ascii="Calibri" w:hAnsi="Calibri"/>
                <w:color w:val="111827"/>
                <w:sz w:val="22"/>
              </w:rPr>
              <w:t>Paste a product URL, video, or image. In under 60 seconds, TrendSell should show whether demand is real, what is driving it, whether the product can profit in the selected market, what could block the import or launch, and the evidence behind every conclusion.</w:t>
            </w:r>
          </w:p>
        </w:tc>
      </w:tr>
    </w:tbl>
    <w:p>
      <w:pPr>
        <w:spacing w:after="40"/>
      </w:pPr>
    </w:p>
    <w:p>
      <w:r>
        <w:br w:type="page"/>
      </w:r>
    </w:p>
    <w:p>
      <w:pPr>
        <w:pStyle w:val="Heading1"/>
        <w:keepNext/>
        <w:keepLines/>
      </w:pPr>
      <w:r>
        <w:t>Executive directive</w:t>
      </w:r>
    </w:p>
    <w:p>
      <w:pPr>
        <w:spacing w:after="120" w:line="264" w:lineRule="auto"/>
      </w:pPr>
      <w:r>
        <w:rPr>
          <w:rFonts w:ascii="Calibri" w:hAnsi="Calibri"/>
          <w:i w:val="0"/>
          <w:color w:val="111827"/>
          <w:sz w:val="22"/>
        </w:rPr>
        <w:t>Do not add more synthetic product cards to the current architecture. Keep the strongest frontend components and the clean connector registry idea, but rebuild the application around observed evidence, versioned calculations, user-supplied commercial inputs, and explicit unavailable states.</w:t>
      </w:r>
    </w:p>
    <w:p>
      <w:pPr>
        <w:spacing w:after="120" w:line="264" w:lineRule="auto"/>
      </w:pPr>
      <w:r>
        <w:rPr>
          <w:rFonts w:ascii="Calibri" w:hAnsi="Calibri"/>
          <w:i w:val="0"/>
          <w:color w:val="111827"/>
          <w:sz w:val="22"/>
        </w:rPr>
        <w:t>The initial commercial wedge should be narrow: detect demand globally, then answer whether a small importer can profitably and legally bring the product into one underserved destination market. The recommended first corridor is China to Nigeria, while retaining Amazon US and Google demand signals as discovery inputs.</w:t>
      </w:r>
    </w:p>
    <w:p>
      <w:pPr>
        <w:pStyle w:val="Heading2"/>
        <w:keepNext/>
        <w:keepLines/>
      </w:pPr>
      <w:r>
        <w:t>The five decisions this plan makes</w:t>
      </w:r>
    </w:p>
    <w:p>
      <w:pPr>
        <w:keepLines/>
        <w:numPr>
          <w:ilvl w:val="0"/>
          <w:numId w:val="10"/>
        </w:numPr>
        <w:spacing w:after="160" w:line="280" w:lineRule="auto"/>
      </w:pPr>
      <w:r>
        <w:rPr>
          <w:rFonts w:ascii="Calibri" w:hAnsi="Calibri"/>
          <w:color w:val="111827"/>
          <w:sz w:val="22"/>
        </w:rPr>
        <w:t>TrendSell becomes an opportunity decision platform, not a catalog of supposedly winning products.</w:t>
      </w:r>
    </w:p>
    <w:p>
      <w:pPr>
        <w:keepLines/>
        <w:numPr>
          <w:ilvl w:val="0"/>
          <w:numId w:val="10"/>
        </w:numPr>
        <w:spacing w:after="160" w:line="280" w:lineRule="auto"/>
      </w:pPr>
      <w:r>
        <w:rPr>
          <w:rFonts w:ascii="Calibri" w:hAnsi="Calibri"/>
          <w:color w:val="111827"/>
          <w:sz w:val="22"/>
        </w:rPr>
        <w:t>The production database contains no invented revenue, supplier, view-count, ROAS, freight, duty, competitor, or trend values.</w:t>
      </w:r>
    </w:p>
    <w:p>
      <w:pPr>
        <w:keepLines/>
        <w:numPr>
          <w:ilvl w:val="0"/>
          <w:numId w:val="10"/>
        </w:numPr>
        <w:spacing w:after="160" w:line="280" w:lineRule="auto"/>
      </w:pPr>
      <w:r>
        <w:rPr>
          <w:rFonts w:ascii="Calibri" w:hAnsi="Calibri"/>
          <w:color w:val="111827"/>
          <w:sz w:val="22"/>
        </w:rPr>
        <w:t>The primary product journey is X-Ray -&gt; Proof -&gt; Economics -&gt; Decision -&gt; Watch, not Dashboard -&gt; generic detail tabs.</w:t>
      </w:r>
    </w:p>
    <w:p>
      <w:pPr>
        <w:keepLines/>
        <w:numPr>
          <w:ilvl w:val="0"/>
          <w:numId w:val="10"/>
        </w:numPr>
        <w:spacing w:after="160" w:line="280" w:lineRule="auto"/>
      </w:pPr>
      <w:r>
        <w:rPr>
          <w:rFonts w:ascii="Calibri" w:hAnsi="Calibri"/>
          <w:color w:val="111827"/>
          <w:sz w:val="22"/>
        </w:rPr>
        <w:t>FastAPI and React are retained; the frontend moves to Vite and the canonical data model moves to PostgreSQL with JSONB for raw source payloads.</w:t>
      </w:r>
    </w:p>
    <w:p>
      <w:pPr>
        <w:keepLines/>
        <w:numPr>
          <w:ilvl w:val="0"/>
          <w:numId w:val="10"/>
        </w:numPr>
        <w:spacing w:after="160" w:line="280" w:lineRule="auto"/>
      </w:pPr>
      <w:r>
        <w:rPr>
          <w:rFonts w:ascii="Calibri" w:hAnsi="Calibri"/>
          <w:color w:val="111827"/>
          <w:sz w:val="22"/>
        </w:rPr>
        <w:t>The first release supports fewer products and countries with far deeper, traceable evidence. Coverage expands only when a source and maintenance owner exist.</w:t>
      </w:r>
    </w:p>
    <w:p>
      <w:r>
        <w:br w:type="page"/>
      </w:r>
    </w:p>
    <w:p>
      <w:pPr>
        <w:pStyle w:val="Heading1"/>
        <w:keepNext/>
        <w:keepLines/>
      </w:pPr>
      <w:r>
        <w:t>Document map</w:t>
      </w:r>
    </w:p>
    <w:p>
      <w:pPr>
        <w:keepLines/>
        <w:numPr>
          <w:ilvl w:val="0"/>
          <w:numId w:val="10"/>
        </w:numPr>
        <w:spacing w:after="160" w:line="280" w:lineRule="auto"/>
      </w:pPr>
      <w:r>
        <w:rPr>
          <w:rFonts w:ascii="Calibri" w:hAnsi="Calibri"/>
          <w:color w:val="111827"/>
          <w:sz w:val="22"/>
        </w:rPr>
        <w:t>1. Product direction and target customer</w:t>
      </w:r>
    </w:p>
    <w:p>
      <w:pPr>
        <w:keepLines/>
        <w:numPr>
          <w:ilvl w:val="0"/>
          <w:numId w:val="10"/>
        </w:numPr>
        <w:spacing w:after="160" w:line="280" w:lineRule="auto"/>
      </w:pPr>
      <w:r>
        <w:rPr>
          <w:rFonts w:ascii="Calibri" w:hAnsi="Calibri"/>
          <w:color w:val="111827"/>
          <w:sz w:val="22"/>
        </w:rPr>
        <w:t>2. Current-state disposition: retain, rebuild, retire, defer</w:t>
      </w:r>
    </w:p>
    <w:p>
      <w:pPr>
        <w:keepLines/>
        <w:numPr>
          <w:ilvl w:val="0"/>
          <w:numId w:val="10"/>
        </w:numPr>
        <w:spacing w:after="160" w:line="280" w:lineRule="auto"/>
      </w:pPr>
      <w:r>
        <w:rPr>
          <w:rFonts w:ascii="Calibri" w:hAnsi="Calibri"/>
          <w:color w:val="111827"/>
          <w:sz w:val="22"/>
        </w:rPr>
        <w:t>3. Target user journey and information architecture</w:t>
      </w:r>
    </w:p>
    <w:p>
      <w:pPr>
        <w:keepLines/>
        <w:numPr>
          <w:ilvl w:val="0"/>
          <w:numId w:val="10"/>
        </w:numPr>
        <w:spacing w:after="160" w:line="280" w:lineRule="auto"/>
      </w:pPr>
      <w:r>
        <w:rPr>
          <w:rFonts w:ascii="Calibri" w:hAnsi="Calibri"/>
          <w:color w:val="111827"/>
          <w:sz w:val="22"/>
        </w:rPr>
        <w:t>4. Detailed specifications for eight wow experiences</w:t>
      </w:r>
    </w:p>
    <w:p>
      <w:pPr>
        <w:keepLines/>
        <w:numPr>
          <w:ilvl w:val="0"/>
          <w:numId w:val="10"/>
        </w:numPr>
        <w:spacing w:after="160" w:line="280" w:lineRule="auto"/>
      </w:pPr>
      <w:r>
        <w:rPr>
          <w:rFonts w:ascii="Calibri" w:hAnsi="Calibri"/>
          <w:color w:val="111827"/>
          <w:sz w:val="22"/>
        </w:rPr>
        <w:t>5. Evidence policy, live-data strategy, scoring, and AI rules</w:t>
      </w:r>
    </w:p>
    <w:p>
      <w:pPr>
        <w:keepLines/>
        <w:numPr>
          <w:ilvl w:val="0"/>
          <w:numId w:val="10"/>
        </w:numPr>
        <w:spacing w:after="160" w:line="280" w:lineRule="auto"/>
      </w:pPr>
      <w:r>
        <w:rPr>
          <w:rFonts w:ascii="Calibri" w:hAnsi="Calibri"/>
          <w:color w:val="111827"/>
          <w:sz w:val="22"/>
        </w:rPr>
        <w:t>6. Target architecture, data model, API contracts, and frontend structure</w:t>
      </w:r>
    </w:p>
    <w:p>
      <w:pPr>
        <w:keepLines/>
        <w:numPr>
          <w:ilvl w:val="0"/>
          <w:numId w:val="10"/>
        </w:numPr>
        <w:spacing w:after="160" w:line="280" w:lineRule="auto"/>
      </w:pPr>
      <w:r>
        <w:rPr>
          <w:rFonts w:ascii="Calibri" w:hAnsi="Calibri"/>
          <w:color w:val="111827"/>
          <w:sz w:val="22"/>
        </w:rPr>
        <w:t>7. Security, DevOps, observability, and delivery controls</w:t>
      </w:r>
    </w:p>
    <w:p>
      <w:pPr>
        <w:keepLines/>
        <w:numPr>
          <w:ilvl w:val="0"/>
          <w:numId w:val="10"/>
        </w:numPr>
        <w:spacing w:after="160" w:line="280" w:lineRule="auto"/>
      </w:pPr>
      <w:r>
        <w:rPr>
          <w:rFonts w:ascii="Calibri" w:hAnsi="Calibri"/>
          <w:color w:val="111827"/>
          <w:sz w:val="22"/>
        </w:rPr>
        <w:t>8. Phased roadmap, implementation backlog, acceptance gates, metrics, pricing, and risks</w:t>
      </w:r>
    </w:p>
    <w:p>
      <w:pPr>
        <w:keepLines/>
        <w:numPr>
          <w:ilvl w:val="0"/>
          <w:numId w:val="10"/>
        </w:numPr>
        <w:spacing w:after="160" w:line="280" w:lineRule="auto"/>
      </w:pPr>
      <w:r>
        <w:rPr>
          <w:rFonts w:ascii="Calibri" w:hAnsi="Calibri"/>
          <w:color w:val="111827"/>
          <w:sz w:val="22"/>
        </w:rPr>
        <w:t>9. Developer kickoff directive and source references</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EEF5"/>
          </w:tcPr>
          <w:p>
            <w:pPr>
              <w:spacing w:after="0" w:line="264" w:lineRule="auto"/>
            </w:pPr>
            <w:r>
              <w:rPr>
                <w:rFonts w:ascii="Calibri" w:hAnsi="Calibri"/>
                <w:b/>
                <w:color w:val="2E74B5"/>
                <w:sz w:val="22"/>
              </w:rPr>
              <w:t xml:space="preserve">Reading shortcut: </w:t>
            </w:r>
            <w:r>
              <w:rPr>
                <w:rFonts w:ascii="Calibri" w:hAnsi="Calibri"/>
                <w:color w:val="111827"/>
                <w:sz w:val="22"/>
              </w:rPr>
              <w:t>The developer should read Sections 2, 5, 6, 7, and 8 before estimating work. Product and design stakeholders should start with Sections 1, 3, and 4.</w:t>
            </w:r>
          </w:p>
        </w:tc>
      </w:tr>
    </w:tbl>
    <w:p>
      <w:pPr>
        <w:spacing w:after="40"/>
      </w:pPr>
    </w:p>
    <w:p>
      <w:r>
        <w:br w:type="page"/>
      </w:r>
    </w:p>
    <w:p>
      <w:pPr>
        <w:pStyle w:val="Heading1"/>
        <w:keepNext/>
        <w:keepLines/>
      </w:pPr>
      <w:r>
        <w:t>1. Product direction</w:t>
      </w:r>
    </w:p>
    <w:p>
      <w:pPr>
        <w:pStyle w:val="Heading2"/>
        <w:keepNext/>
        <w:keepLines/>
      </w:pPr>
      <w:r>
        <w:t>1.1 New category definition</w:t>
      </w:r>
    </w:p>
    <w:p>
      <w:pPr>
        <w:spacing w:after="120" w:line="264" w:lineRule="auto"/>
      </w:pPr>
      <w:r>
        <w:rPr>
          <w:rFonts w:ascii="Calibri" w:hAnsi="Calibri"/>
          <w:i w:val="0"/>
          <w:color w:val="111827"/>
          <w:sz w:val="22"/>
        </w:rPr>
        <w:t>TrendSell is a product opportunity command center for small e-commerce operators, importers, and agencies. It combines observable demand signals, competitive activity, unit economics, destination-market compliance, and supplier evidence into an explainable GO, WATCH, or NO-GO decision.</w:t>
      </w:r>
    </w:p>
    <w:p>
      <w:pPr>
        <w:pStyle w:val="Heading2"/>
        <w:keepNext/>
        <w:keepLines/>
      </w:pPr>
      <w:r>
        <w:t>1.2 Positioning statement</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Positioning: </w:t>
            </w:r>
            <w:r>
              <w:rPr>
                <w:rFonts w:ascii="Calibri" w:hAnsi="Calibri"/>
                <w:color w:val="111827"/>
                <w:sz w:val="22"/>
              </w:rPr>
              <w:t>For operators who need to decide what to sell and where, TrendSell turns scattered marketplace, search, advertising, logistics, and compliance evidence into a market-specific investment decision. Unlike trend lists that present opaque estimates, TrendSell exposes the source, timestamp, confidence, formula, and missing information behind every recommendation.</w:t>
            </w:r>
          </w:p>
        </w:tc>
      </w:tr>
    </w:tbl>
    <w:p>
      <w:pPr>
        <w:spacing w:after="40"/>
      </w:pPr>
    </w:p>
    <w:p>
      <w:pPr>
        <w:pStyle w:val="Heading2"/>
        <w:keepNext/>
        <w:keepLines/>
      </w:pPr>
      <w:r>
        <w:t>1.3 Initial ideal customer profile</w:t>
      </w:r>
    </w:p>
    <w:tbl>
      <w:tblPr>
        <w:tblStyle w:val="TableGrid"/>
        <w:tblW w:type="dxa" w:w="9360"/>
        <w:tblLayout w:type="fixed"/>
        <w:tblLook w:firstColumn="1" w:firstRow="1" w:lastColumn="0" w:lastRow="0" w:noHBand="0" w:noVBand="1" w:val="04A0"/>
        <w:tblInd w:w="120" w:type="dxa"/>
      </w:tblPr>
      <w:tblGrid>
        <w:gridCol w:w="900"/>
        <w:gridCol w:w="2200"/>
        <w:gridCol w:w="3300"/>
        <w:gridCol w:w="2960"/>
      </w:tblGrid>
      <w:tr>
        <w:trPr>
          <w:tblHeader w:val="true"/>
          <w:cantSplit/>
        </w:trPr>
        <w:tc>
          <w:tcPr>
            <w:tcW w:type="dxa" w:w="900"/>
            <w:tcMar>
              <w:top w:w="80" w:type="dxa"/>
              <w:start w:w="120" w:type="dxa"/>
              <w:bottom w:w="80" w:type="dxa"/>
              <w:end w:w="120" w:type="dxa"/>
            </w:tcMar>
            <w:vAlign w:val="center"/>
            <w:shd w:fill="E8EEF5"/>
          </w:tcPr>
          <w:p>
            <w:pPr>
              <w:spacing w:after="0"/>
              <w:jc w:val="left"/>
            </w:pPr>
            <w:r>
              <w:rPr>
                <w:rFonts w:ascii="Calibri" w:hAnsi="Calibri"/>
                <w:b/>
                <w:color w:val="0B2545"/>
                <w:sz w:val="17"/>
              </w:rPr>
              <w:t>Priority</w:t>
            </w:r>
          </w:p>
        </w:tc>
        <w:tc>
          <w:tcPr>
            <w:tcW w:type="dxa" w:w="2200"/>
            <w:tcMar>
              <w:top w:w="80" w:type="dxa"/>
              <w:start w:w="120" w:type="dxa"/>
              <w:bottom w:w="80" w:type="dxa"/>
              <w:end w:w="120" w:type="dxa"/>
            </w:tcMar>
            <w:vAlign w:val="center"/>
            <w:shd w:fill="E8EEF5"/>
          </w:tcPr>
          <w:p>
            <w:pPr>
              <w:spacing w:after="0"/>
              <w:jc w:val="left"/>
            </w:pPr>
            <w:r>
              <w:rPr>
                <w:rFonts w:ascii="Calibri" w:hAnsi="Calibri"/>
                <w:b/>
                <w:color w:val="0B2545"/>
                <w:sz w:val="17"/>
              </w:rPr>
              <w:t>Customer</w:t>
            </w:r>
          </w:p>
        </w:tc>
        <w:tc>
          <w:tcPr>
            <w:tcW w:type="dxa" w:w="3300"/>
            <w:tcMar>
              <w:top w:w="80" w:type="dxa"/>
              <w:start w:w="120" w:type="dxa"/>
              <w:bottom w:w="80" w:type="dxa"/>
              <w:end w:w="120" w:type="dxa"/>
            </w:tcMar>
            <w:vAlign w:val="center"/>
            <w:shd w:fill="E8EEF5"/>
          </w:tcPr>
          <w:p>
            <w:pPr>
              <w:spacing w:after="0"/>
              <w:jc w:val="left"/>
            </w:pPr>
            <w:r>
              <w:rPr>
                <w:rFonts w:ascii="Calibri" w:hAnsi="Calibri"/>
                <w:b/>
                <w:color w:val="0B2545"/>
                <w:sz w:val="17"/>
              </w:rPr>
              <w:t>Working profile</w:t>
            </w:r>
          </w:p>
        </w:tc>
        <w:tc>
          <w:tcPr>
            <w:tcW w:type="dxa" w:w="2960"/>
            <w:tcMar>
              <w:top w:w="80" w:type="dxa"/>
              <w:start w:w="120" w:type="dxa"/>
              <w:bottom w:w="80" w:type="dxa"/>
              <w:end w:w="120" w:type="dxa"/>
            </w:tcMar>
            <w:vAlign w:val="center"/>
            <w:shd w:fill="E8EEF5"/>
          </w:tcPr>
          <w:p>
            <w:pPr>
              <w:spacing w:after="0"/>
              <w:jc w:val="left"/>
            </w:pPr>
            <w:r>
              <w:rPr>
                <w:rFonts w:ascii="Calibri" w:hAnsi="Calibri"/>
                <w:b/>
                <w:color w:val="0B2545"/>
                <w:sz w:val="17"/>
              </w:rPr>
              <w:t>Critical job</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11827"/>
                <w:sz w:val="17"/>
              </w:rPr>
              <w:t>Primary</w:t>
            </w:r>
          </w:p>
        </w:tc>
        <w:tc>
          <w:tcPr>
            <w:tcW w:type="dxa" w:w="2200"/>
            <w:tcMar>
              <w:top w:w="80" w:type="dxa"/>
              <w:start w:w="120" w:type="dxa"/>
              <w:bottom w:w="80" w:type="dxa"/>
              <w:end w:w="120" w:type="dxa"/>
            </w:tcMar>
            <w:vAlign w:val="center"/>
          </w:tcPr>
          <w:p>
            <w:pPr>
              <w:spacing w:after="0" w:line="252" w:lineRule="auto"/>
            </w:pPr>
            <w:r>
              <w:rPr>
                <w:rFonts w:ascii="Calibri" w:hAnsi="Calibri"/>
                <w:color w:val="111827"/>
                <w:sz w:val="17"/>
              </w:rPr>
              <w:t>Small importer or e-commerce operator</w:t>
            </w:r>
          </w:p>
        </w:tc>
        <w:tc>
          <w:tcPr>
            <w:tcW w:type="dxa" w:w="3300"/>
            <w:tcMar>
              <w:top w:w="80" w:type="dxa"/>
              <w:start w:w="120" w:type="dxa"/>
              <w:bottom w:w="80" w:type="dxa"/>
              <w:end w:w="120" w:type="dxa"/>
            </w:tcMar>
            <w:vAlign w:val="center"/>
          </w:tcPr>
          <w:p>
            <w:pPr>
              <w:spacing w:after="0" w:line="252" w:lineRule="auto"/>
            </w:pPr>
            <w:r>
              <w:rPr>
                <w:rFonts w:ascii="Calibri" w:hAnsi="Calibri"/>
                <w:color w:val="111827"/>
                <w:sz w:val="17"/>
              </w:rPr>
              <w:t>1-10 people; tests 2-20 products per quarter; usually risks $2,000-$25,000 per inventory order</w:t>
            </w:r>
          </w:p>
        </w:tc>
        <w:tc>
          <w:tcPr>
            <w:tcW w:type="dxa" w:w="2960"/>
            <w:tcMar>
              <w:top w:w="80" w:type="dxa"/>
              <w:start w:w="120" w:type="dxa"/>
              <w:bottom w:w="80" w:type="dxa"/>
              <w:end w:w="120" w:type="dxa"/>
            </w:tcMar>
            <w:vAlign w:val="center"/>
          </w:tcPr>
          <w:p>
            <w:pPr>
              <w:spacing w:after="0" w:line="252" w:lineRule="auto"/>
            </w:pPr>
            <w:r>
              <w:rPr>
                <w:rFonts w:ascii="Calibri" w:hAnsi="Calibri"/>
                <w:color w:val="111827"/>
                <w:sz w:val="17"/>
              </w:rPr>
              <w:t>Needs a defensible go/no-go decision before committing cash</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11827"/>
                <w:sz w:val="17"/>
              </w:rPr>
              <w:t>Secondary</w:t>
            </w:r>
          </w:p>
        </w:tc>
        <w:tc>
          <w:tcPr>
            <w:tcW w:type="dxa" w:w="2200"/>
            <w:tcMar>
              <w:top w:w="80" w:type="dxa"/>
              <w:start w:w="120" w:type="dxa"/>
              <w:bottom w:w="80" w:type="dxa"/>
              <w:end w:w="120" w:type="dxa"/>
            </w:tcMar>
            <w:vAlign w:val="center"/>
          </w:tcPr>
          <w:p>
            <w:pPr>
              <w:spacing w:after="0" w:line="252" w:lineRule="auto"/>
            </w:pPr>
            <w:r>
              <w:rPr>
                <w:rFonts w:ascii="Calibri" w:hAnsi="Calibri"/>
                <w:color w:val="111827"/>
                <w:sz w:val="17"/>
              </w:rPr>
              <w:t>E-commerce agency or product scout</w:t>
            </w:r>
          </w:p>
        </w:tc>
        <w:tc>
          <w:tcPr>
            <w:tcW w:type="dxa" w:w="3300"/>
            <w:tcMar>
              <w:top w:w="80" w:type="dxa"/>
              <w:start w:w="120" w:type="dxa"/>
              <w:bottom w:w="80" w:type="dxa"/>
              <w:end w:w="120" w:type="dxa"/>
            </w:tcMar>
            <w:vAlign w:val="center"/>
          </w:tcPr>
          <w:p>
            <w:pPr>
              <w:spacing w:after="0" w:line="252" w:lineRule="auto"/>
            </w:pPr>
            <w:r>
              <w:rPr>
                <w:rFonts w:ascii="Calibri" w:hAnsi="Calibri"/>
                <w:color w:val="111827"/>
                <w:sz w:val="17"/>
              </w:rPr>
              <w:t>Manages several brands or clients</w:t>
            </w:r>
          </w:p>
        </w:tc>
        <w:tc>
          <w:tcPr>
            <w:tcW w:type="dxa" w:w="2960"/>
            <w:tcMar>
              <w:top w:w="80" w:type="dxa"/>
              <w:start w:w="120" w:type="dxa"/>
              <w:bottom w:w="80" w:type="dxa"/>
              <w:end w:w="120" w:type="dxa"/>
            </w:tcMar>
            <w:vAlign w:val="center"/>
          </w:tcPr>
          <w:p>
            <w:pPr>
              <w:spacing w:after="0" w:line="252" w:lineRule="auto"/>
            </w:pPr>
            <w:r>
              <w:rPr>
                <w:rFonts w:ascii="Calibri" w:hAnsi="Calibri"/>
                <w:color w:val="111827"/>
                <w:sz w:val="17"/>
              </w:rPr>
              <w:t>Needs repeatable research briefs and shareable evidence</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11827"/>
                <w:sz w:val="17"/>
              </w:rPr>
              <w:t>Later</w:t>
            </w:r>
          </w:p>
        </w:tc>
        <w:tc>
          <w:tcPr>
            <w:tcW w:type="dxa" w:w="2200"/>
            <w:tcMar>
              <w:top w:w="80" w:type="dxa"/>
              <w:start w:w="120" w:type="dxa"/>
              <w:bottom w:w="80" w:type="dxa"/>
              <w:end w:w="120" w:type="dxa"/>
            </w:tcMar>
            <w:vAlign w:val="center"/>
          </w:tcPr>
          <w:p>
            <w:pPr>
              <w:spacing w:after="0" w:line="252" w:lineRule="auto"/>
            </w:pPr>
            <w:r>
              <w:rPr>
                <w:rFonts w:ascii="Calibri" w:hAnsi="Calibri"/>
                <w:color w:val="111827"/>
                <w:sz w:val="17"/>
              </w:rPr>
              <w:t>Established marketplace seller</w:t>
            </w:r>
          </w:p>
        </w:tc>
        <w:tc>
          <w:tcPr>
            <w:tcW w:type="dxa" w:w="3300"/>
            <w:tcMar>
              <w:top w:w="80" w:type="dxa"/>
              <w:start w:w="120" w:type="dxa"/>
              <w:bottom w:w="80" w:type="dxa"/>
              <w:end w:w="120" w:type="dxa"/>
            </w:tcMar>
            <w:vAlign w:val="center"/>
          </w:tcPr>
          <w:p>
            <w:pPr>
              <w:spacing w:after="0" w:line="252" w:lineRule="auto"/>
            </w:pPr>
            <w:r>
              <w:rPr>
                <w:rFonts w:ascii="Calibri" w:hAnsi="Calibri"/>
                <w:color w:val="111827"/>
                <w:sz w:val="17"/>
              </w:rPr>
              <w:t>Owns first-party Amazon or Shopify data</w:t>
            </w:r>
          </w:p>
        </w:tc>
        <w:tc>
          <w:tcPr>
            <w:tcW w:type="dxa" w:w="2960"/>
            <w:tcMar>
              <w:top w:w="80" w:type="dxa"/>
              <w:start w:w="120" w:type="dxa"/>
              <w:bottom w:w="80" w:type="dxa"/>
              <w:end w:w="120" w:type="dxa"/>
            </w:tcMar>
            <w:vAlign w:val="center"/>
          </w:tcPr>
          <w:p>
            <w:pPr>
              <w:spacing w:after="0" w:line="252" w:lineRule="auto"/>
            </w:pPr>
            <w:r>
              <w:rPr>
                <w:rFonts w:ascii="Calibri" w:hAnsi="Calibri"/>
                <w:color w:val="111827"/>
                <w:sz w:val="17"/>
              </w:rPr>
              <w:t>Needs portfolio monitoring, forecasting, and competitive alerts</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color w:val="111827"/>
                <w:sz w:val="17"/>
              </w:rPr>
              <w:t>Not first</w:t>
            </w:r>
          </w:p>
        </w:tc>
        <w:tc>
          <w:tcPr>
            <w:tcW w:type="dxa" w:w="2200"/>
            <w:tcMar>
              <w:top w:w="80" w:type="dxa"/>
              <w:start w:w="120" w:type="dxa"/>
              <w:bottom w:w="80" w:type="dxa"/>
              <w:end w:w="120" w:type="dxa"/>
            </w:tcMar>
            <w:vAlign w:val="center"/>
          </w:tcPr>
          <w:p>
            <w:pPr>
              <w:spacing w:after="0" w:line="252" w:lineRule="auto"/>
            </w:pPr>
            <w:r>
              <w:rPr>
                <w:rFonts w:ascii="Calibri" w:hAnsi="Calibri"/>
                <w:color w:val="111827"/>
                <w:sz w:val="17"/>
              </w:rPr>
              <w:t>Enterprise retailer</w:t>
            </w:r>
          </w:p>
        </w:tc>
        <w:tc>
          <w:tcPr>
            <w:tcW w:type="dxa" w:w="3300"/>
            <w:tcMar>
              <w:top w:w="80" w:type="dxa"/>
              <w:start w:w="120" w:type="dxa"/>
              <w:bottom w:w="80" w:type="dxa"/>
              <w:end w:w="120" w:type="dxa"/>
            </w:tcMar>
            <w:vAlign w:val="center"/>
          </w:tcPr>
          <w:p>
            <w:pPr>
              <w:spacing w:after="0" w:line="252" w:lineRule="auto"/>
            </w:pPr>
            <w:r>
              <w:rPr>
                <w:rFonts w:ascii="Calibri" w:hAnsi="Calibri"/>
                <w:color w:val="111827"/>
                <w:sz w:val="17"/>
              </w:rPr>
              <w:t>Requires procurement, data contracts, SLAs, and complex integrations</w:t>
            </w:r>
          </w:p>
        </w:tc>
        <w:tc>
          <w:tcPr>
            <w:tcW w:type="dxa" w:w="2960"/>
            <w:tcMar>
              <w:top w:w="80" w:type="dxa"/>
              <w:start w:w="120" w:type="dxa"/>
              <w:bottom w:w="80" w:type="dxa"/>
              <w:end w:w="120" w:type="dxa"/>
            </w:tcMar>
            <w:vAlign w:val="center"/>
          </w:tcPr>
          <w:p>
            <w:pPr>
              <w:spacing w:after="0" w:line="252" w:lineRule="auto"/>
            </w:pPr>
            <w:r>
              <w:rPr>
                <w:rFonts w:ascii="Calibri" w:hAnsi="Calibri"/>
                <w:color w:val="111827"/>
                <w:sz w:val="17"/>
              </w:rPr>
              <w:t>Sales cycle would distract from product validation</w:t>
            </w:r>
          </w:p>
        </w:tc>
      </w:tr>
    </w:tbl>
    <w:p>
      <w:pPr>
        <w:spacing w:after="60"/>
      </w:pPr>
    </w:p>
    <w:p>
      <w:pPr>
        <w:pStyle w:val="Heading2"/>
        <w:keepNext/>
        <w:keepLines/>
      </w:pPr>
      <w:r>
        <w:t>1.4 Jobs to be done</w:t>
      </w:r>
    </w:p>
    <w:p>
      <w:pPr>
        <w:keepLines/>
        <w:numPr>
          <w:ilvl w:val="0"/>
          <w:numId w:val="10"/>
        </w:numPr>
        <w:spacing w:after="160" w:line="280" w:lineRule="auto"/>
      </w:pPr>
      <w:r>
        <w:rPr>
          <w:rFonts w:ascii="Calibri" w:hAnsi="Calibri"/>
          <w:color w:val="111827"/>
          <w:sz w:val="22"/>
        </w:rPr>
        <w:t>When I discover a product online, help me determine whether the demand signal is genuine before I copy it.</w:t>
      </w:r>
    </w:p>
    <w:p>
      <w:pPr>
        <w:keepLines/>
        <w:numPr>
          <w:ilvl w:val="0"/>
          <w:numId w:val="10"/>
        </w:numPr>
        <w:spacing w:after="160" w:line="280" w:lineRule="auto"/>
      </w:pPr>
      <w:r>
        <w:rPr>
          <w:rFonts w:ascii="Calibri" w:hAnsi="Calibri"/>
          <w:color w:val="111827"/>
          <w:sz w:val="22"/>
        </w:rPr>
        <w:t>When I consider importing inventory, calculate what each unit will really cost at my destination under editable assumptions.</w:t>
      </w:r>
    </w:p>
    <w:p>
      <w:pPr>
        <w:keepLines/>
        <w:numPr>
          <w:ilvl w:val="0"/>
          <w:numId w:val="10"/>
        </w:numPr>
        <w:spacing w:after="160" w:line="280" w:lineRule="auto"/>
      </w:pPr>
      <w:r>
        <w:rPr>
          <w:rFonts w:ascii="Calibri" w:hAnsi="Calibri"/>
          <w:color w:val="111827"/>
          <w:sz w:val="22"/>
        </w:rPr>
        <w:t>When a product appears attractive, tell me what evidence is missing and what could make the decision fail.</w:t>
      </w:r>
    </w:p>
    <w:p>
      <w:pPr>
        <w:keepLines/>
        <w:numPr>
          <w:ilvl w:val="0"/>
          <w:numId w:val="10"/>
        </w:numPr>
        <w:spacing w:after="160" w:line="280" w:lineRule="auto"/>
      </w:pPr>
      <w:r>
        <w:rPr>
          <w:rFonts w:ascii="Calibri" w:hAnsi="Calibri"/>
          <w:color w:val="111827"/>
          <w:sz w:val="22"/>
        </w:rPr>
        <w:t>When I am not ready to buy, monitor the product and alert me only when the decision materially changes.</w:t>
      </w:r>
    </w:p>
    <w:p>
      <w:pPr>
        <w:keepLines/>
        <w:numPr>
          <w:ilvl w:val="0"/>
          <w:numId w:val="10"/>
        </w:numPr>
        <w:spacing w:after="160" w:line="280" w:lineRule="auto"/>
      </w:pPr>
      <w:r>
        <w:rPr>
          <w:rFonts w:ascii="Calibri" w:hAnsi="Calibri"/>
          <w:color w:val="111827"/>
          <w:sz w:val="22"/>
        </w:rPr>
        <w:t>When I speak to suppliers or partners, give me a shareable evidence brief and a structured RFQ without inventing facts.</w:t>
      </w:r>
    </w:p>
    <w:p>
      <w:pPr>
        <w:pStyle w:val="Heading2"/>
        <w:keepNext/>
        <w:keepLines/>
      </w:pPr>
      <w:r>
        <w:t>1.5 Commercial wedge and expansion</w:t>
      </w:r>
    </w:p>
    <w:p>
      <w:pPr>
        <w:spacing w:after="120" w:line="264" w:lineRule="auto"/>
      </w:pPr>
      <w:r>
        <w:rPr>
          <w:rFonts w:ascii="Calibri" w:hAnsi="Calibri"/>
          <w:i w:val="0"/>
          <w:color w:val="111827"/>
          <w:sz w:val="22"/>
        </w:rPr>
        <w:t>Recommended wedge: Global signal discovery + China-to-Nigeria import viability. Nigeria is not merely a country selector; it is a maintained destination-market knowledge base containing effective-dated tariff, certification, restricted-goods, freight, channel, and currency evidence.</w:t>
      </w:r>
    </w:p>
    <w:p>
      <w:pPr>
        <w:spacing w:after="120" w:line="264" w:lineRule="auto"/>
      </w:pPr>
      <w:r>
        <w:rPr>
          <w:rFonts w:ascii="Calibri" w:hAnsi="Calibri"/>
          <w:i w:val="0"/>
          <w:color w:val="111827"/>
          <w:sz w:val="22"/>
        </w:rPr>
        <w:t>Expansion rule: add a new destination country only after TrendSell has named source owners for tariffs, compliance, marketplace coverage, freight inputs, and update cadence. A flag icon and exchange rate do not constitute market support.</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FF7E6"/>
          </w:tcPr>
          <w:p>
            <w:pPr>
              <w:spacing w:after="0" w:line="264" w:lineRule="auto"/>
            </w:pPr>
            <w:r>
              <w:rPr>
                <w:rFonts w:ascii="Calibri" w:hAnsi="Calibri"/>
                <w:b/>
                <w:color w:val="9A6700"/>
                <w:sz w:val="22"/>
              </w:rPr>
              <w:t xml:space="preserve">Why this is needed: </w:t>
            </w:r>
            <w:r>
              <w:rPr>
                <w:rFonts w:ascii="Calibri" w:hAnsi="Calibri"/>
                <w:color w:val="111827"/>
                <w:sz w:val="22"/>
              </w:rPr>
              <w:t>The incumbent category is strongest at Amazon and TikTok discovery. TrendSell can become distinctive where global momentum meets local feasibility and where wrong decisions have obvious cash consequences.</w:t>
            </w:r>
          </w:p>
        </w:tc>
      </w:tr>
    </w:tbl>
    <w:p>
      <w:pPr>
        <w:spacing w:after="40"/>
      </w:pPr>
    </w:p>
    <w:p>
      <w:pPr>
        <w:pStyle w:val="Heading2"/>
        <w:keepNext/>
        <w:keepLines/>
      </w:pPr>
      <w:r>
        <w:t>1.6 Explicit non-goals for the first release</w:t>
      </w:r>
    </w:p>
    <w:p>
      <w:pPr>
        <w:keepLines/>
        <w:numPr>
          <w:ilvl w:val="0"/>
          <w:numId w:val="10"/>
        </w:numPr>
        <w:spacing w:after="160" w:line="280" w:lineRule="auto"/>
      </w:pPr>
      <w:r>
        <w:rPr>
          <w:rFonts w:ascii="Calibri" w:hAnsi="Calibri"/>
          <w:color w:val="111827"/>
          <w:sz w:val="22"/>
        </w:rPr>
        <w:t>Do not claim exact competitor revenue, units sold, advertising spend, conversion rate, or ROAS without authorized first-party data.</w:t>
      </w:r>
    </w:p>
    <w:p>
      <w:pPr>
        <w:keepLines/>
        <w:numPr>
          <w:ilvl w:val="0"/>
          <w:numId w:val="10"/>
        </w:numPr>
        <w:spacing w:after="160" w:line="280" w:lineRule="auto"/>
      </w:pPr>
      <w:r>
        <w:rPr>
          <w:rFonts w:ascii="Calibri" w:hAnsi="Calibri"/>
          <w:color w:val="111827"/>
          <w:sz w:val="22"/>
        </w:rPr>
        <w:t>Do not support 46 countries at launch. Start with one destination market and two discovery markets.</w:t>
      </w:r>
    </w:p>
    <w:p>
      <w:pPr>
        <w:keepLines/>
        <w:numPr>
          <w:ilvl w:val="0"/>
          <w:numId w:val="10"/>
        </w:numPr>
        <w:spacing w:after="160" w:line="280" w:lineRule="auto"/>
      </w:pPr>
      <w:r>
        <w:rPr>
          <w:rFonts w:ascii="Calibri" w:hAnsi="Calibri"/>
          <w:color w:val="111827"/>
          <w:sz w:val="22"/>
        </w:rPr>
        <w:t>Do not build automatic supplier ordering, a native mobile app, or autonomous ad spending in the MVP.</w:t>
      </w:r>
    </w:p>
    <w:p>
      <w:pPr>
        <w:keepLines/>
        <w:numPr>
          <w:ilvl w:val="0"/>
          <w:numId w:val="10"/>
        </w:numPr>
        <w:spacing w:after="160" w:line="280" w:lineRule="auto"/>
      </w:pPr>
      <w:r>
        <w:rPr>
          <w:rFonts w:ascii="Calibri" w:hAnsi="Calibri"/>
          <w:color w:val="111827"/>
          <w:sz w:val="22"/>
        </w:rPr>
        <w:t>Do not collect data through access methods that violate platform terms or create an unmaintainable scraping dependency.</w:t>
      </w:r>
    </w:p>
    <w:p>
      <w:pPr>
        <w:keepLines/>
        <w:numPr>
          <w:ilvl w:val="0"/>
          <w:numId w:val="10"/>
        </w:numPr>
        <w:spacing w:after="160" w:line="280" w:lineRule="auto"/>
      </w:pPr>
      <w:r>
        <w:rPr>
          <w:rFonts w:ascii="Calibri" w:hAnsi="Calibri"/>
          <w:color w:val="111827"/>
          <w:sz w:val="22"/>
        </w:rPr>
        <w:t>Do not let an LLM assign or refresh numeric market scores from general knowledge.</w:t>
      </w:r>
    </w:p>
    <w:p>
      <w:r>
        <w:br w:type="page"/>
      </w:r>
    </w:p>
    <w:p>
      <w:pPr>
        <w:pStyle w:val="Heading1"/>
        <w:keepNext/>
        <w:keepLines/>
      </w:pPr>
      <w:r>
        <w:t>2. Current-state disposition</w:t>
      </w:r>
    </w:p>
    <w:p>
      <w:pPr>
        <w:spacing w:after="120" w:line="264" w:lineRule="auto"/>
      </w:pPr>
      <w:r>
        <w:rPr>
          <w:rFonts w:ascii="Calibri" w:hAnsi="Calibri"/>
          <w:i w:val="0"/>
          <w:color w:val="111827"/>
          <w:sz w:val="22"/>
        </w:rPr>
        <w:t>The existing application demonstrates that the team can ship a coherent full-stack dashboard. Its main weakness is not presentation; it is that production-shaped interfaces are populated by seeded, templated, heuristically altered, or LLM-generated numbers. The redesign must preserve useful engineering while removing false certainty.</w:t>
      </w:r>
    </w:p>
    <w:p>
      <w:pPr>
        <w:pStyle w:val="Heading2"/>
        <w:keepNext/>
        <w:keepLines/>
      </w:pPr>
      <w:r>
        <w:t>2.1 What is worth retaining</w:t>
      </w:r>
    </w:p>
    <w:p>
      <w:pPr>
        <w:keepLines/>
        <w:numPr>
          <w:ilvl w:val="0"/>
          <w:numId w:val="10"/>
        </w:numPr>
        <w:spacing w:after="160" w:line="280" w:lineRule="auto"/>
      </w:pPr>
      <w:r>
        <w:rPr>
          <w:rFonts w:ascii="Calibri" w:hAnsi="Calibri"/>
          <w:color w:val="111827"/>
          <w:sz w:val="22"/>
        </w:rPr>
        <w:t>React + TypeScript component base, Tailwind styling, responsive dark interface, Recharts, routing, TanStack Query, theme context, and location context.</w:t>
      </w:r>
    </w:p>
    <w:p>
      <w:pPr>
        <w:keepLines/>
        <w:numPr>
          <w:ilvl w:val="0"/>
          <w:numId w:val="10"/>
        </w:numPr>
        <w:spacing w:after="160" w:line="280" w:lineRule="auto"/>
      </w:pPr>
      <w:r>
        <w:rPr>
          <w:rFonts w:ascii="Calibri" w:hAnsi="Calibri"/>
          <w:color w:val="111827"/>
          <w:sz w:val="22"/>
        </w:rPr>
        <w:t>The connector registry, timeouts, and integration telemetry concept in backend/services/__init__.py.</w:t>
      </w:r>
    </w:p>
    <w:p>
      <w:pPr>
        <w:keepLines/>
        <w:numPr>
          <w:ilvl w:val="0"/>
          <w:numId w:val="10"/>
        </w:numPr>
        <w:spacing w:after="160" w:line="280" w:lineRule="auto"/>
      </w:pPr>
      <w:r>
        <w:rPr>
          <w:rFonts w:ascii="Calibri" w:hAnsi="Calibri"/>
          <w:color w:val="111827"/>
          <w:sz w:val="22"/>
        </w:rPr>
        <w:t>Country-aware interaction concept, product comparison, watchlist behavior, profit-calculator interaction, and the overall product-detail hierarchy.</w:t>
      </w:r>
    </w:p>
    <w:p>
      <w:pPr>
        <w:keepLines/>
        <w:numPr>
          <w:ilvl w:val="0"/>
          <w:numId w:val="10"/>
        </w:numPr>
        <w:spacing w:after="160" w:line="280" w:lineRule="auto"/>
      </w:pPr>
      <w:r>
        <w:rPr>
          <w:rFonts w:ascii="Calibri" w:hAnsi="Calibri"/>
          <w:color w:val="111827"/>
          <w:sz w:val="22"/>
        </w:rPr>
        <w:t>FastAPI as the service boundary and Pydantic models for input and response validation.</w:t>
      </w:r>
    </w:p>
    <w:p>
      <w:pPr>
        <w:keepLines/>
        <w:numPr>
          <w:ilvl w:val="0"/>
          <w:numId w:val="10"/>
        </w:numPr>
        <w:spacing w:after="160" w:line="280" w:lineRule="auto"/>
      </w:pPr>
      <w:r>
        <w:rPr>
          <w:rFonts w:ascii="Calibri" w:hAnsi="Calibri"/>
          <w:color w:val="111827"/>
          <w:sz w:val="22"/>
        </w:rPr>
        <w:t>The user's original two-part insight: identify demand and explain the observable mechanisms helping the product sell.</w:t>
      </w:r>
    </w:p>
    <w:p>
      <w:pPr>
        <w:pStyle w:val="Heading2"/>
        <w:keepNext/>
        <w:keepLines/>
      </w:pPr>
      <w:r>
        <w:t>2.2 Immediate trust and launch blockers</w:t>
      </w:r>
    </w:p>
    <w:tbl>
      <w:tblPr>
        <w:tblStyle w:val="TableGrid"/>
        <w:tblW w:type="dxa" w:w="9360"/>
        <w:tblLayout w:type="fixed"/>
        <w:tblLook w:firstColumn="1" w:firstRow="1" w:lastColumn="0" w:lastRow="0" w:noHBand="0" w:noVBand="1" w:val="04A0"/>
        <w:tblInd w:w="120" w:type="dxa"/>
      </w:tblPr>
      <w:tblGrid>
        <w:gridCol w:w="850"/>
        <w:gridCol w:w="1800"/>
        <w:gridCol w:w="3130"/>
        <w:gridCol w:w="3580"/>
      </w:tblGrid>
      <w:tr>
        <w:trPr>
          <w:tblHeader w:val="true"/>
          <w:cantSplit/>
        </w:trPr>
        <w:tc>
          <w:tcPr>
            <w:tcW w:type="dxa" w:w="850"/>
            <w:tcMar>
              <w:top w:w="80" w:type="dxa"/>
              <w:start w:w="120" w:type="dxa"/>
              <w:bottom w:w="80" w:type="dxa"/>
              <w:end w:w="120" w:type="dxa"/>
            </w:tcMar>
            <w:vAlign w:val="center"/>
            <w:shd w:fill="FDECEC"/>
          </w:tcPr>
          <w:p>
            <w:pPr>
              <w:spacing w:after="0"/>
              <w:jc w:val="left"/>
            </w:pPr>
            <w:r>
              <w:rPr>
                <w:rFonts w:ascii="Calibri" w:hAnsi="Calibri"/>
                <w:b/>
                <w:color w:val="0B2545"/>
                <w:sz w:val="16"/>
              </w:rPr>
              <w:t>Severity</w:t>
            </w:r>
          </w:p>
        </w:tc>
        <w:tc>
          <w:tcPr>
            <w:tcW w:type="dxa" w:w="1800"/>
            <w:tcMar>
              <w:top w:w="80" w:type="dxa"/>
              <w:start w:w="120" w:type="dxa"/>
              <w:bottom w:w="80" w:type="dxa"/>
              <w:end w:w="120" w:type="dxa"/>
            </w:tcMar>
            <w:vAlign w:val="center"/>
            <w:shd w:fill="FDECEC"/>
          </w:tcPr>
          <w:p>
            <w:pPr>
              <w:spacing w:after="0"/>
              <w:jc w:val="left"/>
            </w:pPr>
            <w:r>
              <w:rPr>
                <w:rFonts w:ascii="Calibri" w:hAnsi="Calibri"/>
                <w:b/>
                <w:color w:val="0B2545"/>
                <w:sz w:val="16"/>
              </w:rPr>
              <w:t>Issue</w:t>
            </w:r>
          </w:p>
        </w:tc>
        <w:tc>
          <w:tcPr>
            <w:tcW w:type="dxa" w:w="3130"/>
            <w:tcMar>
              <w:top w:w="80" w:type="dxa"/>
              <w:start w:w="120" w:type="dxa"/>
              <w:bottom w:w="80" w:type="dxa"/>
              <w:end w:w="120" w:type="dxa"/>
            </w:tcMar>
            <w:vAlign w:val="center"/>
            <w:shd w:fill="FDECEC"/>
          </w:tcPr>
          <w:p>
            <w:pPr>
              <w:spacing w:after="0"/>
              <w:jc w:val="left"/>
            </w:pPr>
            <w:r>
              <w:rPr>
                <w:rFonts w:ascii="Calibri" w:hAnsi="Calibri"/>
                <w:b/>
                <w:color w:val="0B2545"/>
                <w:sz w:val="16"/>
              </w:rPr>
              <w:t>Current effect</w:t>
            </w:r>
          </w:p>
        </w:tc>
        <w:tc>
          <w:tcPr>
            <w:tcW w:type="dxa" w:w="3580"/>
            <w:tcMar>
              <w:top w:w="80" w:type="dxa"/>
              <w:start w:w="120" w:type="dxa"/>
              <w:bottom w:w="80" w:type="dxa"/>
              <w:end w:w="120" w:type="dxa"/>
            </w:tcMar>
            <w:vAlign w:val="center"/>
            <w:shd w:fill="FDECEC"/>
          </w:tcPr>
          <w:p>
            <w:pPr>
              <w:spacing w:after="0"/>
              <w:jc w:val="left"/>
            </w:pPr>
            <w:r>
              <w:rPr>
                <w:rFonts w:ascii="Calibri" w:hAnsi="Calibri"/>
                <w:b/>
                <w:color w:val="0B2545"/>
                <w:sz w:val="16"/>
              </w:rPr>
              <w:t>Required disposition</w:t>
            </w:r>
          </w:p>
        </w:tc>
      </w:tr>
      <w:tr>
        <w:trPr>
          <w:cantSplit/>
        </w:trPr>
        <w:tc>
          <w:tcPr>
            <w:tcW w:type="dxa" w:w="8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Synthetic production data</w:t>
            </w:r>
          </w:p>
        </w:tc>
        <w:tc>
          <w:tcPr>
            <w:tcW w:type="dxa" w:w="3130"/>
            <w:tcMar>
              <w:top w:w="80" w:type="dxa"/>
              <w:start w:w="120" w:type="dxa"/>
              <w:bottom w:w="80" w:type="dxa"/>
              <w:end w:w="120" w:type="dxa"/>
            </w:tcMar>
            <w:vAlign w:val="center"/>
          </w:tcPr>
          <w:p>
            <w:pPr>
              <w:spacing w:after="0" w:line="252" w:lineRule="auto"/>
            </w:pPr>
            <w:r>
              <w:rPr>
                <w:rFonts w:ascii="Calibri" w:hAnsi="Calibri"/>
                <w:color w:val="111827"/>
                <w:sz w:val="16"/>
              </w:rPr>
              <w:t>Seeded product revenue, growth, history, suppliers, competitors, ad budgets, ROAS, videos, and local scores look operational but are not observed.</w:t>
            </w:r>
          </w:p>
        </w:tc>
        <w:tc>
          <w:tcPr>
            <w:tcW w:type="dxa" w:w="3580"/>
            <w:tcMar>
              <w:top w:w="80" w:type="dxa"/>
              <w:start w:w="120" w:type="dxa"/>
              <w:bottom w:w="80" w:type="dxa"/>
              <w:end w:w="120" w:type="dxa"/>
            </w:tcMar>
            <w:vAlign w:val="center"/>
          </w:tcPr>
          <w:p>
            <w:pPr>
              <w:spacing w:after="0" w:line="252" w:lineRule="auto"/>
            </w:pPr>
            <w:r>
              <w:rPr>
                <w:rFonts w:ascii="Calibri" w:hAnsi="Calibri"/>
                <w:color w:val="111827"/>
                <w:sz w:val="16"/>
              </w:rPr>
              <w:t>Quarantine or delete from production; allow fixtures only in tests and an explicitly labeled demo mode.</w:t>
            </w:r>
          </w:p>
        </w:tc>
      </w:tr>
      <w:tr>
        <w:trPr>
          <w:cantSplit/>
        </w:trPr>
        <w:tc>
          <w:tcPr>
            <w:tcW w:type="dxa" w:w="8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Fake refresh</w:t>
            </w:r>
          </w:p>
        </w:tc>
        <w:tc>
          <w:tcPr>
            <w:tcW w:type="dxa" w:w="3130"/>
            <w:tcMar>
              <w:top w:w="80" w:type="dxa"/>
              <w:start w:w="120" w:type="dxa"/>
              <w:bottom w:w="80" w:type="dxa"/>
              <w:end w:w="120" w:type="dxa"/>
            </w:tcMar>
            <w:vAlign w:val="center"/>
          </w:tcPr>
          <w:p>
            <w:pPr>
              <w:spacing w:after="0" w:line="252" w:lineRule="auto"/>
            </w:pPr>
            <w:r>
              <w:rPr>
                <w:rFonts w:ascii="Calibri" w:hAnsi="Calibri"/>
                <w:color w:val="111827"/>
                <w:sz w:val="16"/>
              </w:rPr>
              <w:t>POST /api/research/refresh asks an LLM for scores and otherwise applies random jitter.</w:t>
            </w:r>
          </w:p>
        </w:tc>
        <w:tc>
          <w:tcPr>
            <w:tcW w:type="dxa" w:w="3580"/>
            <w:tcMar>
              <w:top w:w="80" w:type="dxa"/>
              <w:start w:w="120" w:type="dxa"/>
              <w:bottom w:w="80" w:type="dxa"/>
              <w:end w:w="120" w:type="dxa"/>
            </w:tcMar>
            <w:vAlign w:val="center"/>
          </w:tcPr>
          <w:p>
            <w:pPr>
              <w:spacing w:after="0" w:line="252" w:lineRule="auto"/>
            </w:pPr>
            <w:r>
              <w:rPr>
                <w:rFonts w:ascii="Calibri" w:hAnsi="Calibri"/>
                <w:color w:val="111827"/>
                <w:sz w:val="16"/>
              </w:rPr>
              <w:t>Replace with asynchronous source collection jobs; no data change when no new observation arrives.</w:t>
            </w:r>
          </w:p>
        </w:tc>
      </w:tr>
      <w:tr>
        <w:trPr>
          <w:cantSplit/>
        </w:trPr>
        <w:tc>
          <w:tcPr>
            <w:tcW w:type="dxa" w:w="8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Misleading live states</w:t>
            </w:r>
          </w:p>
        </w:tc>
        <w:tc>
          <w:tcPr>
            <w:tcW w:type="dxa" w:w="3130"/>
            <w:tcMar>
              <w:top w:w="80" w:type="dxa"/>
              <w:start w:w="120" w:type="dxa"/>
              <w:bottom w:w="80" w:type="dxa"/>
              <w:end w:w="120" w:type="dxa"/>
            </w:tcMar>
            <w:vAlign w:val="center"/>
          </w:tcPr>
          <w:p>
            <w:pPr>
              <w:spacing w:after="0" w:line="252" w:lineRule="auto"/>
            </w:pPr>
            <w:r>
              <w:rPr>
                <w:rFonts w:ascii="Calibri" w:hAnsi="Calibri"/>
                <w:color w:val="111827"/>
                <w:sz w:val="16"/>
              </w:rPr>
              <w:t>The UI presents staged scanning, live labels, and completed source steps even when those collectors did not run.</w:t>
            </w:r>
          </w:p>
        </w:tc>
        <w:tc>
          <w:tcPr>
            <w:tcW w:type="dxa" w:w="3580"/>
            <w:tcMar>
              <w:top w:w="80" w:type="dxa"/>
              <w:start w:w="120" w:type="dxa"/>
              <w:bottom w:w="80" w:type="dxa"/>
              <w:end w:w="120" w:type="dxa"/>
            </w:tcMar>
            <w:vAlign w:val="center"/>
          </w:tcPr>
          <w:p>
            <w:pPr>
              <w:spacing w:after="0" w:line="252" w:lineRule="auto"/>
            </w:pPr>
            <w:r>
              <w:rPr>
                <w:rFonts w:ascii="Calibri" w:hAnsi="Calibri"/>
                <w:color w:val="111827"/>
                <w:sz w:val="16"/>
              </w:rPr>
              <w:t>Drive progress and source status from persisted job events.</w:t>
            </w:r>
          </w:p>
        </w:tc>
      </w:tr>
      <w:tr>
        <w:trPr>
          <w:cantSplit/>
        </w:trPr>
        <w:tc>
          <w:tcPr>
            <w:tcW w:type="dxa" w:w="8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Credential exposure risk</w:t>
            </w:r>
          </w:p>
        </w:tc>
        <w:tc>
          <w:tcPr>
            <w:tcW w:type="dxa" w:w="3130"/>
            <w:tcMar>
              <w:top w:w="80" w:type="dxa"/>
              <w:start w:w="120" w:type="dxa"/>
              <w:bottom w:w="80" w:type="dxa"/>
              <w:end w:w="120" w:type="dxa"/>
            </w:tcMar>
            <w:vAlign w:val="center"/>
          </w:tcPr>
          <w:p>
            <w:pPr>
              <w:spacing w:after="0" w:line="252" w:lineRule="auto"/>
            </w:pPr>
            <w:r>
              <w:rPr>
                <w:rFonts w:ascii="Calibri" w:hAnsi="Calibri"/>
                <w:color w:val="111827"/>
                <w:sz w:val="16"/>
              </w:rPr>
              <w:t>An active-looking Emergent credential appeared in the example environment file during review.</w:t>
            </w:r>
          </w:p>
        </w:tc>
        <w:tc>
          <w:tcPr>
            <w:tcW w:type="dxa" w:w="3580"/>
            <w:tcMar>
              <w:top w:w="80" w:type="dxa"/>
              <w:start w:w="120" w:type="dxa"/>
              <w:bottom w:w="80" w:type="dxa"/>
              <w:end w:w="120" w:type="dxa"/>
            </w:tcMar>
            <w:vAlign w:val="center"/>
          </w:tcPr>
          <w:p>
            <w:pPr>
              <w:spacing w:after="0" w:line="252" w:lineRule="auto"/>
            </w:pPr>
            <w:r>
              <w:rPr>
                <w:rFonts w:ascii="Calibri" w:hAnsi="Calibri"/>
                <w:color w:val="111827"/>
                <w:sz w:val="16"/>
              </w:rPr>
              <w:t>Revoke and rotate it; remove all secrets from Git history; enable secret scanning.</w:t>
            </w:r>
          </w:p>
        </w:tc>
      </w:tr>
      <w:tr>
        <w:trPr>
          <w:cantSplit/>
        </w:trPr>
        <w:tc>
          <w:tcPr>
            <w:tcW w:type="dxa" w:w="8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Fresh-clone build risk</w:t>
            </w:r>
          </w:p>
        </w:tc>
        <w:tc>
          <w:tcPr>
            <w:tcW w:type="dxa" w:w="3130"/>
            <w:tcMar>
              <w:top w:w="80" w:type="dxa"/>
              <w:start w:w="120" w:type="dxa"/>
              <w:bottom w:w="80" w:type="dxa"/>
              <w:end w:w="120" w:type="dxa"/>
            </w:tcMar>
            <w:vAlign w:val="center"/>
          </w:tcPr>
          <w:p>
            <w:pPr>
              <w:spacing w:after="0" w:line="252" w:lineRule="auto"/>
            </w:pPr>
            <w:r>
              <w:rPr>
                <w:rFonts w:ascii="Calibri" w:hAnsi="Calibri"/>
                <w:color w:val="111827"/>
                <w:sz w:val="16"/>
              </w:rPr>
              <w:t>The root lib/ ignore rule can omit frontend/src/lib while pages import @/lib modules.</w:t>
            </w:r>
          </w:p>
        </w:tc>
        <w:tc>
          <w:tcPr>
            <w:tcW w:type="dxa" w:w="3580"/>
            <w:tcMar>
              <w:top w:w="80" w:type="dxa"/>
              <w:start w:w="120" w:type="dxa"/>
              <w:bottom w:w="80" w:type="dxa"/>
              <w:end w:w="120" w:type="dxa"/>
            </w:tcMar>
            <w:vAlign w:val="center"/>
          </w:tcPr>
          <w:p>
            <w:pPr>
              <w:spacing w:after="0" w:line="252" w:lineRule="auto"/>
            </w:pPr>
            <w:r>
              <w:rPr>
                <w:rFonts w:ascii="Calibri" w:hAnsi="Calibri"/>
                <w:color w:val="111827"/>
                <w:sz w:val="16"/>
              </w:rPr>
              <w:t>Scope the ignore rule, restore tracked source files, and prove a clean clone builds in CI.</w:t>
            </w:r>
          </w:p>
        </w:tc>
      </w:tr>
      <w:tr>
        <w:trPr>
          <w:cantSplit/>
        </w:trPr>
        <w:tc>
          <w:tcPr>
            <w:tcW w:type="dxa" w:w="8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Unauthenticated costly writes</w:t>
            </w:r>
          </w:p>
        </w:tc>
        <w:tc>
          <w:tcPr>
            <w:tcW w:type="dxa" w:w="3130"/>
            <w:tcMar>
              <w:top w:w="80" w:type="dxa"/>
              <w:start w:w="120" w:type="dxa"/>
              <w:bottom w:w="80" w:type="dxa"/>
              <w:end w:w="120" w:type="dxa"/>
            </w:tcMar>
            <w:vAlign w:val="center"/>
          </w:tcPr>
          <w:p>
            <w:pPr>
              <w:spacing w:after="0" w:line="252" w:lineRule="auto"/>
            </w:pPr>
            <w:r>
              <w:rPr>
                <w:rFonts w:ascii="Calibri" w:hAnsi="Calibri"/>
                <w:color w:val="111827"/>
                <w:sz w:val="16"/>
              </w:rPr>
              <w:t>Research, briefs, niches, Store Spy, and RFQ endpoints can consume model budget or mutate shared data.</w:t>
            </w:r>
          </w:p>
        </w:tc>
        <w:tc>
          <w:tcPr>
            <w:tcW w:type="dxa" w:w="3580"/>
            <w:tcMar>
              <w:top w:w="80" w:type="dxa"/>
              <w:start w:w="120" w:type="dxa"/>
              <w:bottom w:w="80" w:type="dxa"/>
              <w:end w:w="120" w:type="dxa"/>
            </w:tcMar>
            <w:vAlign w:val="center"/>
          </w:tcPr>
          <w:p>
            <w:pPr>
              <w:spacing w:after="0" w:line="252" w:lineRule="auto"/>
            </w:pPr>
            <w:r>
              <w:rPr>
                <w:rFonts w:ascii="Calibri" w:hAnsi="Calibri"/>
                <w:color w:val="111827"/>
                <w:sz w:val="16"/>
              </w:rPr>
              <w:t>Add authentication, workspace ownership, rate limits, quotas, job idempotency, and audit events.</w:t>
            </w:r>
          </w:p>
        </w:tc>
      </w:tr>
      <w:tr>
        <w:trPr>
          <w:cantSplit/>
        </w:trPr>
        <w:tc>
          <w:tcPr>
            <w:tcW w:type="dxa" w:w="850"/>
            <w:tcMar>
              <w:top w:w="80" w:type="dxa"/>
              <w:start w:w="120" w:type="dxa"/>
              <w:bottom w:w="80" w:type="dxa"/>
              <w:end w:w="120" w:type="dxa"/>
            </w:tcMar>
            <w:vAlign w:val="center"/>
          </w:tcPr>
          <w:p>
            <w:pPr>
              <w:spacing w:after="0" w:line="252" w:lineRule="auto"/>
            </w:pPr>
            <w:r>
              <w:rPr>
                <w:rFonts w:ascii="Calibri" w:hAnsi="Calibri"/>
                <w:color w:val="111827"/>
                <w:sz w:val="16"/>
              </w:rPr>
              <w:t>P1</w:t>
            </w:r>
          </w:p>
        </w:tc>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Monolithic backend</w:t>
            </w:r>
          </w:p>
        </w:tc>
        <w:tc>
          <w:tcPr>
            <w:tcW w:type="dxa" w:w="3130"/>
            <w:tcMar>
              <w:top w:w="80" w:type="dxa"/>
              <w:start w:w="120" w:type="dxa"/>
              <w:bottom w:w="80" w:type="dxa"/>
              <w:end w:w="120" w:type="dxa"/>
            </w:tcMar>
            <w:vAlign w:val="center"/>
          </w:tcPr>
          <w:p>
            <w:pPr>
              <w:spacing w:after="0" w:line="252" w:lineRule="auto"/>
            </w:pPr>
            <w:r>
              <w:rPr>
                <w:rFonts w:ascii="Calibri" w:hAnsi="Calibri"/>
                <w:color w:val="111827"/>
                <w:sz w:val="16"/>
              </w:rPr>
              <w:t>server.py owns models, database access, routes, prompts, and business logic.</w:t>
            </w:r>
          </w:p>
        </w:tc>
        <w:tc>
          <w:tcPr>
            <w:tcW w:type="dxa" w:w="3580"/>
            <w:tcMar>
              <w:top w:w="80" w:type="dxa"/>
              <w:start w:w="120" w:type="dxa"/>
              <w:bottom w:w="80" w:type="dxa"/>
              <w:end w:w="120" w:type="dxa"/>
            </w:tcMar>
            <w:vAlign w:val="center"/>
          </w:tcPr>
          <w:p>
            <w:pPr>
              <w:spacing w:after="0" w:line="252" w:lineRule="auto"/>
            </w:pPr>
            <w:r>
              <w:rPr>
                <w:rFonts w:ascii="Calibri" w:hAnsi="Calibri"/>
                <w:color w:val="111827"/>
                <w:sz w:val="16"/>
              </w:rPr>
              <w:t>Split routers, domain services, repositories, connectors, and workers.</w:t>
            </w:r>
          </w:p>
        </w:tc>
      </w:tr>
      <w:tr>
        <w:trPr>
          <w:cantSplit/>
        </w:trPr>
        <w:tc>
          <w:tcPr>
            <w:tcW w:type="dxa" w:w="850"/>
            <w:tcMar>
              <w:top w:w="80" w:type="dxa"/>
              <w:start w:w="120" w:type="dxa"/>
              <w:bottom w:w="80" w:type="dxa"/>
              <w:end w:w="120" w:type="dxa"/>
            </w:tcMar>
            <w:vAlign w:val="center"/>
          </w:tcPr>
          <w:p>
            <w:pPr>
              <w:spacing w:after="0" w:line="252" w:lineRule="auto"/>
            </w:pPr>
            <w:r>
              <w:rPr>
                <w:rFonts w:ascii="Calibri" w:hAnsi="Calibri"/>
                <w:color w:val="111827"/>
                <w:sz w:val="16"/>
              </w:rPr>
              <w:t>P1</w:t>
            </w:r>
          </w:p>
        </w:tc>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Incomplete verification</w:t>
            </w:r>
          </w:p>
        </w:tc>
        <w:tc>
          <w:tcPr>
            <w:tcW w:type="dxa" w:w="3130"/>
            <w:tcMar>
              <w:top w:w="80" w:type="dxa"/>
              <w:start w:w="120" w:type="dxa"/>
              <w:bottom w:w="80" w:type="dxa"/>
              <w:end w:w="120" w:type="dxa"/>
            </w:tcMar>
            <w:vAlign w:val="center"/>
          </w:tcPr>
          <w:p>
            <w:pPr>
              <w:spacing w:after="0" w:line="252" w:lineRule="auto"/>
            </w:pPr>
            <w:r>
              <w:rPr>
                <w:rFonts w:ascii="Calibri" w:hAnsi="Calibri"/>
                <w:color w:val="111827"/>
                <w:sz w:val="16"/>
              </w:rPr>
              <w:t>Backend tests exist, but frontend tests and automated GitHub Actions are absent or insufficient for a clean-clone release gate.</w:t>
            </w:r>
          </w:p>
        </w:tc>
        <w:tc>
          <w:tcPr>
            <w:tcW w:type="dxa" w:w="3580"/>
            <w:tcMar>
              <w:top w:w="80" w:type="dxa"/>
              <w:start w:w="120" w:type="dxa"/>
              <w:bottom w:w="80" w:type="dxa"/>
              <w:end w:w="120" w:type="dxa"/>
            </w:tcMar>
            <w:vAlign w:val="center"/>
          </w:tcPr>
          <w:p>
            <w:pPr>
              <w:spacing w:after="0" w:line="252" w:lineRule="auto"/>
            </w:pPr>
            <w:r>
              <w:rPr>
                <w:rFonts w:ascii="Calibri" w:hAnsi="Calibri"/>
                <w:color w:val="111827"/>
                <w:sz w:val="16"/>
              </w:rPr>
              <w:t>Add unit, contract, integration, Playwright, security, and deployment smoke pipelines.</w:t>
            </w:r>
          </w:p>
        </w:tc>
      </w:tr>
    </w:tbl>
    <w:p>
      <w:pPr>
        <w:spacing w:after="60"/>
      </w:pPr>
    </w:p>
    <w:p>
      <w:pPr>
        <w:pStyle w:val="Heading2"/>
        <w:keepNext/>
        <w:keepLines/>
      </w:pPr>
      <w:r>
        <w:t>2.3 Retain / rebuild / retire / defer matrix</w:t>
      </w:r>
    </w:p>
    <w:tbl>
      <w:tblPr>
        <w:tblStyle w:val="TableGrid"/>
        <w:tblW w:type="dxa" w:w="9360"/>
        <w:tblLayout w:type="fixed"/>
        <w:tblLook w:firstColumn="1" w:firstRow="1" w:lastColumn="0" w:lastRow="0" w:noHBand="0" w:noVBand="1" w:val="04A0"/>
        <w:tblInd w:w="120" w:type="dxa"/>
      </w:tblPr>
      <w:tblGrid>
        <w:gridCol w:w="1000"/>
        <w:gridCol w:w="4500"/>
        <w:gridCol w:w="3860"/>
      </w:tblGrid>
      <w:tr>
        <w:trPr>
          <w:tblHeader w:val="true"/>
          <w:cantSplit/>
        </w:trPr>
        <w:tc>
          <w:tcPr>
            <w:tcW w:type="dxa" w:w="1000"/>
            <w:tcMar>
              <w:top w:w="80" w:type="dxa"/>
              <w:start w:w="120" w:type="dxa"/>
              <w:bottom w:w="80" w:type="dxa"/>
              <w:end w:w="120" w:type="dxa"/>
            </w:tcMar>
            <w:vAlign w:val="center"/>
            <w:shd w:fill="E8EEF5"/>
          </w:tcPr>
          <w:p>
            <w:pPr>
              <w:spacing w:after="0"/>
              <w:jc w:val="left"/>
            </w:pPr>
            <w:r>
              <w:rPr>
                <w:rFonts w:ascii="Calibri" w:hAnsi="Calibri"/>
                <w:b/>
                <w:color w:val="0B2545"/>
                <w:sz w:val="17"/>
              </w:rPr>
              <w:t>Action</w:t>
            </w:r>
          </w:p>
        </w:tc>
        <w:tc>
          <w:tcPr>
            <w:tcW w:type="dxa" w:w="4500"/>
            <w:tcMar>
              <w:top w:w="80" w:type="dxa"/>
              <w:start w:w="120" w:type="dxa"/>
              <w:bottom w:w="80" w:type="dxa"/>
              <w:end w:w="120" w:type="dxa"/>
            </w:tcMar>
            <w:vAlign w:val="center"/>
            <w:shd w:fill="E8EEF5"/>
          </w:tcPr>
          <w:p>
            <w:pPr>
              <w:spacing w:after="0"/>
              <w:jc w:val="left"/>
            </w:pPr>
            <w:r>
              <w:rPr>
                <w:rFonts w:ascii="Calibri" w:hAnsi="Calibri"/>
                <w:b/>
                <w:color w:val="0B2545"/>
                <w:sz w:val="17"/>
              </w:rPr>
              <w:t>Components</w:t>
            </w:r>
          </w:p>
        </w:tc>
        <w:tc>
          <w:tcPr>
            <w:tcW w:type="dxa" w:w="3860"/>
            <w:tcMar>
              <w:top w:w="80" w:type="dxa"/>
              <w:start w:w="120" w:type="dxa"/>
              <w:bottom w:w="80" w:type="dxa"/>
              <w:end w:w="120" w:type="dxa"/>
            </w:tcMar>
            <w:vAlign w:val="center"/>
            <w:shd w:fill="E8EEF5"/>
          </w:tcPr>
          <w:p>
            <w:pPr>
              <w:spacing w:after="0"/>
              <w:jc w:val="left"/>
            </w:pPr>
            <w:r>
              <w:rPr>
                <w:rFonts w:ascii="Calibri" w:hAnsi="Calibri"/>
                <w:b/>
                <w:color w:val="0B2545"/>
                <w:sz w:val="17"/>
              </w:rPr>
              <w:t>Reason</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111827"/>
                <w:sz w:val="17"/>
              </w:rPr>
              <w:t>Retain</w:t>
            </w:r>
          </w:p>
        </w:tc>
        <w:tc>
          <w:tcPr>
            <w:tcW w:type="dxa" w:w="4500"/>
            <w:tcMar>
              <w:top w:w="80" w:type="dxa"/>
              <w:start w:w="120" w:type="dxa"/>
              <w:bottom w:w="80" w:type="dxa"/>
              <w:end w:w="120" w:type="dxa"/>
            </w:tcMar>
            <w:vAlign w:val="center"/>
          </w:tcPr>
          <w:p>
            <w:pPr>
              <w:spacing w:after="0" w:line="252" w:lineRule="auto"/>
            </w:pPr>
            <w:r>
              <w:rPr>
                <w:rFonts w:ascii="Calibri" w:hAnsi="Calibri"/>
                <w:color w:val="111827"/>
                <w:sz w:val="17"/>
              </w:rPr>
              <w:t>UI shell, design tokens, basic cards, theme, charts, TanStack Query, FastAPI, Pydantic, connector registry concept</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The bones are useful and reduce redesign time.</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111827"/>
                <w:sz w:val="17"/>
              </w:rPr>
              <w:t>Rebuild</w:t>
            </w:r>
          </w:p>
        </w:tc>
        <w:tc>
          <w:tcPr>
            <w:tcW w:type="dxa" w:w="4500"/>
            <w:tcMar>
              <w:top w:w="80" w:type="dxa"/>
              <w:start w:w="120" w:type="dxa"/>
              <w:bottom w:w="80" w:type="dxa"/>
              <w:end w:w="120" w:type="dxa"/>
            </w:tcMar>
            <w:vAlign w:val="center"/>
          </w:tcPr>
          <w:p>
            <w:pPr>
              <w:spacing w:after="0" w:line="252" w:lineRule="auto"/>
            </w:pPr>
            <w:r>
              <w:rPr>
                <w:rFonts w:ascii="Calibri" w:hAnsi="Calibri"/>
                <w:color w:val="111827"/>
                <w:sz w:val="17"/>
              </w:rPr>
              <w:t>Product model, country model, scores, research refresh, product detail, suppliers, Store Spy, Viral Video Spy, market brief</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These features currently mix presentation and unverified claims.</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111827"/>
                <w:sz w:val="17"/>
              </w:rPr>
              <w:t>Retire</w:t>
            </w:r>
          </w:p>
        </w:tc>
        <w:tc>
          <w:tcPr>
            <w:tcW w:type="dxa" w:w="4500"/>
            <w:tcMar>
              <w:top w:w="80" w:type="dxa"/>
              <w:start w:w="120" w:type="dxa"/>
              <w:bottom w:w="80" w:type="dxa"/>
              <w:end w:w="120" w:type="dxa"/>
            </w:tcMar>
            <w:vAlign w:val="center"/>
          </w:tcPr>
          <w:p>
            <w:pPr>
              <w:spacing w:after="0" w:line="252" w:lineRule="auto"/>
            </w:pPr>
            <w:r>
              <w:rPr>
                <w:rFonts w:ascii="Calibri" w:hAnsi="Calibri"/>
                <w:color w:val="111827"/>
                <w:sz w:val="17"/>
              </w:rPr>
              <w:t>Production seed data, category templates presented as findings, random score jitter, fake ROAS/revenue, generic Google supplier links</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They damage user trust and decision quality.</w:t>
            </w:r>
          </w:p>
        </w:tc>
      </w:tr>
      <w:tr>
        <w:trPr>
          <w:cantSplit/>
        </w:trPr>
        <w:tc>
          <w:tcPr>
            <w:tcW w:type="dxa" w:w="1000"/>
            <w:tcMar>
              <w:top w:w="80" w:type="dxa"/>
              <w:start w:w="120" w:type="dxa"/>
              <w:bottom w:w="80" w:type="dxa"/>
              <w:end w:w="120" w:type="dxa"/>
            </w:tcMar>
            <w:vAlign w:val="center"/>
          </w:tcPr>
          <w:p>
            <w:pPr>
              <w:spacing w:after="0" w:line="252" w:lineRule="auto"/>
            </w:pPr>
            <w:r>
              <w:rPr>
                <w:rFonts w:ascii="Calibri" w:hAnsi="Calibri"/>
                <w:color w:val="111827"/>
                <w:sz w:val="17"/>
              </w:rPr>
              <w:t>Defer</w:t>
            </w:r>
          </w:p>
        </w:tc>
        <w:tc>
          <w:tcPr>
            <w:tcW w:type="dxa" w:w="4500"/>
            <w:tcMar>
              <w:top w:w="80" w:type="dxa"/>
              <w:start w:w="120" w:type="dxa"/>
              <w:bottom w:w="80" w:type="dxa"/>
              <w:end w:w="120" w:type="dxa"/>
            </w:tcMar>
            <w:vAlign w:val="center"/>
          </w:tcPr>
          <w:p>
            <w:pPr>
              <w:spacing w:after="0" w:line="252" w:lineRule="auto"/>
            </w:pPr>
            <w:r>
              <w:rPr>
                <w:rFonts w:ascii="Calibri" w:hAnsi="Calibri"/>
                <w:color w:val="111827"/>
                <w:sz w:val="17"/>
              </w:rPr>
              <w:t>46-country coverage, auto-ordering, mobile wrapper, autonomous campaign execution, voice briefs</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They add breadth before evidence quality and retention are proven.</w:t>
            </w:r>
          </w:p>
        </w:tc>
      </w:tr>
    </w:tbl>
    <w:p>
      <w:pPr>
        <w:spacing w:after="60"/>
      </w:pPr>
    </w:p>
    <w:p>
      <w:r>
        <w:br w:type="page"/>
      </w:r>
    </w:p>
    <w:p>
      <w:pPr>
        <w:pStyle w:val="Heading1"/>
        <w:keepNext/>
        <w:keepLines/>
      </w:pPr>
      <w:r>
        <w:t>3. Target experience and information architecture</w:t>
      </w:r>
    </w:p>
    <w:p>
      <w:pPr>
        <w:pStyle w:val="Heading2"/>
        <w:keepNext/>
        <w:keepLines/>
      </w:pPr>
      <w:r>
        <w:t>3.1 North-star user journey</w:t>
      </w:r>
    </w:p>
    <w:p>
      <w:pPr>
        <w:keepLines/>
        <w:numPr>
          <w:ilvl w:val="0"/>
          <w:numId w:val="12"/>
        </w:numPr>
        <w:spacing w:after="160" w:line="280" w:lineRule="auto"/>
      </w:pPr>
      <w:r>
        <w:rPr>
          <w:rFonts w:ascii="Calibri" w:hAnsi="Calibri"/>
          <w:color w:val="111827"/>
          <w:sz w:val="22"/>
        </w:rPr>
        <w:t>Capture: the user pastes a URL, uploads an image, enters an ASIN, or searches a product phrase.</w:t>
      </w:r>
    </w:p>
    <w:p>
      <w:pPr>
        <w:keepLines/>
        <w:numPr>
          <w:ilvl w:val="0"/>
          <w:numId w:val="12"/>
        </w:numPr>
        <w:spacing w:after="160" w:line="280" w:lineRule="auto"/>
      </w:pPr>
      <w:r>
        <w:rPr>
          <w:rFonts w:ascii="Calibri" w:hAnsi="Calibri"/>
          <w:color w:val="111827"/>
          <w:sz w:val="22"/>
        </w:rPr>
        <w:t>Resolve: TrendSell identifies the canonical product and displays exact, probable, and similar matches separately.</w:t>
      </w:r>
    </w:p>
    <w:p>
      <w:pPr>
        <w:keepLines/>
        <w:numPr>
          <w:ilvl w:val="0"/>
          <w:numId w:val="12"/>
        </w:numPr>
        <w:spacing w:after="160" w:line="280" w:lineRule="auto"/>
      </w:pPr>
      <w:r>
        <w:rPr>
          <w:rFonts w:ascii="Calibri" w:hAnsi="Calibri"/>
          <w:color w:val="111827"/>
          <w:sz w:val="22"/>
        </w:rPr>
        <w:t>Prove: TrendSell collects current demand, marketplace, advertising, creator, pricing, and competition observations.</w:t>
      </w:r>
    </w:p>
    <w:p>
      <w:pPr>
        <w:keepLines/>
        <w:numPr>
          <w:ilvl w:val="0"/>
          <w:numId w:val="12"/>
        </w:numPr>
        <w:spacing w:after="160" w:line="280" w:lineRule="auto"/>
      </w:pPr>
      <w:r>
        <w:rPr>
          <w:rFonts w:ascii="Calibri" w:hAnsi="Calibri"/>
          <w:color w:val="111827"/>
          <w:sz w:val="22"/>
        </w:rPr>
        <w:t>Localize: the user selects a destination market, order quantity, channel, and shipping mode.</w:t>
      </w:r>
    </w:p>
    <w:p>
      <w:pPr>
        <w:keepLines/>
        <w:numPr>
          <w:ilvl w:val="0"/>
          <w:numId w:val="12"/>
        </w:numPr>
        <w:spacing w:after="160" w:line="280" w:lineRule="auto"/>
      </w:pPr>
      <w:r>
        <w:rPr>
          <w:rFonts w:ascii="Calibri" w:hAnsi="Calibri"/>
          <w:color w:val="111827"/>
          <w:sz w:val="22"/>
        </w:rPr>
        <w:t>Decide: the system calculates best/base/worst economics and returns GO, WATCH, or NO-GO with blocking conditions.</w:t>
      </w:r>
    </w:p>
    <w:p>
      <w:pPr>
        <w:keepLines/>
        <w:numPr>
          <w:ilvl w:val="0"/>
          <w:numId w:val="12"/>
        </w:numPr>
        <w:spacing w:after="160" w:line="280" w:lineRule="auto"/>
      </w:pPr>
      <w:r>
        <w:rPr>
          <w:rFonts w:ascii="Calibri" w:hAnsi="Calibri"/>
          <w:color w:val="111827"/>
          <w:sz w:val="22"/>
        </w:rPr>
        <w:t>Act: the user saves the opportunity, requests supplier quotes, exports a brief, or starts a small validation experiment.</w:t>
      </w:r>
    </w:p>
    <w:p>
      <w:pPr>
        <w:keepLines/>
        <w:numPr>
          <w:ilvl w:val="0"/>
          <w:numId w:val="12"/>
        </w:numPr>
        <w:spacing w:after="160" w:line="280" w:lineRule="auto"/>
      </w:pPr>
      <w:r>
        <w:rPr>
          <w:rFonts w:ascii="Calibri" w:hAnsi="Calibri"/>
          <w:color w:val="111827"/>
          <w:sz w:val="22"/>
        </w:rPr>
        <w:t>Monitor: Watchtower detects meaningful changes and explains why the decision changed.</w:t>
      </w:r>
    </w:p>
    <w:p>
      <w:pPr>
        <w:pStyle w:val="Heading2"/>
        <w:keepNext/>
        <w:keepLines/>
      </w:pPr>
      <w:r>
        <w:t>3.2 Example scenario</w:t>
      </w:r>
    </w:p>
    <w:p>
      <w:pPr>
        <w:spacing w:after="120" w:line="264" w:lineRule="auto"/>
      </w:pPr>
      <w:r>
        <w:rPr>
          <w:rFonts w:ascii="Calibri" w:hAnsi="Calibri"/>
          <w:i w:val="0"/>
          <w:color w:val="111827"/>
          <w:sz w:val="22"/>
        </w:rPr>
        <w:t>Imagine a scenario where Ada sees a portable garment steamer in a TikTok video and considers importing 300 units into Nigeria. She pastes the video URL into TrendSell. The system finds a probable Amazon match and three supplier candidates, but labels each match with confidence. It shows that search interest has risen, review creation has accelerated, and several ads have remained active; it does not claim private sales or ROAS.</w:t>
      </w:r>
    </w:p>
    <w:p>
      <w:pPr>
        <w:spacing w:after="120" w:line="264" w:lineRule="auto"/>
      </w:pPr>
      <w:r>
        <w:rPr>
          <w:rFonts w:ascii="Calibri" w:hAnsi="Calibri"/>
          <w:i w:val="0"/>
          <w:color w:val="111827"/>
          <w:sz w:val="22"/>
        </w:rPr>
        <w:t>Ada enters a supplier quote of $8.40 per unit, 300 units, Lagos delivery, air freight, and a target selling price of NGN 32,000. The decision room returns WATCH because the base-case contribution margin is healthy but the appliance certification requirement is unresolved. After Ada uploads the supplier certificate and obtains a freight quote, the evidence confidence rises and the decision changes to GO. All figures in this scenario are illustrative; the real interface must display the source or user input behind every value.</w:t>
      </w:r>
    </w:p>
    <w:p>
      <w:pPr>
        <w:pStyle w:val="Heading2"/>
        <w:keepNext/>
        <w:keepLines/>
      </w:pPr>
      <w:r>
        <w:t>3.3 Primary navigation</w:t>
      </w:r>
    </w:p>
    <w:tbl>
      <w:tblPr>
        <w:tblStyle w:val="TableGrid"/>
        <w:tblW w:type="dxa" w:w="9360"/>
        <w:tblLayout w:type="fixed"/>
        <w:tblLook w:firstColumn="1" w:firstRow="1" w:lastColumn="0" w:lastRow="0" w:noHBand="0" w:noVBand="1" w:val="04A0"/>
        <w:tblInd w:w="120" w:type="dxa"/>
      </w:tblPr>
      <w:tblGrid>
        <w:gridCol w:w="1500"/>
        <w:gridCol w:w="5360"/>
        <w:gridCol w:w="2500"/>
      </w:tblGrid>
      <w:tr>
        <w:trPr>
          <w:tblHeader w:val="true"/>
          <w:cantSplit/>
        </w:trPr>
        <w:tc>
          <w:tcPr>
            <w:tcW w:type="dxa" w:w="1500"/>
            <w:tcMar>
              <w:top w:w="80" w:type="dxa"/>
              <w:start w:w="120" w:type="dxa"/>
              <w:bottom w:w="80" w:type="dxa"/>
              <w:end w:w="120" w:type="dxa"/>
            </w:tcMar>
            <w:vAlign w:val="center"/>
            <w:shd w:fill="E8EEF5"/>
          </w:tcPr>
          <w:p>
            <w:pPr>
              <w:spacing w:after="0"/>
              <w:jc w:val="left"/>
            </w:pPr>
            <w:r>
              <w:rPr>
                <w:rFonts w:ascii="Calibri" w:hAnsi="Calibri"/>
                <w:b/>
                <w:color w:val="0B2545"/>
                <w:sz w:val="17"/>
              </w:rPr>
              <w:t>Destination</w:t>
            </w:r>
          </w:p>
        </w:tc>
        <w:tc>
          <w:tcPr>
            <w:tcW w:type="dxa" w:w="5360"/>
            <w:tcMar>
              <w:top w:w="80" w:type="dxa"/>
              <w:start w:w="120" w:type="dxa"/>
              <w:bottom w:w="80" w:type="dxa"/>
              <w:end w:w="120" w:type="dxa"/>
            </w:tcMar>
            <w:vAlign w:val="center"/>
            <w:shd w:fill="E8EEF5"/>
          </w:tcPr>
          <w:p>
            <w:pPr>
              <w:spacing w:after="0"/>
              <w:jc w:val="left"/>
            </w:pPr>
            <w:r>
              <w:rPr>
                <w:rFonts w:ascii="Calibri" w:hAnsi="Calibri"/>
                <w:b/>
                <w:color w:val="0B2545"/>
                <w:sz w:val="17"/>
              </w:rPr>
              <w:t>Purpose</w:t>
            </w:r>
          </w:p>
        </w:tc>
        <w:tc>
          <w:tcPr>
            <w:tcW w:type="dxa" w:w="2500"/>
            <w:tcMar>
              <w:top w:w="80" w:type="dxa"/>
              <w:start w:w="120" w:type="dxa"/>
              <w:bottom w:w="80" w:type="dxa"/>
              <w:end w:w="120" w:type="dxa"/>
            </w:tcMar>
            <w:vAlign w:val="center"/>
            <w:shd w:fill="E8EEF5"/>
          </w:tcPr>
          <w:p>
            <w:pPr>
              <w:spacing w:after="0"/>
              <w:jc w:val="left"/>
            </w:pPr>
            <w:r>
              <w:rPr>
                <w:rFonts w:ascii="Calibri" w:hAnsi="Calibri"/>
                <w:b/>
                <w:color w:val="0B2545"/>
                <w:sz w:val="17"/>
              </w:rPr>
              <w:t>Business role</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Today</w:t>
            </w:r>
          </w:p>
        </w:tc>
        <w:tc>
          <w:tcPr>
            <w:tcW w:type="dxa" w:w="5360"/>
            <w:tcMar>
              <w:top w:w="80" w:type="dxa"/>
              <w:start w:w="120" w:type="dxa"/>
              <w:bottom w:w="80" w:type="dxa"/>
              <w:end w:w="120" w:type="dxa"/>
            </w:tcMar>
            <w:vAlign w:val="center"/>
          </w:tcPr>
          <w:p>
            <w:pPr>
              <w:spacing w:after="0" w:line="252" w:lineRule="auto"/>
            </w:pPr>
            <w:r>
              <w:rPr>
                <w:rFonts w:ascii="Calibri" w:hAnsi="Calibri"/>
                <w:color w:val="111827"/>
                <w:sz w:val="17"/>
              </w:rPr>
              <w:t>What changed overnight: three opportunities, two warnings, one recommended action</w:t>
            </w:r>
          </w:p>
        </w:tc>
        <w:tc>
          <w:tcPr>
            <w:tcW w:type="dxa" w:w="2500"/>
            <w:tcMar>
              <w:top w:w="80" w:type="dxa"/>
              <w:start w:w="120" w:type="dxa"/>
              <w:bottom w:w="80" w:type="dxa"/>
              <w:end w:w="120" w:type="dxa"/>
            </w:tcMar>
            <w:vAlign w:val="center"/>
          </w:tcPr>
          <w:p>
            <w:pPr>
              <w:spacing w:after="0" w:line="252" w:lineRule="auto"/>
            </w:pPr>
            <w:r>
              <w:rPr>
                <w:rFonts w:ascii="Calibri" w:hAnsi="Calibri"/>
                <w:color w:val="111827"/>
                <w:sz w:val="17"/>
              </w:rPr>
              <w:t>Daily return habit</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Discover</w:t>
            </w:r>
          </w:p>
        </w:tc>
        <w:tc>
          <w:tcPr>
            <w:tcW w:type="dxa" w:w="5360"/>
            <w:tcMar>
              <w:top w:w="80" w:type="dxa"/>
              <w:start w:w="120" w:type="dxa"/>
              <w:bottom w:w="80" w:type="dxa"/>
              <w:end w:w="120" w:type="dxa"/>
            </w:tcMar>
            <w:vAlign w:val="center"/>
          </w:tcPr>
          <w:p>
            <w:pPr>
              <w:spacing w:after="0" w:line="252" w:lineRule="auto"/>
            </w:pPr>
            <w:r>
              <w:rPr>
                <w:rFonts w:ascii="Calibri" w:hAnsi="Calibri"/>
                <w:color w:val="111827"/>
                <w:sz w:val="17"/>
              </w:rPr>
              <w:t>Search and filter observed products and signals</w:t>
            </w:r>
          </w:p>
        </w:tc>
        <w:tc>
          <w:tcPr>
            <w:tcW w:type="dxa" w:w="2500"/>
            <w:tcMar>
              <w:top w:w="80" w:type="dxa"/>
              <w:start w:w="120" w:type="dxa"/>
              <w:bottom w:w="80" w:type="dxa"/>
              <w:end w:w="120" w:type="dxa"/>
            </w:tcMar>
            <w:vAlign w:val="center"/>
          </w:tcPr>
          <w:p>
            <w:pPr>
              <w:spacing w:after="0" w:line="252" w:lineRule="auto"/>
            </w:pPr>
            <w:r>
              <w:rPr>
                <w:rFonts w:ascii="Calibri" w:hAnsi="Calibri"/>
                <w:color w:val="111827"/>
                <w:sz w:val="17"/>
              </w:rPr>
              <w:t>Broad exploration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X-Ray</w:t>
            </w:r>
          </w:p>
        </w:tc>
        <w:tc>
          <w:tcPr>
            <w:tcW w:type="dxa" w:w="5360"/>
            <w:tcMar>
              <w:top w:w="80" w:type="dxa"/>
              <w:start w:w="120" w:type="dxa"/>
              <w:bottom w:w="80" w:type="dxa"/>
              <w:end w:w="120" w:type="dxa"/>
            </w:tcMar>
            <w:vAlign w:val="center"/>
          </w:tcPr>
          <w:p>
            <w:pPr>
              <w:spacing w:after="0" w:line="252" w:lineRule="auto"/>
            </w:pPr>
            <w:r>
              <w:rPr>
                <w:rFonts w:ascii="Calibri" w:hAnsi="Calibri"/>
                <w:color w:val="111827"/>
                <w:sz w:val="17"/>
              </w:rPr>
              <w:t>Paste URL/image/video and create a product investigation</w:t>
            </w:r>
          </w:p>
        </w:tc>
        <w:tc>
          <w:tcPr>
            <w:tcW w:type="dxa" w:w="2500"/>
            <w:tcMar>
              <w:top w:w="80" w:type="dxa"/>
              <w:start w:w="120" w:type="dxa"/>
              <w:bottom w:w="80" w:type="dxa"/>
              <w:end w:w="120" w:type="dxa"/>
            </w:tcMar>
            <w:vAlign w:val="center"/>
          </w:tcPr>
          <w:p>
            <w:pPr>
              <w:spacing w:after="0" w:line="252" w:lineRule="auto"/>
            </w:pPr>
            <w:r>
              <w:rPr>
                <w:rFonts w:ascii="Calibri" w:hAnsi="Calibri"/>
                <w:color w:val="111827"/>
                <w:sz w:val="17"/>
              </w:rPr>
              <w:t>Fastest activation path</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Market Gaps</w:t>
            </w:r>
          </w:p>
        </w:tc>
        <w:tc>
          <w:tcPr>
            <w:tcW w:type="dxa" w:w="5360"/>
            <w:tcMar>
              <w:top w:w="80" w:type="dxa"/>
              <w:start w:w="120" w:type="dxa"/>
              <w:bottom w:w="80" w:type="dxa"/>
              <w:end w:w="120" w:type="dxa"/>
            </w:tcMar>
            <w:vAlign w:val="center"/>
          </w:tcPr>
          <w:p>
            <w:pPr>
              <w:spacing w:after="0" w:line="252" w:lineRule="auto"/>
            </w:pPr>
            <w:r>
              <w:rPr>
                <w:rFonts w:ascii="Calibri" w:hAnsi="Calibri"/>
                <w:color w:val="111827"/>
                <w:sz w:val="17"/>
              </w:rPr>
              <w:t>Compare global momentum with destination-market supply and friction</w:t>
            </w:r>
          </w:p>
        </w:tc>
        <w:tc>
          <w:tcPr>
            <w:tcW w:type="dxa" w:w="2500"/>
            <w:tcMar>
              <w:top w:w="80" w:type="dxa"/>
              <w:start w:w="120" w:type="dxa"/>
              <w:bottom w:w="80" w:type="dxa"/>
              <w:end w:w="120" w:type="dxa"/>
            </w:tcMar>
            <w:vAlign w:val="center"/>
          </w:tcPr>
          <w:p>
            <w:pPr>
              <w:spacing w:after="0" w:line="252" w:lineRule="auto"/>
            </w:pPr>
            <w:r>
              <w:rPr>
                <w:rFonts w:ascii="Calibri" w:hAnsi="Calibri"/>
                <w:color w:val="111827"/>
                <w:sz w:val="17"/>
              </w:rPr>
              <w:t>Differentiating moat</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Decision Room</w:t>
            </w:r>
          </w:p>
        </w:tc>
        <w:tc>
          <w:tcPr>
            <w:tcW w:type="dxa" w:w="5360"/>
            <w:tcMar>
              <w:top w:w="80" w:type="dxa"/>
              <w:start w:w="120" w:type="dxa"/>
              <w:bottom w:w="80" w:type="dxa"/>
              <w:end w:w="120" w:type="dxa"/>
            </w:tcMar>
            <w:vAlign w:val="center"/>
          </w:tcPr>
          <w:p>
            <w:pPr>
              <w:spacing w:after="0" w:line="252" w:lineRule="auto"/>
            </w:pPr>
            <w:r>
              <w:rPr>
                <w:rFonts w:ascii="Calibri" w:hAnsi="Calibri"/>
                <w:color w:val="111827"/>
                <w:sz w:val="17"/>
              </w:rPr>
              <w:t>Run editable unit-economics and compliance scenarios</w:t>
            </w:r>
          </w:p>
        </w:tc>
        <w:tc>
          <w:tcPr>
            <w:tcW w:type="dxa" w:w="2500"/>
            <w:tcMar>
              <w:top w:w="80" w:type="dxa"/>
              <w:start w:w="120" w:type="dxa"/>
              <w:bottom w:w="80" w:type="dxa"/>
              <w:end w:w="120" w:type="dxa"/>
            </w:tcMar>
            <w:vAlign w:val="center"/>
          </w:tcPr>
          <w:p>
            <w:pPr>
              <w:spacing w:after="0" w:line="252" w:lineRule="auto"/>
            </w:pPr>
            <w:r>
              <w:rPr>
                <w:rFonts w:ascii="Calibri" w:hAnsi="Calibri"/>
                <w:color w:val="111827"/>
                <w:sz w:val="17"/>
              </w:rPr>
              <w:t>Purchase decision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Watchtower</w:t>
            </w:r>
          </w:p>
        </w:tc>
        <w:tc>
          <w:tcPr>
            <w:tcW w:type="dxa" w:w="5360"/>
            <w:tcMar>
              <w:top w:w="80" w:type="dxa"/>
              <w:start w:w="120" w:type="dxa"/>
              <w:bottom w:w="80" w:type="dxa"/>
              <w:end w:w="120" w:type="dxa"/>
            </w:tcMar>
            <w:vAlign w:val="center"/>
          </w:tcPr>
          <w:p>
            <w:pPr>
              <w:spacing w:after="0" w:line="252" w:lineRule="auto"/>
            </w:pPr>
            <w:r>
              <w:rPr>
                <w:rFonts w:ascii="Calibri" w:hAnsi="Calibri"/>
                <w:color w:val="111827"/>
                <w:sz w:val="17"/>
              </w:rPr>
              <w:t>Saved products, signal changes, thresholds, and alerts</w:t>
            </w:r>
          </w:p>
        </w:tc>
        <w:tc>
          <w:tcPr>
            <w:tcW w:type="dxa" w:w="2500"/>
            <w:tcMar>
              <w:top w:w="80" w:type="dxa"/>
              <w:start w:w="120" w:type="dxa"/>
              <w:bottom w:w="80" w:type="dxa"/>
              <w:end w:w="120" w:type="dxa"/>
            </w:tcMar>
            <w:vAlign w:val="center"/>
          </w:tcPr>
          <w:p>
            <w:pPr>
              <w:spacing w:after="0" w:line="252" w:lineRule="auto"/>
            </w:pPr>
            <w:r>
              <w:rPr>
                <w:rFonts w:ascii="Calibri" w:hAnsi="Calibri"/>
                <w:color w:val="111827"/>
                <w:sz w:val="17"/>
              </w:rPr>
              <w:t>Retention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Suppliers</w:t>
            </w:r>
          </w:p>
        </w:tc>
        <w:tc>
          <w:tcPr>
            <w:tcW w:type="dxa" w:w="5360"/>
            <w:tcMar>
              <w:top w:w="80" w:type="dxa"/>
              <w:start w:w="120" w:type="dxa"/>
              <w:bottom w:w="80" w:type="dxa"/>
              <w:end w:w="120" w:type="dxa"/>
            </w:tcMar>
            <w:vAlign w:val="center"/>
          </w:tcPr>
          <w:p>
            <w:pPr>
              <w:spacing w:after="0" w:line="252" w:lineRule="auto"/>
            </w:pPr>
            <w:r>
              <w:rPr>
                <w:rFonts w:ascii="Calibri" w:hAnsi="Calibri"/>
                <w:color w:val="111827"/>
                <w:sz w:val="17"/>
              </w:rPr>
              <w:t>Candidates, RFQs, quotes, samples, certificates</w:t>
            </w:r>
          </w:p>
        </w:tc>
        <w:tc>
          <w:tcPr>
            <w:tcW w:type="dxa" w:w="2500"/>
            <w:tcMar>
              <w:top w:w="80" w:type="dxa"/>
              <w:start w:w="120" w:type="dxa"/>
              <w:bottom w:w="80" w:type="dxa"/>
              <w:end w:w="120" w:type="dxa"/>
            </w:tcMar>
            <w:vAlign w:val="center"/>
          </w:tcPr>
          <w:p>
            <w:pPr>
              <w:spacing w:after="0" w:line="252" w:lineRule="auto"/>
            </w:pPr>
            <w:r>
              <w:rPr>
                <w:rFonts w:ascii="Calibri" w:hAnsi="Calibri"/>
                <w:color w:val="111827"/>
                <w:sz w:val="17"/>
              </w:rPr>
              <w:t>Action and proprietary data</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Data Health</w:t>
            </w:r>
          </w:p>
        </w:tc>
        <w:tc>
          <w:tcPr>
            <w:tcW w:type="dxa" w:w="5360"/>
            <w:tcMar>
              <w:top w:w="80" w:type="dxa"/>
              <w:start w:w="120" w:type="dxa"/>
              <w:bottom w:w="80" w:type="dxa"/>
              <w:end w:w="120" w:type="dxa"/>
            </w:tcMar>
            <w:vAlign w:val="center"/>
          </w:tcPr>
          <w:p>
            <w:pPr>
              <w:spacing w:after="0" w:line="252" w:lineRule="auto"/>
            </w:pPr>
            <w:r>
              <w:rPr>
                <w:rFonts w:ascii="Calibri" w:hAnsi="Calibri"/>
                <w:color w:val="111827"/>
                <w:sz w:val="17"/>
              </w:rPr>
              <w:t>Connector coverage, freshness, failures, and rights</w:t>
            </w:r>
          </w:p>
        </w:tc>
        <w:tc>
          <w:tcPr>
            <w:tcW w:type="dxa" w:w="2500"/>
            <w:tcMar>
              <w:top w:w="80" w:type="dxa"/>
              <w:start w:w="120" w:type="dxa"/>
              <w:bottom w:w="80" w:type="dxa"/>
              <w:end w:w="120" w:type="dxa"/>
            </w:tcMar>
            <w:vAlign w:val="center"/>
          </w:tcPr>
          <w:p>
            <w:pPr>
              <w:spacing w:after="0" w:line="252" w:lineRule="auto"/>
            </w:pPr>
            <w:r>
              <w:rPr>
                <w:rFonts w:ascii="Calibri" w:hAnsi="Calibri"/>
                <w:color w:val="111827"/>
                <w:sz w:val="17"/>
              </w:rPr>
              <w:t>Trust and operations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Settings</w:t>
            </w:r>
          </w:p>
        </w:tc>
        <w:tc>
          <w:tcPr>
            <w:tcW w:type="dxa" w:w="5360"/>
            <w:tcMar>
              <w:top w:w="80" w:type="dxa"/>
              <w:start w:w="120" w:type="dxa"/>
              <w:bottom w:w="80" w:type="dxa"/>
              <w:end w:w="120" w:type="dxa"/>
            </w:tcMar>
            <w:vAlign w:val="center"/>
          </w:tcPr>
          <w:p>
            <w:pPr>
              <w:spacing w:after="0" w:line="252" w:lineRule="auto"/>
            </w:pPr>
            <w:r>
              <w:rPr>
                <w:rFonts w:ascii="Calibri" w:hAnsi="Calibri"/>
                <w:color w:val="111827"/>
                <w:sz w:val="17"/>
              </w:rPr>
              <w:t>Workspace, integrations, country, currency, alerts, billing</w:t>
            </w:r>
          </w:p>
        </w:tc>
        <w:tc>
          <w:tcPr>
            <w:tcW w:type="dxa" w:w="2500"/>
            <w:tcMar>
              <w:top w:w="80" w:type="dxa"/>
              <w:start w:w="120" w:type="dxa"/>
              <w:bottom w:w="80" w:type="dxa"/>
              <w:end w:w="120" w:type="dxa"/>
            </w:tcMar>
            <w:vAlign w:val="center"/>
          </w:tcPr>
          <w:p>
            <w:pPr>
              <w:spacing w:after="0" w:line="252" w:lineRule="auto"/>
            </w:pPr>
            <w:r>
              <w:rPr>
                <w:rFonts w:ascii="Calibri" w:hAnsi="Calibri"/>
                <w:color w:val="111827"/>
                <w:sz w:val="17"/>
              </w:rPr>
              <w:t>Administration</w:t>
            </w:r>
          </w:p>
        </w:tc>
      </w:tr>
    </w:tbl>
    <w:p>
      <w:pPr>
        <w:spacing w:after="60"/>
      </w:pPr>
    </w:p>
    <w:p>
      <w:pPr>
        <w:pStyle w:val="Heading2"/>
        <w:keepNext/>
        <w:keepLines/>
      </w:pPr>
      <w:r>
        <w:t>3.4 Today dashboard</w:t>
      </w:r>
    </w:p>
    <w:p>
      <w:pPr>
        <w:keepLines/>
        <w:numPr>
          <w:ilvl w:val="0"/>
          <w:numId w:val="10"/>
        </w:numPr>
        <w:spacing w:after="160" w:line="280" w:lineRule="auto"/>
      </w:pPr>
      <w:r>
        <w:rPr>
          <w:rFonts w:ascii="Calibri" w:hAnsi="Calibri"/>
          <w:color w:val="111827"/>
          <w:sz w:val="22"/>
        </w:rPr>
        <w:t>Hero summary: '3 opportunities worth investigating, 2 products deteriorating, 1 decision blocked by missing evidence.'</w:t>
      </w:r>
    </w:p>
    <w:p>
      <w:pPr>
        <w:keepLines/>
        <w:numPr>
          <w:ilvl w:val="0"/>
          <w:numId w:val="10"/>
        </w:numPr>
        <w:spacing w:after="160" w:line="280" w:lineRule="auto"/>
      </w:pPr>
      <w:r>
        <w:rPr>
          <w:rFonts w:ascii="Calibri" w:hAnsi="Calibri"/>
          <w:color w:val="111827"/>
          <w:sz w:val="22"/>
        </w:rPr>
        <w:t>Opportunity cards contain a lifecycle stage, selected-market decision, confidence, three strongest signals, highest risk, last observed time, and one next action.</w:t>
      </w:r>
    </w:p>
    <w:p>
      <w:pPr>
        <w:keepLines/>
        <w:numPr>
          <w:ilvl w:val="0"/>
          <w:numId w:val="10"/>
        </w:numPr>
        <w:spacing w:after="160" w:line="280" w:lineRule="auto"/>
      </w:pPr>
      <w:r>
        <w:rPr>
          <w:rFonts w:ascii="Calibri" w:hAnsi="Calibri"/>
          <w:color w:val="111827"/>
          <w:sz w:val="22"/>
        </w:rPr>
        <w:t>A 'What changed' rail shows new observations rather than fabricated weekly movements.</w:t>
      </w:r>
    </w:p>
    <w:p>
      <w:pPr>
        <w:keepLines/>
        <w:numPr>
          <w:ilvl w:val="0"/>
          <w:numId w:val="10"/>
        </w:numPr>
        <w:spacing w:after="160" w:line="280" w:lineRule="auto"/>
      </w:pPr>
      <w:r>
        <w:rPr>
          <w:rFonts w:ascii="Calibri" w:hAnsi="Calibri"/>
          <w:color w:val="111827"/>
          <w:sz w:val="22"/>
        </w:rPr>
        <w:t>A coverage banner warns when an upstream source is stale or a market has limited visibility.</w:t>
      </w:r>
    </w:p>
    <w:p>
      <w:pPr>
        <w:keepLines/>
        <w:numPr>
          <w:ilvl w:val="0"/>
          <w:numId w:val="10"/>
        </w:numPr>
        <w:spacing w:after="160" w:line="280" w:lineRule="auto"/>
      </w:pPr>
      <w:r>
        <w:rPr>
          <w:rFonts w:ascii="Calibri" w:hAnsi="Calibri"/>
          <w:color w:val="111827"/>
          <w:sz w:val="22"/>
        </w:rPr>
        <w:t>No card displays estimated monthly revenue, ROAS, local seller count, or trend movement unless it is observed or calculated from visible inputs.</w:t>
      </w:r>
    </w:p>
    <w:p>
      <w:pPr>
        <w:keepLines/>
        <w:numPr>
          <w:ilvl w:val="0"/>
          <w:numId w:val="10"/>
        </w:numPr>
        <w:spacing w:after="160" w:line="280" w:lineRule="auto"/>
      </w:pPr>
      <w:r>
        <w:rPr>
          <w:rFonts w:ascii="Calibri" w:hAnsi="Calibri"/>
          <w:color w:val="111827"/>
          <w:sz w:val="22"/>
        </w:rPr>
        <w:t>The primary call to action is 'Analyze a product,' followed by 'Open Decision Room' and 'Watch.'</w:t>
      </w:r>
    </w:p>
    <w:p>
      <w:pPr>
        <w:pStyle w:val="Heading2"/>
        <w:keepNext/>
        <w:keepLines/>
      </w:pPr>
      <w:r>
        <w:t>3.5 Product page hierarchy</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E8EEF5"/>
          </w:tcPr>
          <w:p>
            <w:pPr>
              <w:spacing w:after="0"/>
              <w:jc w:val="left"/>
            </w:pPr>
            <w:r>
              <w:rPr>
                <w:rFonts w:ascii="Calibri" w:hAnsi="Calibri"/>
                <w:b/>
                <w:color w:val="0B2545"/>
                <w:sz w:val="18"/>
              </w:rPr>
              <w:t>Section</w:t>
            </w:r>
          </w:p>
        </w:tc>
        <w:tc>
          <w:tcPr>
            <w:tcW w:type="dxa" w:w="7460"/>
            <w:tcMar>
              <w:top w:w="80" w:type="dxa"/>
              <w:start w:w="120" w:type="dxa"/>
              <w:bottom w:w="80" w:type="dxa"/>
              <w:end w:w="120" w:type="dxa"/>
            </w:tcMar>
            <w:vAlign w:val="center"/>
            <w:shd w:fill="E8EEF5"/>
          </w:tcPr>
          <w:p>
            <w:pPr>
              <w:spacing w:after="0"/>
              <w:jc w:val="left"/>
            </w:pPr>
            <w:r>
              <w:rPr>
                <w:rFonts w:ascii="Calibri" w:hAnsi="Calibri"/>
                <w:b/>
                <w:color w:val="0B2545"/>
                <w:sz w:val="18"/>
              </w:rPr>
              <w:t>Contents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111827"/>
                <w:sz w:val="18"/>
              </w:rPr>
              <w:t>Decision header</w:t>
            </w:r>
          </w:p>
        </w:tc>
        <w:tc>
          <w:tcPr>
            <w:tcW w:type="dxa" w:w="7460"/>
            <w:tcMar>
              <w:top w:w="80" w:type="dxa"/>
              <w:start w:w="120" w:type="dxa"/>
              <w:bottom w:w="80" w:type="dxa"/>
              <w:end w:w="120" w:type="dxa"/>
            </w:tcMar>
            <w:vAlign w:val="center"/>
          </w:tcPr>
          <w:p>
            <w:pPr>
              <w:spacing w:after="0" w:line="252" w:lineRule="auto"/>
            </w:pPr>
            <w:r>
              <w:rPr>
                <w:rFonts w:ascii="Calibri" w:hAnsi="Calibri"/>
                <w:color w:val="111827"/>
                <w:sz w:val="18"/>
              </w:rPr>
              <w:t>GO/WATCH/NO-GO, confidence, destination, last update, blocking conditions, editable inputs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111827"/>
                <w:sz w:val="18"/>
              </w:rPr>
              <w:t>Why now</w:t>
            </w:r>
          </w:p>
        </w:tc>
        <w:tc>
          <w:tcPr>
            <w:tcW w:type="dxa" w:w="7460"/>
            <w:tcMar>
              <w:top w:w="80" w:type="dxa"/>
              <w:start w:w="120" w:type="dxa"/>
              <w:bottom w:w="80" w:type="dxa"/>
              <w:end w:w="120" w:type="dxa"/>
            </w:tcMar>
            <w:vAlign w:val="center"/>
          </w:tcPr>
          <w:p>
            <w:pPr>
              <w:spacing w:after="0" w:line="252" w:lineRule="auto"/>
            </w:pPr>
            <w:r>
              <w:rPr>
                <w:rFonts w:ascii="Calibri" w:hAnsi="Calibri"/>
                <w:color w:val="111827"/>
                <w:sz w:val="18"/>
              </w:rPr>
              <w:t>Proof-of-demand timeline and plain-language change explanation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111827"/>
                <w:sz w:val="18"/>
              </w:rPr>
              <w:t>Demand</w:t>
            </w:r>
          </w:p>
        </w:tc>
        <w:tc>
          <w:tcPr>
            <w:tcW w:type="dxa" w:w="7460"/>
            <w:tcMar>
              <w:top w:w="80" w:type="dxa"/>
              <w:start w:w="120" w:type="dxa"/>
              <w:bottom w:w="80" w:type="dxa"/>
              <w:end w:w="120" w:type="dxa"/>
            </w:tcMar>
            <w:vAlign w:val="center"/>
          </w:tcPr>
          <w:p>
            <w:pPr>
              <w:spacing w:after="0" w:line="252" w:lineRule="auto"/>
            </w:pPr>
            <w:r>
              <w:rPr>
                <w:rFonts w:ascii="Calibri" w:hAnsi="Calibri"/>
                <w:color w:val="111827"/>
                <w:sz w:val="18"/>
              </w:rPr>
              <w:t>Search, rank, reviews, availability, and lifecycle evidence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111827"/>
                <w:sz w:val="18"/>
              </w:rPr>
              <w:t>Competition</w:t>
            </w:r>
          </w:p>
        </w:tc>
        <w:tc>
          <w:tcPr>
            <w:tcW w:type="dxa" w:w="7460"/>
            <w:tcMar>
              <w:top w:w="80" w:type="dxa"/>
              <w:start w:w="120" w:type="dxa"/>
              <w:bottom w:w="80" w:type="dxa"/>
              <w:end w:w="120" w:type="dxa"/>
            </w:tcMar>
            <w:vAlign w:val="center"/>
          </w:tcPr>
          <w:p>
            <w:pPr>
              <w:spacing w:after="0" w:line="252" w:lineRule="auto"/>
            </w:pPr>
            <w:r>
              <w:rPr>
                <w:rFonts w:ascii="Calibri" w:hAnsi="Calibri"/>
                <w:color w:val="111827"/>
                <w:sz w:val="18"/>
              </w:rPr>
              <w:t>Seller/listing activity, price distribution, entry velocity, and observed saturation</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111827"/>
                <w:sz w:val="18"/>
              </w:rPr>
              <w:t>Creative</w:t>
            </w:r>
          </w:p>
        </w:tc>
        <w:tc>
          <w:tcPr>
            <w:tcW w:type="dxa" w:w="7460"/>
            <w:tcMar>
              <w:top w:w="80" w:type="dxa"/>
              <w:start w:w="120" w:type="dxa"/>
              <w:bottom w:w="80" w:type="dxa"/>
              <w:end w:w="120" w:type="dxa"/>
            </w:tcMar>
            <w:vAlign w:val="center"/>
          </w:tcPr>
          <w:p>
            <w:pPr>
              <w:spacing w:after="0" w:line="252" w:lineRule="auto"/>
            </w:pPr>
            <w:r>
              <w:rPr>
                <w:rFonts w:ascii="Calibri" w:hAnsi="Calibri"/>
                <w:color w:val="111827"/>
                <w:sz w:val="18"/>
              </w:rPr>
              <w:t>Real ads/videos, hooks, longevity, advertisers, and evidence links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111827"/>
                <w:sz w:val="18"/>
              </w:rPr>
              <w:t>Local viability</w:t>
            </w:r>
          </w:p>
        </w:tc>
        <w:tc>
          <w:tcPr>
            <w:tcW w:type="dxa" w:w="7460"/>
            <w:tcMar>
              <w:top w:w="80" w:type="dxa"/>
              <w:start w:w="120" w:type="dxa"/>
              <w:bottom w:w="80" w:type="dxa"/>
              <w:end w:w="120" w:type="dxa"/>
            </w:tcMar>
            <w:vAlign w:val="center"/>
          </w:tcPr>
          <w:p>
            <w:pPr>
              <w:spacing w:after="0" w:line="252" w:lineRule="auto"/>
            </w:pPr>
            <w:r>
              <w:rPr>
                <w:rFonts w:ascii="Calibri" w:hAnsi="Calibri"/>
                <w:color w:val="111827"/>
                <w:sz w:val="18"/>
              </w:rPr>
              <w:t>Destination demand, local supply gap, channel fit, purchasing power, restrictions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111827"/>
                <w:sz w:val="18"/>
              </w:rPr>
              <w:t>Economics</w:t>
            </w:r>
          </w:p>
        </w:tc>
        <w:tc>
          <w:tcPr>
            <w:tcW w:type="dxa" w:w="7460"/>
            <w:tcMar>
              <w:top w:w="80" w:type="dxa"/>
              <w:start w:w="120" w:type="dxa"/>
              <w:bottom w:w="80" w:type="dxa"/>
              <w:end w:w="120" w:type="dxa"/>
            </w:tcMar>
            <w:vAlign w:val="center"/>
          </w:tcPr>
          <w:p>
            <w:pPr>
              <w:spacing w:after="0" w:line="252" w:lineRule="auto"/>
            </w:pPr>
            <w:r>
              <w:rPr>
                <w:rFonts w:ascii="Calibri" w:hAnsi="Calibri"/>
                <w:color w:val="111827"/>
                <w:sz w:val="18"/>
              </w:rPr>
              <w:t>Best/base/worst scenarios, break-even CAC, cash requirement, sensitivity</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111827"/>
                <w:sz w:val="18"/>
              </w:rPr>
              <w:t>Sourcing</w:t>
            </w:r>
          </w:p>
        </w:tc>
        <w:tc>
          <w:tcPr>
            <w:tcW w:type="dxa" w:w="7460"/>
            <w:tcMar>
              <w:top w:w="80" w:type="dxa"/>
              <w:start w:w="120" w:type="dxa"/>
              <w:bottom w:w="80" w:type="dxa"/>
              <w:end w:w="120" w:type="dxa"/>
            </w:tcMar>
            <w:vAlign w:val="center"/>
          </w:tcPr>
          <w:p>
            <w:pPr>
              <w:spacing w:after="0" w:line="252" w:lineRule="auto"/>
            </w:pPr>
            <w:r>
              <w:rPr>
                <w:rFonts w:ascii="Calibri" w:hAnsi="Calibri"/>
                <w:color w:val="111827"/>
                <w:sz w:val="18"/>
              </w:rPr>
              <w:t>Matched suppliers, quotes, MOQ, lead time, certifications, samples</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color w:val="111827"/>
                <w:sz w:val="18"/>
              </w:rPr>
              <w:t>Evidence</w:t>
            </w:r>
          </w:p>
        </w:tc>
        <w:tc>
          <w:tcPr>
            <w:tcW w:type="dxa" w:w="7460"/>
            <w:tcMar>
              <w:top w:w="80" w:type="dxa"/>
              <w:start w:w="120" w:type="dxa"/>
              <w:bottom w:w="80" w:type="dxa"/>
              <w:end w:w="120" w:type="dxa"/>
            </w:tcMar>
            <w:vAlign w:val="center"/>
          </w:tcPr>
          <w:p>
            <w:pPr>
              <w:spacing w:after="0" w:line="252" w:lineRule="auto"/>
            </w:pPr>
            <w:r>
              <w:rPr>
                <w:rFonts w:ascii="Calibri" w:hAnsi="Calibri"/>
                <w:color w:val="111827"/>
                <w:sz w:val="18"/>
              </w:rPr>
              <w:t>Every observation, source link, timestamp, quality, and transformation</w:t>
            </w:r>
          </w:p>
        </w:tc>
      </w:tr>
    </w:tbl>
    <w:p>
      <w:pPr>
        <w:spacing w:after="60"/>
      </w:pPr>
    </w:p>
    <w:p>
      <w:r>
        <w:br w:type="page"/>
      </w:r>
    </w:p>
    <w:p>
      <w:pPr>
        <w:pStyle w:val="Heading1"/>
        <w:keepNext/>
        <w:keepLines/>
      </w:pPr>
      <w:r>
        <w:t>4. Wow features: detailed product specifications</w:t>
      </w:r>
    </w:p>
    <w:p>
      <w:pPr>
        <w:spacing w:after="120" w:line="264" w:lineRule="auto"/>
      </w:pPr>
      <w:r>
        <w:rPr>
          <w:rFonts w:ascii="Calibri" w:hAnsi="Calibri"/>
          <w:i w:val="0"/>
          <w:color w:val="111827"/>
          <w:sz w:val="22"/>
        </w:rPr>
        <w:t>These features form one coherent journey. They should not be released as disconnected pages. Each experience must use the common evidence contract described in Section 5.</w:t>
      </w:r>
    </w:p>
    <w:p>
      <w:pPr>
        <w:pStyle w:val="Heading2"/>
        <w:keepNext/>
        <w:keepLines/>
      </w:pPr>
      <w:r>
        <w:t>4.1 Drop Anything Product X-Ray</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User promise: </w:t>
            </w:r>
            <w:r>
              <w:rPr>
                <w:rFonts w:ascii="Calibri" w:hAnsi="Calibri"/>
                <w:color w:val="111827"/>
                <w:sz w:val="22"/>
              </w:rPr>
              <w:t>Turn one URL, ASIN, image, or video into a traceable product investigation with likely marketplace and supplier matches.</w:t>
            </w:r>
          </w:p>
        </w:tc>
      </w:tr>
    </w:tbl>
    <w:p>
      <w:pPr>
        <w:spacing w:after="40"/>
      </w:pPr>
    </w:p>
    <w:p>
      <w:pPr>
        <w:spacing w:after="120" w:line="264" w:lineRule="auto"/>
      </w:pPr>
      <w:r>
        <w:rPr>
          <w:rFonts w:ascii="Calibri" w:hAnsi="Calibri"/>
          <w:b/>
          <w:color w:val="111827"/>
          <w:sz w:val="22"/>
        </w:rPr>
        <w:t>Delivery phase:</w:t>
      </w:r>
      <w:r>
        <w:rPr>
          <w:rFonts w:ascii="Calibri" w:hAnsi="Calibri"/>
          <w:i w:val="0"/>
          <w:color w:val="111827"/>
          <w:sz w:val="22"/>
        </w:rPr>
        <w:t xml:space="preserve"> MVP signature feature</w:t>
      </w:r>
    </w:p>
    <w:p>
      <w:pPr>
        <w:pStyle w:val="Heading3"/>
        <w:keepNext/>
        <w:keepLines/>
      </w:pPr>
      <w:r>
        <w:t>User flow</w:t>
      </w:r>
    </w:p>
    <w:p>
      <w:pPr>
        <w:keepNext/>
        <w:keepLines/>
        <w:numPr>
          <w:ilvl w:val="0"/>
          <w:numId w:val="13"/>
        </w:numPr>
        <w:spacing w:after="160" w:line="280" w:lineRule="auto"/>
      </w:pPr>
      <w:r>
        <w:rPr>
          <w:rFonts w:ascii="Calibri" w:hAnsi="Calibri"/>
          <w:color w:val="111827"/>
          <w:sz w:val="22"/>
        </w:rPr>
        <w:t>User chooses URL, identifier, image, or text search and selects a destination market.</w:t>
      </w:r>
    </w:p>
    <w:p>
      <w:pPr>
        <w:keepNext/>
        <w:keepLines/>
        <w:numPr>
          <w:ilvl w:val="0"/>
          <w:numId w:val="13"/>
        </w:numPr>
        <w:spacing w:after="160" w:line="280" w:lineRule="auto"/>
      </w:pPr>
      <w:r>
        <w:rPr>
          <w:rFonts w:ascii="Calibri" w:hAnsi="Calibri"/>
          <w:color w:val="111827"/>
          <w:sz w:val="22"/>
        </w:rPr>
        <w:t>Backend validates the input, blocks private-network URL targets, creates a research job, and streams real step events.</w:t>
      </w:r>
    </w:p>
    <w:p>
      <w:pPr>
        <w:keepNext/>
        <w:keepLines/>
        <w:numPr>
          <w:ilvl w:val="0"/>
          <w:numId w:val="13"/>
        </w:numPr>
        <w:spacing w:after="160" w:line="280" w:lineRule="auto"/>
      </w:pPr>
      <w:r>
        <w:rPr>
          <w:rFonts w:ascii="Calibri" w:hAnsi="Calibri"/>
          <w:color w:val="111827"/>
          <w:sz w:val="22"/>
        </w:rPr>
        <w:t>Resolvers extract identifiers, text, brand, images, dimensions, and keywords from permitted sources.</w:t>
      </w:r>
    </w:p>
    <w:p>
      <w:pPr>
        <w:keepNext/>
        <w:keepLines/>
        <w:numPr>
          <w:ilvl w:val="0"/>
          <w:numId w:val="13"/>
        </w:numPr>
        <w:spacing w:after="160" w:line="280" w:lineRule="auto"/>
      </w:pPr>
      <w:r>
        <w:rPr>
          <w:rFonts w:ascii="Calibri" w:hAnsi="Calibri"/>
          <w:color w:val="111827"/>
          <w:sz w:val="22"/>
        </w:rPr>
        <w:t>Entity matching returns exact matches, probable matches, and visually similar products with confidence and reasons.</w:t>
      </w:r>
    </w:p>
    <w:p>
      <w:pPr>
        <w:keepNext w:val="0"/>
        <w:keepLines/>
        <w:numPr>
          <w:ilvl w:val="0"/>
          <w:numId w:val="13"/>
        </w:numPr>
        <w:spacing w:after="160" w:line="280" w:lineRule="auto"/>
      </w:pPr>
      <w:r>
        <w:rPr>
          <w:rFonts w:ascii="Calibri" w:hAnsi="Calibri"/>
          <w:color w:val="111827"/>
          <w:sz w:val="22"/>
        </w:rPr>
        <w:t>The user confirms the canonical match before TrendSell calculates product-level scores or costs.</w:t>
      </w:r>
    </w:p>
    <w:p>
      <w:pPr>
        <w:pStyle w:val="Heading3"/>
        <w:keepNext/>
        <w:keepLines/>
      </w:pPr>
      <w:r>
        <w:t>Required evidence and processing</w:t>
      </w:r>
    </w:p>
    <w:p>
      <w:pPr>
        <w:keepNext/>
        <w:keepLines/>
        <w:numPr>
          <w:ilvl w:val="0"/>
          <w:numId w:val="10"/>
        </w:numPr>
        <w:spacing w:after="160" w:line="280" w:lineRule="auto"/>
      </w:pPr>
      <w:r>
        <w:rPr>
          <w:rFonts w:ascii="Calibri" w:hAnsi="Calibri"/>
          <w:color w:val="111827"/>
          <w:sz w:val="22"/>
        </w:rPr>
        <w:t>Marketplace identifiers such as ASIN, GTIN, UPC/EAN, SKU, seller ID, listing URL, and image fingerprints.</w:t>
      </w:r>
    </w:p>
    <w:p>
      <w:pPr>
        <w:keepNext/>
        <w:keepLines/>
        <w:numPr>
          <w:ilvl w:val="0"/>
          <w:numId w:val="10"/>
        </w:numPr>
        <w:spacing w:after="160" w:line="280" w:lineRule="auto"/>
      </w:pPr>
      <w:r>
        <w:rPr>
          <w:rFonts w:ascii="Calibri" w:hAnsi="Calibri"/>
          <w:color w:val="111827"/>
          <w:sz w:val="22"/>
        </w:rPr>
        <w:t>Text embedding and attribute similarity across title, brand, dimensions, materials, and product images.</w:t>
      </w:r>
    </w:p>
    <w:p>
      <w:pPr>
        <w:keepNext w:val="0"/>
        <w:keepLines/>
        <w:numPr>
          <w:ilvl w:val="0"/>
          <w:numId w:val="10"/>
        </w:numPr>
        <w:spacing w:after="160" w:line="280" w:lineRule="auto"/>
      </w:pPr>
      <w:r>
        <w:rPr>
          <w:rFonts w:ascii="Calibri" w:hAnsi="Calibri"/>
          <w:color w:val="111827"/>
          <w:sz w:val="22"/>
        </w:rPr>
        <w:t>Source URL, observed time, market, raw snapshot reference, and usage-rights class for every match.</w:t>
      </w:r>
    </w:p>
    <w:p>
      <w:pPr>
        <w:pStyle w:val="Heading3"/>
        <w:keepNext/>
        <w:keepLines/>
      </w:pPr>
      <w:r>
        <w:t>Interface behavior</w:t>
      </w:r>
    </w:p>
    <w:p>
      <w:pPr>
        <w:keepNext/>
        <w:keepLines/>
        <w:numPr>
          <w:ilvl w:val="0"/>
          <w:numId w:val="10"/>
        </w:numPr>
        <w:spacing w:after="160" w:line="280" w:lineRule="auto"/>
      </w:pPr>
      <w:r>
        <w:rPr>
          <w:rFonts w:ascii="Calibri" w:hAnsi="Calibri"/>
          <w:color w:val="111827"/>
          <w:sz w:val="22"/>
        </w:rPr>
        <w:t>A large single input on Today and X-Ray pages with paste, upload, and identifier modes.</w:t>
      </w:r>
    </w:p>
    <w:p>
      <w:pPr>
        <w:keepNext/>
        <w:keepLines/>
        <w:numPr>
          <w:ilvl w:val="0"/>
          <w:numId w:val="10"/>
        </w:numPr>
        <w:spacing w:after="160" w:line="280" w:lineRule="auto"/>
      </w:pPr>
      <w:r>
        <w:rPr>
          <w:rFonts w:ascii="Calibri" w:hAnsi="Calibri"/>
          <w:color w:val="111827"/>
          <w:sz w:val="22"/>
        </w:rPr>
        <w:t>A research drawer lists actual steps as queued, running, succeeded, partial, failed, or unavailable.</w:t>
      </w:r>
    </w:p>
    <w:p>
      <w:pPr>
        <w:keepNext/>
        <w:keepLines/>
        <w:numPr>
          <w:ilvl w:val="0"/>
          <w:numId w:val="10"/>
        </w:numPr>
        <w:spacing w:after="160" w:line="280" w:lineRule="auto"/>
      </w:pPr>
      <w:r>
        <w:rPr>
          <w:rFonts w:ascii="Calibri" w:hAnsi="Calibri"/>
          <w:color w:val="111827"/>
          <w:sz w:val="22"/>
        </w:rPr>
        <w:t>Match cards expose 'Exact 98%', 'Probable 81%', or 'Similar 64%' plus the attributes that matched or conflicted.</w:t>
      </w:r>
    </w:p>
    <w:p>
      <w:pPr>
        <w:keepNext w:val="0"/>
        <w:keepLines/>
        <w:numPr>
          <w:ilvl w:val="0"/>
          <w:numId w:val="10"/>
        </w:numPr>
        <w:spacing w:after="160" w:line="280" w:lineRule="auto"/>
      </w:pPr>
      <w:r>
        <w:rPr>
          <w:rFonts w:ascii="Calibri" w:hAnsi="Calibri"/>
          <w:color w:val="111827"/>
          <w:sz w:val="22"/>
        </w:rPr>
        <w:t>The user can merge, split, or reject a match; corrections become labeled training data for future matching.</w:t>
      </w:r>
    </w:p>
    <w:p>
      <w:pPr>
        <w:pStyle w:val="Heading3"/>
        <w:keepNext/>
        <w:keepLines/>
      </w:pPr>
      <w:r>
        <w:t>Truth and safety rules</w:t>
      </w:r>
    </w:p>
    <w:p>
      <w:pPr>
        <w:keepNext/>
        <w:keepLines/>
        <w:numPr>
          <w:ilvl w:val="0"/>
          <w:numId w:val="10"/>
        </w:numPr>
        <w:spacing w:after="160" w:line="280" w:lineRule="auto"/>
      </w:pPr>
      <w:r>
        <w:rPr>
          <w:rFonts w:ascii="Calibri" w:hAnsi="Calibri"/>
          <w:color w:val="111827"/>
          <w:sz w:val="22"/>
        </w:rPr>
        <w:t>Never convert visual similarity into identity without user confirmation below the configurable exact-match threshold.</w:t>
      </w:r>
    </w:p>
    <w:p>
      <w:pPr>
        <w:keepNext/>
        <w:keepLines/>
        <w:numPr>
          <w:ilvl w:val="0"/>
          <w:numId w:val="10"/>
        </w:numPr>
        <w:spacing w:after="160" w:line="280" w:lineRule="auto"/>
      </w:pPr>
      <w:r>
        <w:rPr>
          <w:rFonts w:ascii="Calibri" w:hAnsi="Calibri"/>
          <w:color w:val="111827"/>
          <w:sz w:val="22"/>
        </w:rPr>
        <w:t>Never fetch arbitrary user URLs from unrestricted network locations; use protocol, host, redirect, MIME, and size controls.</w:t>
      </w:r>
    </w:p>
    <w:p>
      <w:pPr>
        <w:keepNext w:val="0"/>
        <w:keepLines/>
        <w:numPr>
          <w:ilvl w:val="0"/>
          <w:numId w:val="10"/>
        </w:numPr>
        <w:spacing w:after="160" w:line="280" w:lineRule="auto"/>
      </w:pPr>
      <w:r>
        <w:rPr>
          <w:rFonts w:ascii="Calibri" w:hAnsi="Calibri"/>
          <w:color w:val="111827"/>
          <w:sz w:val="22"/>
        </w:rPr>
        <w:t>If a platform cannot be inspected legally or technically, show 'Source unavailable' and continue with remaining sources.</w:t>
      </w:r>
    </w:p>
    <w:p>
      <w:pPr>
        <w:pStyle w:val="Heading3"/>
        <w:keepNext/>
        <w:keepLines/>
      </w:pPr>
      <w:r>
        <w:t>Acceptance criteria</w:t>
      </w:r>
    </w:p>
    <w:p>
      <w:pPr>
        <w:keepNext/>
        <w:keepLines/>
        <w:numPr>
          <w:ilvl w:val="0"/>
          <w:numId w:val="10"/>
        </w:numPr>
        <w:spacing w:after="160" w:line="280" w:lineRule="auto"/>
      </w:pPr>
      <w:r>
        <w:rPr>
          <w:rFonts w:ascii="Calibri" w:hAnsi="Calibri"/>
          <w:color w:val="111827"/>
          <w:sz w:val="22"/>
        </w:rPr>
        <w:t>A supported Amazon product URL creates a research job and canonical product record without blocking the request thread.</w:t>
      </w:r>
    </w:p>
    <w:p>
      <w:pPr>
        <w:keepNext/>
        <w:keepLines/>
        <w:numPr>
          <w:ilvl w:val="0"/>
          <w:numId w:val="10"/>
        </w:numPr>
        <w:spacing w:after="160" w:line="280" w:lineRule="auto"/>
      </w:pPr>
      <w:r>
        <w:rPr>
          <w:rFonts w:ascii="Calibri" w:hAnsi="Calibri"/>
          <w:color w:val="111827"/>
          <w:sz w:val="22"/>
        </w:rPr>
        <w:t>Unsupported URLs return a helpful reason and do not trigger outbound requests.</w:t>
      </w:r>
    </w:p>
    <w:p>
      <w:pPr>
        <w:keepNext/>
        <w:keepLines/>
        <w:numPr>
          <w:ilvl w:val="0"/>
          <w:numId w:val="10"/>
        </w:numPr>
        <w:spacing w:after="160" w:line="280" w:lineRule="auto"/>
      </w:pPr>
      <w:r>
        <w:rPr>
          <w:rFonts w:ascii="Calibri" w:hAnsi="Calibri"/>
          <w:color w:val="111827"/>
          <w:sz w:val="22"/>
        </w:rPr>
        <w:t>Every returned match includes confidence, explanation, timestamp, source, market, and evidence status.</w:t>
      </w:r>
    </w:p>
    <w:p>
      <w:pPr>
        <w:keepNext w:val="0"/>
        <w:keepLines/>
        <w:numPr>
          <w:ilvl w:val="0"/>
          <w:numId w:val="10"/>
        </w:numPr>
        <w:spacing w:after="160" w:line="280" w:lineRule="auto"/>
      </w:pPr>
      <w:r>
        <w:rPr>
          <w:rFonts w:ascii="Calibri" w:hAnsi="Calibri"/>
          <w:color w:val="111827"/>
          <w:sz w:val="22"/>
        </w:rPr>
        <w:t>Refreshing the same input is idempotent and creates a new observation snapshot rather than duplicate products.</w:t>
      </w:r>
    </w:p>
    <w:p>
      <w:r>
        <w:br w:type="page"/>
      </w:r>
    </w:p>
    <w:p>
      <w:pPr>
        <w:pStyle w:val="Heading2"/>
        <w:keepNext/>
        <w:keepLines/>
      </w:pPr>
      <w:r>
        <w:t>4.2 Proof-of-Demand Timeline</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User promise: </w:t>
            </w:r>
            <w:r>
              <w:rPr>
                <w:rFonts w:ascii="Calibri" w:hAnsi="Calibri"/>
                <w:color w:val="111827"/>
                <w:sz w:val="22"/>
              </w:rPr>
              <w:t>Explain why a product is rising or falling by replaying observable signals over 7, 30, and 90 days.</w:t>
            </w:r>
          </w:p>
        </w:tc>
      </w:tr>
    </w:tbl>
    <w:p>
      <w:pPr>
        <w:spacing w:after="40"/>
      </w:pPr>
    </w:p>
    <w:p>
      <w:pPr>
        <w:spacing w:after="120" w:line="264" w:lineRule="auto"/>
      </w:pPr>
      <w:r>
        <w:rPr>
          <w:rFonts w:ascii="Calibri" w:hAnsi="Calibri"/>
          <w:b/>
          <w:color w:val="111827"/>
          <w:sz w:val="22"/>
        </w:rPr>
        <w:t>Delivery phase:</w:t>
      </w:r>
      <w:r>
        <w:rPr>
          <w:rFonts w:ascii="Calibri" w:hAnsi="Calibri"/>
          <w:i w:val="0"/>
          <w:color w:val="111827"/>
          <w:sz w:val="22"/>
        </w:rPr>
        <w:t xml:space="preserve"> MVP signature feature</w:t>
      </w:r>
    </w:p>
    <w:p>
      <w:pPr>
        <w:pStyle w:val="Heading3"/>
        <w:keepNext/>
        <w:keepLines/>
      </w:pPr>
      <w:r>
        <w:t>User flow</w:t>
      </w:r>
    </w:p>
    <w:p>
      <w:pPr>
        <w:keepNext/>
        <w:keepLines/>
        <w:numPr>
          <w:ilvl w:val="0"/>
          <w:numId w:val="14"/>
        </w:numPr>
        <w:spacing w:after="160" w:line="280" w:lineRule="auto"/>
      </w:pPr>
      <w:r>
        <w:rPr>
          <w:rFonts w:ascii="Calibri" w:hAnsi="Calibri"/>
          <w:color w:val="111827"/>
          <w:sz w:val="22"/>
        </w:rPr>
        <w:t>User opens a product and chooses a time window and market.</w:t>
      </w:r>
    </w:p>
    <w:p>
      <w:pPr>
        <w:keepNext/>
        <w:keepLines/>
        <w:numPr>
          <w:ilvl w:val="0"/>
          <w:numId w:val="14"/>
        </w:numPr>
        <w:spacing w:after="160" w:line="280" w:lineRule="auto"/>
      </w:pPr>
      <w:r>
        <w:rPr>
          <w:rFonts w:ascii="Calibri" w:hAnsi="Calibri"/>
          <w:color w:val="111827"/>
          <w:sz w:val="22"/>
        </w:rPr>
        <w:t>TrendSell overlays normalized search interest, marketplace rank, review velocity, price/availability, and ad persistence.</w:t>
      </w:r>
    </w:p>
    <w:p>
      <w:pPr>
        <w:keepNext/>
        <w:keepLines/>
        <w:numPr>
          <w:ilvl w:val="0"/>
          <w:numId w:val="14"/>
        </w:numPr>
        <w:spacing w:after="160" w:line="280" w:lineRule="auto"/>
      </w:pPr>
      <w:r>
        <w:rPr>
          <w:rFonts w:ascii="Calibri" w:hAnsi="Calibri"/>
          <w:color w:val="111827"/>
          <w:sz w:val="22"/>
        </w:rPr>
        <w:t>The user selects any point to inspect the original observation and source.</w:t>
      </w:r>
    </w:p>
    <w:p>
      <w:pPr>
        <w:keepNext w:val="0"/>
        <w:keepLines/>
        <w:numPr>
          <w:ilvl w:val="0"/>
          <w:numId w:val="14"/>
        </w:numPr>
        <w:spacing w:after="160" w:line="280" w:lineRule="auto"/>
      </w:pPr>
      <w:r>
        <w:rPr>
          <w:rFonts w:ascii="Calibri" w:hAnsi="Calibri"/>
          <w:color w:val="111827"/>
          <w:sz w:val="22"/>
        </w:rPr>
        <w:t>A generated narrative summarizes only statistically meaningful changes and cites the contributing observations.</w:t>
      </w:r>
    </w:p>
    <w:p>
      <w:pPr>
        <w:pStyle w:val="Heading3"/>
        <w:keepNext/>
        <w:keepLines/>
      </w:pPr>
      <w:r>
        <w:t>Required evidence and processing</w:t>
      </w:r>
    </w:p>
    <w:p>
      <w:pPr>
        <w:keepNext/>
        <w:keepLines/>
        <w:numPr>
          <w:ilvl w:val="0"/>
          <w:numId w:val="10"/>
        </w:numPr>
        <w:spacing w:after="160" w:line="280" w:lineRule="auto"/>
      </w:pPr>
      <w:r>
        <w:rPr>
          <w:rFonts w:ascii="Calibri" w:hAnsi="Calibri"/>
          <w:color w:val="111827"/>
          <w:sz w:val="22"/>
        </w:rPr>
        <w:t>Consistently sampled time-series observations with a documented collection cadence.</w:t>
      </w:r>
    </w:p>
    <w:p>
      <w:pPr>
        <w:keepNext/>
        <w:keepLines/>
        <w:numPr>
          <w:ilvl w:val="0"/>
          <w:numId w:val="10"/>
        </w:numPr>
        <w:spacing w:after="160" w:line="280" w:lineRule="auto"/>
      </w:pPr>
      <w:r>
        <w:rPr>
          <w:rFonts w:ascii="Calibri" w:hAnsi="Calibri"/>
          <w:color w:val="111827"/>
          <w:sz w:val="22"/>
        </w:rPr>
        <w:t>Change-point and slope calculations that distinguish one-day noise from sustained movement.</w:t>
      </w:r>
    </w:p>
    <w:p>
      <w:pPr>
        <w:keepNext w:val="0"/>
        <w:keepLines/>
        <w:numPr>
          <w:ilvl w:val="0"/>
          <w:numId w:val="10"/>
        </w:numPr>
        <w:spacing w:after="160" w:line="280" w:lineRule="auto"/>
      </w:pPr>
      <w:r>
        <w:rPr>
          <w:rFonts w:ascii="Calibri" w:hAnsi="Calibri"/>
          <w:color w:val="111827"/>
          <w:sz w:val="22"/>
        </w:rPr>
        <w:t>Cross-source convergence flags when two or more independent sources move in the same direction.</w:t>
      </w:r>
    </w:p>
    <w:p>
      <w:pPr>
        <w:pStyle w:val="Heading3"/>
        <w:keepNext/>
        <w:keepLines/>
      </w:pPr>
      <w:r>
        <w:t>Interface behavior</w:t>
      </w:r>
    </w:p>
    <w:p>
      <w:pPr>
        <w:keepNext/>
        <w:keepLines/>
        <w:numPr>
          <w:ilvl w:val="0"/>
          <w:numId w:val="10"/>
        </w:numPr>
        <w:spacing w:after="160" w:line="280" w:lineRule="auto"/>
      </w:pPr>
      <w:r>
        <w:rPr>
          <w:rFonts w:ascii="Calibri" w:hAnsi="Calibri"/>
          <w:color w:val="111827"/>
          <w:sz w:val="22"/>
        </w:rPr>
        <w:t>One synchronized chart with source toggles, freshness markers, missing-data gaps, and confidence band.</w:t>
      </w:r>
    </w:p>
    <w:p>
      <w:pPr>
        <w:keepNext/>
        <w:keepLines/>
        <w:numPr>
          <w:ilvl w:val="0"/>
          <w:numId w:val="10"/>
        </w:numPr>
        <w:spacing w:after="160" w:line="280" w:lineRule="auto"/>
      </w:pPr>
      <w:r>
        <w:rPr>
          <w:rFonts w:ascii="Calibri" w:hAnsi="Calibri"/>
          <w:color w:val="111827"/>
          <w:sz w:val="22"/>
        </w:rPr>
        <w:t>A 'What changed' summary such as 'Search rose first; rank and review velocity followed nine days later.'</w:t>
      </w:r>
    </w:p>
    <w:p>
      <w:pPr>
        <w:keepNext w:val="0"/>
        <w:keepLines/>
        <w:numPr>
          <w:ilvl w:val="0"/>
          <w:numId w:val="10"/>
        </w:numPr>
        <w:spacing w:after="160" w:line="280" w:lineRule="auto"/>
      </w:pPr>
      <w:r>
        <w:rPr>
          <w:rFonts w:ascii="Calibri" w:hAnsi="Calibri"/>
          <w:color w:val="111827"/>
          <w:sz w:val="22"/>
        </w:rPr>
        <w:t>Clicking a datapoint opens an Evidence Drawer instead of a mysterious tooltip-only value.</w:t>
      </w:r>
    </w:p>
    <w:p>
      <w:pPr>
        <w:pStyle w:val="Heading3"/>
        <w:keepNext/>
        <w:keepLines/>
      </w:pPr>
      <w:r>
        <w:t>Truth and safety rules</w:t>
      </w:r>
    </w:p>
    <w:p>
      <w:pPr>
        <w:keepNext/>
        <w:keepLines/>
        <w:numPr>
          <w:ilvl w:val="0"/>
          <w:numId w:val="10"/>
        </w:numPr>
        <w:spacing w:after="160" w:line="280" w:lineRule="auto"/>
      </w:pPr>
      <w:r>
        <w:rPr>
          <w:rFonts w:ascii="Calibri" w:hAnsi="Calibri"/>
          <w:color w:val="111827"/>
          <w:sz w:val="22"/>
        </w:rPr>
        <w:t>Do not interpolate missing observations as if they were collected.</w:t>
      </w:r>
    </w:p>
    <w:p>
      <w:pPr>
        <w:keepNext/>
        <w:keepLines/>
        <w:numPr>
          <w:ilvl w:val="0"/>
          <w:numId w:val="10"/>
        </w:numPr>
        <w:spacing w:after="160" w:line="280" w:lineRule="auto"/>
      </w:pPr>
      <w:r>
        <w:rPr>
          <w:rFonts w:ascii="Calibri" w:hAnsi="Calibri"/>
          <w:color w:val="111827"/>
          <w:sz w:val="22"/>
        </w:rPr>
        <w:t>The LLM may summarize calculated changes but may not create dates, values, causes, or causal certainty.</w:t>
      </w:r>
    </w:p>
    <w:p>
      <w:pPr>
        <w:keepNext w:val="0"/>
        <w:keepLines/>
        <w:numPr>
          <w:ilvl w:val="0"/>
          <w:numId w:val="10"/>
        </w:numPr>
        <w:spacing w:after="160" w:line="280" w:lineRule="auto"/>
      </w:pPr>
      <w:r>
        <w:rPr>
          <w:rFonts w:ascii="Calibri" w:hAnsi="Calibri"/>
          <w:color w:val="111827"/>
          <w:sz w:val="22"/>
        </w:rPr>
        <w:t>Use 'associated with' or 'followed by' unless the system has a defensible causal experiment.</w:t>
      </w:r>
    </w:p>
    <w:p>
      <w:pPr>
        <w:pStyle w:val="Heading3"/>
        <w:keepNext/>
        <w:keepLines/>
      </w:pPr>
      <w:r>
        <w:t>Acceptance criteria</w:t>
      </w:r>
    </w:p>
    <w:p>
      <w:pPr>
        <w:keepNext/>
        <w:keepLines/>
        <w:numPr>
          <w:ilvl w:val="0"/>
          <w:numId w:val="10"/>
        </w:numPr>
        <w:spacing w:after="160" w:line="280" w:lineRule="auto"/>
      </w:pPr>
      <w:r>
        <w:rPr>
          <w:rFonts w:ascii="Calibri" w:hAnsi="Calibri"/>
          <w:color w:val="111827"/>
          <w:sz w:val="22"/>
        </w:rPr>
        <w:t>Chart gaps are visually distinct from zero values.</w:t>
      </w:r>
    </w:p>
    <w:p>
      <w:pPr>
        <w:keepNext/>
        <w:keepLines/>
        <w:numPr>
          <w:ilvl w:val="0"/>
          <w:numId w:val="10"/>
        </w:numPr>
        <w:spacing w:after="160" w:line="280" w:lineRule="auto"/>
      </w:pPr>
      <w:r>
        <w:rPr>
          <w:rFonts w:ascii="Calibri" w:hAnsi="Calibri"/>
          <w:color w:val="111827"/>
          <w:sz w:val="22"/>
        </w:rPr>
        <w:t>Every narrative statement links to at least one observation or derived metric.</w:t>
      </w:r>
    </w:p>
    <w:p>
      <w:pPr>
        <w:keepNext/>
        <w:keepLines/>
        <w:numPr>
          <w:ilvl w:val="0"/>
          <w:numId w:val="10"/>
        </w:numPr>
        <w:spacing w:after="160" w:line="280" w:lineRule="auto"/>
      </w:pPr>
      <w:r>
        <w:rPr>
          <w:rFonts w:ascii="Calibri" w:hAnsi="Calibri"/>
          <w:color w:val="111827"/>
          <w:sz w:val="22"/>
        </w:rPr>
        <w:t>No new observation means no score change after refresh.</w:t>
      </w:r>
    </w:p>
    <w:p>
      <w:pPr>
        <w:keepNext w:val="0"/>
        <w:keepLines/>
        <w:numPr>
          <w:ilvl w:val="0"/>
          <w:numId w:val="10"/>
        </w:numPr>
        <w:spacing w:after="160" w:line="280" w:lineRule="auto"/>
      </w:pPr>
      <w:r>
        <w:rPr>
          <w:rFonts w:ascii="Calibri" w:hAnsi="Calibri"/>
          <w:color w:val="111827"/>
          <w:sz w:val="22"/>
        </w:rPr>
        <w:t>The same observation set and formula version produce the same score on every run.</w:t>
      </w:r>
    </w:p>
    <w:p>
      <w:r>
        <w:br w:type="page"/>
      </w:r>
    </w:p>
    <w:p>
      <w:pPr>
        <w:pStyle w:val="Heading2"/>
        <w:keepNext/>
        <w:keepLines/>
      </w:pPr>
      <w:r>
        <w:t>4.3 Cross-Market Gap Radar</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User promise: </w:t>
            </w:r>
            <w:r>
              <w:rPr>
                <w:rFonts w:ascii="Calibri" w:hAnsi="Calibri"/>
                <w:color w:val="111827"/>
                <w:sz w:val="22"/>
              </w:rPr>
              <w:t>Find products with verified momentum in a discovery market and measurable headroom in a chosen destination market.</w:t>
            </w:r>
          </w:p>
        </w:tc>
      </w:tr>
    </w:tbl>
    <w:p>
      <w:pPr>
        <w:spacing w:after="40"/>
      </w:pPr>
    </w:p>
    <w:p>
      <w:pPr>
        <w:spacing w:after="120" w:line="264" w:lineRule="auto"/>
      </w:pPr>
      <w:r>
        <w:rPr>
          <w:rFonts w:ascii="Calibri" w:hAnsi="Calibri"/>
          <w:b/>
          <w:color w:val="111827"/>
          <w:sz w:val="22"/>
        </w:rPr>
        <w:t>Delivery phase:</w:t>
      </w:r>
      <w:r>
        <w:rPr>
          <w:rFonts w:ascii="Calibri" w:hAnsi="Calibri"/>
          <w:i w:val="0"/>
          <w:color w:val="111827"/>
          <w:sz w:val="22"/>
        </w:rPr>
        <w:t xml:space="preserve"> First moat release after MVP</w:t>
      </w:r>
    </w:p>
    <w:p>
      <w:pPr>
        <w:pStyle w:val="Heading3"/>
        <w:keepNext/>
        <w:keepLines/>
      </w:pPr>
      <w:r>
        <w:t>User flow</w:t>
      </w:r>
    </w:p>
    <w:p>
      <w:pPr>
        <w:keepNext/>
        <w:keepLines/>
        <w:numPr>
          <w:ilvl w:val="0"/>
          <w:numId w:val="15"/>
        </w:numPr>
        <w:spacing w:after="160" w:line="280" w:lineRule="auto"/>
      </w:pPr>
      <w:r>
        <w:rPr>
          <w:rFonts w:ascii="Calibri" w:hAnsi="Calibri"/>
          <w:color w:val="111827"/>
          <w:sz w:val="22"/>
        </w:rPr>
        <w:t>User selects an origin/discovery market, destination market, category, budget, and preferred sales channel.</w:t>
      </w:r>
    </w:p>
    <w:p>
      <w:pPr>
        <w:keepNext/>
        <w:keepLines/>
        <w:numPr>
          <w:ilvl w:val="0"/>
          <w:numId w:val="15"/>
        </w:numPr>
        <w:spacing w:after="160" w:line="280" w:lineRule="auto"/>
      </w:pPr>
      <w:r>
        <w:rPr>
          <w:rFonts w:ascii="Calibri" w:hAnsi="Calibri"/>
          <w:color w:val="111827"/>
          <w:sz w:val="22"/>
        </w:rPr>
        <w:t>TrendSell calculates global momentum, local interest, observed local supply, price gap, logistics friction, and compliance risk.</w:t>
      </w:r>
    </w:p>
    <w:p>
      <w:pPr>
        <w:keepNext/>
        <w:keepLines/>
        <w:numPr>
          <w:ilvl w:val="0"/>
          <w:numId w:val="15"/>
        </w:numPr>
        <w:spacing w:after="160" w:line="280" w:lineRule="auto"/>
      </w:pPr>
      <w:r>
        <w:rPr>
          <w:rFonts w:ascii="Calibri" w:hAnsi="Calibri"/>
          <w:color w:val="111827"/>
          <w:sz w:val="22"/>
        </w:rPr>
        <w:t>The radar plots candidates by demand momentum and destination headroom; color reflects viability and opacity reflects confidence.</w:t>
      </w:r>
    </w:p>
    <w:p>
      <w:pPr>
        <w:keepNext w:val="0"/>
        <w:keepLines/>
        <w:numPr>
          <w:ilvl w:val="0"/>
          <w:numId w:val="15"/>
        </w:numPr>
        <w:spacing w:after="160" w:line="280" w:lineRule="auto"/>
      </w:pPr>
      <w:r>
        <w:rPr>
          <w:rFonts w:ascii="Calibri" w:hAnsi="Calibri"/>
          <w:color w:val="111827"/>
          <w:sz w:val="22"/>
        </w:rPr>
        <w:t>User opens a candidate to see exactly which local evidence is present and which assumptions still require validation.</w:t>
      </w:r>
    </w:p>
    <w:p>
      <w:pPr>
        <w:pStyle w:val="Heading3"/>
        <w:keepNext/>
        <w:keepLines/>
      </w:pPr>
      <w:r>
        <w:t>Required evidence and processing</w:t>
      </w:r>
    </w:p>
    <w:p>
      <w:pPr>
        <w:keepNext/>
        <w:keepLines/>
        <w:numPr>
          <w:ilvl w:val="0"/>
          <w:numId w:val="10"/>
        </w:numPr>
        <w:spacing w:after="160" w:line="280" w:lineRule="auto"/>
      </w:pPr>
      <w:r>
        <w:rPr>
          <w:rFonts w:ascii="Calibri" w:hAnsi="Calibri"/>
          <w:color w:val="111827"/>
          <w:sz w:val="22"/>
        </w:rPr>
        <w:t>Global demand sources and destination-specific search interest sampled over comparable windows.</w:t>
      </w:r>
    </w:p>
    <w:p>
      <w:pPr>
        <w:keepNext/>
        <w:keepLines/>
        <w:numPr>
          <w:ilvl w:val="0"/>
          <w:numId w:val="10"/>
        </w:numPr>
        <w:spacing w:after="160" w:line="280" w:lineRule="auto"/>
      </w:pPr>
      <w:r>
        <w:rPr>
          <w:rFonts w:ascii="Calibri" w:hAnsi="Calibri"/>
          <w:color w:val="111827"/>
          <w:sz w:val="22"/>
        </w:rPr>
        <w:t>Observed local listings or partner data; never an invented local competitor count.</w:t>
      </w:r>
    </w:p>
    <w:p>
      <w:pPr>
        <w:keepNext w:val="0"/>
        <w:keepLines/>
        <w:numPr>
          <w:ilvl w:val="0"/>
          <w:numId w:val="10"/>
        </w:numPr>
        <w:spacing w:after="160" w:line="280" w:lineRule="auto"/>
      </w:pPr>
      <w:r>
        <w:rPr>
          <w:rFonts w:ascii="Calibri" w:hAnsi="Calibri"/>
          <w:color w:val="111827"/>
          <w:sz w:val="22"/>
        </w:rPr>
        <w:t>Effective-dated tariffs, restrictions, currency rates, freight quotes, and user-entered commercial inputs.</w:t>
      </w:r>
    </w:p>
    <w:p>
      <w:pPr>
        <w:pStyle w:val="Heading3"/>
        <w:keepNext/>
        <w:keepLines/>
      </w:pPr>
      <w:r>
        <w:t>Interface behavior</w:t>
      </w:r>
    </w:p>
    <w:p>
      <w:pPr>
        <w:keepNext/>
        <w:keepLines/>
        <w:numPr>
          <w:ilvl w:val="0"/>
          <w:numId w:val="10"/>
        </w:numPr>
        <w:spacing w:after="160" w:line="280" w:lineRule="auto"/>
      </w:pPr>
      <w:r>
        <w:rPr>
          <w:rFonts w:ascii="Calibri" w:hAnsi="Calibri"/>
          <w:color w:val="111827"/>
          <w:sz w:val="22"/>
        </w:rPr>
        <w:t>Quadrants: Crowded Winner, Global Momentum/Local Gap, Local Winner, and Weak Signal.</w:t>
      </w:r>
    </w:p>
    <w:p>
      <w:pPr>
        <w:keepNext/>
        <w:keepLines/>
        <w:numPr>
          <w:ilvl w:val="0"/>
          <w:numId w:val="10"/>
        </w:numPr>
        <w:spacing w:after="160" w:line="280" w:lineRule="auto"/>
      </w:pPr>
      <w:r>
        <w:rPr>
          <w:rFonts w:ascii="Calibri" w:hAnsi="Calibri"/>
          <w:color w:val="111827"/>
          <w:sz w:val="22"/>
        </w:rPr>
        <w:t>A market coverage tooltip prevents sparse data from appearing as low competition.</w:t>
      </w:r>
    </w:p>
    <w:p>
      <w:pPr>
        <w:keepNext w:val="0"/>
        <w:keepLines/>
        <w:numPr>
          <w:ilvl w:val="0"/>
          <w:numId w:val="10"/>
        </w:numPr>
        <w:spacing w:after="160" w:line="280" w:lineRule="auto"/>
      </w:pPr>
      <w:r>
        <w:rPr>
          <w:rFonts w:ascii="Calibri" w:hAnsi="Calibri"/>
          <w:color w:val="111827"/>
          <w:sz w:val="22"/>
        </w:rPr>
        <w:t>A 'Why this gap exists' panel distinguishes true headroom from missing coverage, regulation, affordability, and supply friction.</w:t>
      </w:r>
    </w:p>
    <w:p>
      <w:pPr>
        <w:pStyle w:val="Heading3"/>
        <w:keepNext/>
        <w:keepLines/>
      </w:pPr>
      <w:r>
        <w:t>Truth and safety rules</w:t>
      </w:r>
    </w:p>
    <w:p>
      <w:pPr>
        <w:keepNext/>
        <w:keepLines/>
        <w:numPr>
          <w:ilvl w:val="0"/>
          <w:numId w:val="10"/>
        </w:numPr>
        <w:spacing w:after="160" w:line="280" w:lineRule="auto"/>
      </w:pPr>
      <w:r>
        <w:rPr>
          <w:rFonts w:ascii="Calibri" w:hAnsi="Calibri"/>
          <w:color w:val="111827"/>
          <w:sz w:val="22"/>
        </w:rPr>
        <w:t>Sparse local data reduces confidence; it must never automatically increase opportunity.</w:t>
      </w:r>
    </w:p>
    <w:p>
      <w:pPr>
        <w:keepNext/>
        <w:keepLines/>
        <w:numPr>
          <w:ilvl w:val="0"/>
          <w:numId w:val="10"/>
        </w:numPr>
        <w:spacing w:after="160" w:line="280" w:lineRule="auto"/>
      </w:pPr>
      <w:r>
        <w:rPr>
          <w:rFonts w:ascii="Calibri" w:hAnsi="Calibri"/>
          <w:color w:val="111827"/>
          <w:sz w:val="22"/>
        </w:rPr>
        <w:t>Market comparisons must use aligned date windows and currency conventions.</w:t>
      </w:r>
    </w:p>
    <w:p>
      <w:pPr>
        <w:keepNext w:val="0"/>
        <w:keepLines/>
        <w:numPr>
          <w:ilvl w:val="0"/>
          <w:numId w:val="10"/>
        </w:numPr>
        <w:spacing w:after="160" w:line="280" w:lineRule="auto"/>
      </w:pPr>
      <w:r>
        <w:rPr>
          <w:rFonts w:ascii="Calibri" w:hAnsi="Calibri"/>
          <w:color w:val="111827"/>
          <w:sz w:val="22"/>
        </w:rPr>
        <w:t>Products with unresolved prohibitions cannot be ranked as GO opportunities.</w:t>
      </w:r>
    </w:p>
    <w:p>
      <w:pPr>
        <w:pStyle w:val="Heading3"/>
        <w:keepNext/>
        <w:keepLines/>
      </w:pPr>
      <w:r>
        <w:t>Acceptance criteria</w:t>
      </w:r>
    </w:p>
    <w:p>
      <w:pPr>
        <w:keepNext/>
        <w:keepLines/>
        <w:numPr>
          <w:ilvl w:val="0"/>
          <w:numId w:val="10"/>
        </w:numPr>
        <w:spacing w:after="160" w:line="280" w:lineRule="auto"/>
      </w:pPr>
      <w:r>
        <w:rPr>
          <w:rFonts w:ascii="Calibri" w:hAnsi="Calibri"/>
          <w:color w:val="111827"/>
          <w:sz w:val="22"/>
        </w:rPr>
        <w:t>Every plotted candidate exposes the numerator and denominator behind the gap score.</w:t>
      </w:r>
    </w:p>
    <w:p>
      <w:pPr>
        <w:keepNext/>
        <w:keepLines/>
        <w:numPr>
          <w:ilvl w:val="0"/>
          <w:numId w:val="10"/>
        </w:numPr>
        <w:spacing w:after="160" w:line="280" w:lineRule="auto"/>
      </w:pPr>
      <w:r>
        <w:rPr>
          <w:rFonts w:ascii="Calibri" w:hAnsi="Calibri"/>
          <w:color w:val="111827"/>
          <w:sz w:val="22"/>
        </w:rPr>
        <w:t>Coverage below the configured minimum displays 'Insufficient evidence' instead of 'Untapped.'</w:t>
      </w:r>
    </w:p>
    <w:p>
      <w:pPr>
        <w:keepNext w:val="0"/>
        <w:keepLines/>
        <w:numPr>
          <w:ilvl w:val="0"/>
          <w:numId w:val="10"/>
        </w:numPr>
        <w:spacing w:after="160" w:line="280" w:lineRule="auto"/>
      </w:pPr>
      <w:r>
        <w:rPr>
          <w:rFonts w:ascii="Calibri" w:hAnsi="Calibri"/>
          <w:color w:val="111827"/>
          <w:sz w:val="22"/>
        </w:rPr>
        <w:t>Changing the destination recalculates scores from market-specific evidence without modifying global observations.</w:t>
      </w:r>
    </w:p>
    <w:p>
      <w:r>
        <w:br w:type="page"/>
      </w:r>
    </w:p>
    <w:p>
      <w:pPr>
        <w:pStyle w:val="Heading2"/>
        <w:keepNext/>
        <w:keepLines/>
      </w:pPr>
      <w:r>
        <w:t>4.4 Go/No-Go Decision Room</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User promise: </w:t>
            </w:r>
            <w:r>
              <w:rPr>
                <w:rFonts w:ascii="Calibri" w:hAnsi="Calibri"/>
                <w:color w:val="111827"/>
                <w:sz w:val="22"/>
              </w:rPr>
              <w:t>Convert evidence and editable business assumptions into a clear investment decision and the conditions required to improve it.</w:t>
            </w:r>
          </w:p>
        </w:tc>
      </w:tr>
    </w:tbl>
    <w:p>
      <w:pPr>
        <w:spacing w:after="40"/>
      </w:pPr>
    </w:p>
    <w:p>
      <w:pPr>
        <w:spacing w:after="120" w:line="264" w:lineRule="auto"/>
      </w:pPr>
      <w:r>
        <w:rPr>
          <w:rFonts w:ascii="Calibri" w:hAnsi="Calibri"/>
          <w:b/>
          <w:color w:val="111827"/>
          <w:sz w:val="22"/>
        </w:rPr>
        <w:t>Delivery phase:</w:t>
      </w:r>
      <w:r>
        <w:rPr>
          <w:rFonts w:ascii="Calibri" w:hAnsi="Calibri"/>
          <w:i w:val="0"/>
          <w:color w:val="111827"/>
          <w:sz w:val="22"/>
        </w:rPr>
        <w:t xml:space="preserve"> MVP signature feature</w:t>
      </w:r>
    </w:p>
    <w:p>
      <w:pPr>
        <w:pStyle w:val="Heading3"/>
        <w:keepNext/>
        <w:keepLines/>
      </w:pPr>
      <w:r>
        <w:t>User flow</w:t>
      </w:r>
    </w:p>
    <w:p>
      <w:pPr>
        <w:keepNext/>
        <w:keepLines/>
        <w:numPr>
          <w:ilvl w:val="0"/>
          <w:numId w:val="16"/>
        </w:numPr>
        <w:spacing w:after="160" w:line="280" w:lineRule="auto"/>
      </w:pPr>
      <w:r>
        <w:rPr>
          <w:rFonts w:ascii="Calibri" w:hAnsi="Calibri"/>
          <w:color w:val="111827"/>
          <w:sz w:val="22"/>
        </w:rPr>
        <w:t>User selects destination, channel, quantity, target price, supplier quote, freight mode, marketing budget, and return allowance.</w:t>
      </w:r>
    </w:p>
    <w:p>
      <w:pPr>
        <w:keepNext/>
        <w:keepLines/>
        <w:numPr>
          <w:ilvl w:val="0"/>
          <w:numId w:val="16"/>
        </w:numPr>
        <w:spacing w:after="160" w:line="280" w:lineRule="auto"/>
      </w:pPr>
      <w:r>
        <w:rPr>
          <w:rFonts w:ascii="Calibri" w:hAnsi="Calibri"/>
          <w:color w:val="111827"/>
          <w:sz w:val="22"/>
        </w:rPr>
        <w:t>TrendSell calculates best, base, and worst cases with a transparent waterfall from supplier price to contribution margin.</w:t>
      </w:r>
    </w:p>
    <w:p>
      <w:pPr>
        <w:keepNext/>
        <w:keepLines/>
        <w:numPr>
          <w:ilvl w:val="0"/>
          <w:numId w:val="16"/>
        </w:numPr>
        <w:spacing w:after="160" w:line="280" w:lineRule="auto"/>
      </w:pPr>
      <w:r>
        <w:rPr>
          <w:rFonts w:ascii="Calibri" w:hAnsi="Calibri"/>
          <w:color w:val="111827"/>
          <w:sz w:val="22"/>
        </w:rPr>
        <w:t>Compliance, cash, margin, saturation, and evidence-confidence gates produce GO, WATCH, or NO-GO.</w:t>
      </w:r>
    </w:p>
    <w:p>
      <w:pPr>
        <w:keepNext/>
        <w:keepLines/>
        <w:numPr>
          <w:ilvl w:val="0"/>
          <w:numId w:val="16"/>
        </w:numPr>
        <w:spacing w:after="160" w:line="280" w:lineRule="auto"/>
      </w:pPr>
      <w:r>
        <w:rPr>
          <w:rFonts w:ascii="Calibri" w:hAnsi="Calibri"/>
          <w:color w:val="111827"/>
          <w:sz w:val="22"/>
        </w:rPr>
        <w:t>User changes an assumption and sees the decision, break-even units, and sensitivity update immediately.</w:t>
      </w:r>
    </w:p>
    <w:p>
      <w:pPr>
        <w:keepNext w:val="0"/>
        <w:keepLines/>
        <w:numPr>
          <w:ilvl w:val="0"/>
          <w:numId w:val="16"/>
        </w:numPr>
        <w:spacing w:after="160" w:line="280" w:lineRule="auto"/>
      </w:pPr>
      <w:r>
        <w:rPr>
          <w:rFonts w:ascii="Calibri" w:hAnsi="Calibri"/>
          <w:color w:val="111827"/>
          <w:sz w:val="22"/>
        </w:rPr>
        <w:t>User saves a versioned scenario and shares a read-only evidence brief.</w:t>
      </w:r>
    </w:p>
    <w:p>
      <w:pPr>
        <w:pStyle w:val="Heading3"/>
        <w:keepNext/>
        <w:keepLines/>
      </w:pPr>
      <w:r>
        <w:t>Required evidence and processing</w:t>
      </w:r>
    </w:p>
    <w:p>
      <w:pPr>
        <w:keepNext/>
        <w:keepLines/>
        <w:numPr>
          <w:ilvl w:val="0"/>
          <w:numId w:val="10"/>
        </w:numPr>
        <w:spacing w:after="160" w:line="280" w:lineRule="auto"/>
      </w:pPr>
      <w:r>
        <w:rPr>
          <w:rFonts w:ascii="Calibri" w:hAnsi="Calibri"/>
          <w:color w:val="111827"/>
          <w:sz w:val="22"/>
        </w:rPr>
        <w:t>User-provided quotes and assumptions are stored separately from observed facts.</w:t>
      </w:r>
    </w:p>
    <w:p>
      <w:pPr>
        <w:keepNext/>
        <w:keepLines/>
        <w:numPr>
          <w:ilvl w:val="0"/>
          <w:numId w:val="10"/>
        </w:numPr>
        <w:spacing w:after="160" w:line="280" w:lineRule="auto"/>
      </w:pPr>
      <w:r>
        <w:rPr>
          <w:rFonts w:ascii="Calibri" w:hAnsi="Calibri"/>
          <w:color w:val="111827"/>
          <w:sz w:val="22"/>
        </w:rPr>
        <w:t>Effective-dated fee, FX, tariff, and compliance rules record their source and jurisdiction.</w:t>
      </w:r>
    </w:p>
    <w:p>
      <w:pPr>
        <w:keepNext w:val="0"/>
        <w:keepLines/>
        <w:numPr>
          <w:ilvl w:val="0"/>
          <w:numId w:val="10"/>
        </w:numPr>
        <w:spacing w:after="160" w:line="280" w:lineRule="auto"/>
      </w:pPr>
      <w:r>
        <w:rPr>
          <w:rFonts w:ascii="Calibri" w:hAnsi="Calibri"/>
          <w:color w:val="111827"/>
          <w:sz w:val="22"/>
        </w:rPr>
        <w:t>All formulas and threshold versions are persisted with each assessment.</w:t>
      </w:r>
    </w:p>
    <w:p>
      <w:pPr>
        <w:pStyle w:val="Heading3"/>
        <w:keepNext/>
        <w:keepLines/>
      </w:pPr>
      <w:r>
        <w:t>Interface behavior</w:t>
      </w:r>
    </w:p>
    <w:p>
      <w:pPr>
        <w:keepNext/>
        <w:keepLines/>
        <w:numPr>
          <w:ilvl w:val="0"/>
          <w:numId w:val="10"/>
        </w:numPr>
        <w:spacing w:after="160" w:line="280" w:lineRule="auto"/>
      </w:pPr>
      <w:r>
        <w:rPr>
          <w:rFonts w:ascii="Calibri" w:hAnsi="Calibri"/>
          <w:color w:val="111827"/>
          <w:sz w:val="22"/>
        </w:rPr>
        <w:t>A sticky decision header shows status, confidence, margin, cash required, and blockers.</w:t>
      </w:r>
    </w:p>
    <w:p>
      <w:pPr>
        <w:keepNext/>
        <w:keepLines/>
        <w:numPr>
          <w:ilvl w:val="0"/>
          <w:numId w:val="10"/>
        </w:numPr>
        <w:spacing w:after="160" w:line="280" w:lineRule="auto"/>
      </w:pPr>
      <w:r>
        <w:rPr>
          <w:rFonts w:ascii="Calibri" w:hAnsi="Calibri"/>
          <w:color w:val="111827"/>
          <w:sz w:val="22"/>
        </w:rPr>
        <w:t>A waterfall explains landed cost, channel fees, payment costs, returns, marketing, tax reserve, and contribution.</w:t>
      </w:r>
    </w:p>
    <w:p>
      <w:pPr>
        <w:keepNext/>
        <w:keepLines/>
        <w:numPr>
          <w:ilvl w:val="0"/>
          <w:numId w:val="10"/>
        </w:numPr>
        <w:spacing w:after="160" w:line="280" w:lineRule="auto"/>
      </w:pPr>
      <w:r>
        <w:rPr>
          <w:rFonts w:ascii="Calibri" w:hAnsi="Calibri"/>
          <w:color w:val="111827"/>
          <w:sz w:val="22"/>
        </w:rPr>
        <w:t>Sensitivity sliders highlight the three inputs most capable of changing the decision.</w:t>
      </w:r>
    </w:p>
    <w:p>
      <w:pPr>
        <w:keepNext w:val="0"/>
        <w:keepLines/>
        <w:numPr>
          <w:ilvl w:val="0"/>
          <w:numId w:val="10"/>
        </w:numPr>
        <w:spacing w:after="160" w:line="280" w:lineRule="auto"/>
      </w:pPr>
      <w:r>
        <w:rPr>
          <w:rFonts w:ascii="Calibri" w:hAnsi="Calibri"/>
          <w:color w:val="111827"/>
          <w:sz w:val="22"/>
        </w:rPr>
        <w:t>A 'What must become true?' box says, for example, 'Reduce landed cost below X or raise selling price above Y.'</w:t>
      </w:r>
    </w:p>
    <w:p>
      <w:pPr>
        <w:pStyle w:val="Heading3"/>
        <w:keepNext/>
        <w:keepLines/>
      </w:pPr>
      <w:r>
        <w:t>Truth and safety rules</w:t>
      </w:r>
    </w:p>
    <w:p>
      <w:pPr>
        <w:keepNext/>
        <w:keepLines/>
        <w:numPr>
          <w:ilvl w:val="0"/>
          <w:numId w:val="10"/>
        </w:numPr>
        <w:spacing w:after="160" w:line="280" w:lineRule="auto"/>
      </w:pPr>
      <w:r>
        <w:rPr>
          <w:rFonts w:ascii="Calibri" w:hAnsi="Calibri"/>
          <w:color w:val="111827"/>
          <w:sz w:val="22"/>
        </w:rPr>
        <w:t>Never label a scenario as a forecast unless the probability model is validated; call it a scenario.</w:t>
      </w:r>
    </w:p>
    <w:p>
      <w:pPr>
        <w:keepNext/>
        <w:keepLines/>
        <w:numPr>
          <w:ilvl w:val="0"/>
          <w:numId w:val="10"/>
        </w:numPr>
        <w:spacing w:after="160" w:line="280" w:lineRule="auto"/>
      </w:pPr>
      <w:r>
        <w:rPr>
          <w:rFonts w:ascii="Calibri" w:hAnsi="Calibri"/>
          <w:color w:val="111827"/>
          <w:sz w:val="22"/>
        </w:rPr>
        <w:t>GO requires minimum confidence and resolved prohibited/restricted status, regardless of attractive margin.</w:t>
      </w:r>
    </w:p>
    <w:p>
      <w:pPr>
        <w:keepNext w:val="0"/>
        <w:keepLines/>
        <w:numPr>
          <w:ilvl w:val="0"/>
          <w:numId w:val="10"/>
        </w:numPr>
        <w:spacing w:after="160" w:line="280" w:lineRule="auto"/>
      </w:pPr>
      <w:r>
        <w:rPr>
          <w:rFonts w:ascii="Calibri" w:hAnsi="Calibri"/>
          <w:color w:val="111827"/>
          <w:sz w:val="22"/>
        </w:rPr>
        <w:t>Store the exact inputs, source versions, formula version, and timestamp used for every saved decision.</w:t>
      </w:r>
    </w:p>
    <w:p>
      <w:pPr>
        <w:pStyle w:val="Heading3"/>
        <w:keepNext/>
        <w:keepLines/>
      </w:pPr>
      <w:r>
        <w:t>Acceptance criteria</w:t>
      </w:r>
    </w:p>
    <w:p>
      <w:pPr>
        <w:keepNext/>
        <w:keepLines/>
        <w:numPr>
          <w:ilvl w:val="0"/>
          <w:numId w:val="10"/>
        </w:numPr>
        <w:spacing w:after="160" w:line="280" w:lineRule="auto"/>
      </w:pPr>
      <w:r>
        <w:rPr>
          <w:rFonts w:ascii="Calibri" w:hAnsi="Calibri"/>
          <w:color w:val="111827"/>
          <w:sz w:val="22"/>
        </w:rPr>
        <w:t>Server and client calculations match a shared contract test to the defined rounding precision.</w:t>
      </w:r>
    </w:p>
    <w:p>
      <w:pPr>
        <w:keepNext/>
        <w:keepLines/>
        <w:numPr>
          <w:ilvl w:val="0"/>
          <w:numId w:val="10"/>
        </w:numPr>
        <w:spacing w:after="160" w:line="280" w:lineRule="auto"/>
      </w:pPr>
      <w:r>
        <w:rPr>
          <w:rFonts w:ascii="Calibri" w:hAnsi="Calibri"/>
          <w:color w:val="111827"/>
          <w:sz w:val="22"/>
        </w:rPr>
        <w:t>Changing one input never mutates observed source data.</w:t>
      </w:r>
    </w:p>
    <w:p>
      <w:pPr>
        <w:keepNext/>
        <w:keepLines/>
        <w:numPr>
          <w:ilvl w:val="0"/>
          <w:numId w:val="10"/>
        </w:numPr>
        <w:spacing w:after="160" w:line="280" w:lineRule="auto"/>
      </w:pPr>
      <w:r>
        <w:rPr>
          <w:rFonts w:ascii="Calibri" w:hAnsi="Calibri"/>
          <w:color w:val="111827"/>
          <w:sz w:val="22"/>
        </w:rPr>
        <w:t>A decision can be reproduced from its stored assessment payload.</w:t>
      </w:r>
    </w:p>
    <w:p>
      <w:pPr>
        <w:keepNext w:val="0"/>
        <w:keepLines/>
        <w:numPr>
          <w:ilvl w:val="0"/>
          <w:numId w:val="10"/>
        </w:numPr>
        <w:spacing w:after="160" w:line="280" w:lineRule="auto"/>
      </w:pPr>
      <w:r>
        <w:rPr>
          <w:rFonts w:ascii="Calibri" w:hAnsi="Calibri"/>
          <w:color w:val="111827"/>
          <w:sz w:val="22"/>
        </w:rPr>
        <w:t>Exports distinguish observed, calculated, estimated, and user-provided values.</w:t>
      </w:r>
    </w:p>
    <w:p>
      <w:r>
        <w:br w:type="page"/>
      </w:r>
    </w:p>
    <w:p>
      <w:pPr>
        <w:pStyle w:val="Heading2"/>
        <w:keepNext/>
        <w:keepLines/>
      </w:pPr>
      <w:r>
        <w:t>4.5 Creative DNA</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User promise: </w:t>
            </w:r>
            <w:r>
              <w:rPr>
                <w:rFonts w:ascii="Calibri" w:hAnsi="Calibri"/>
                <w:color w:val="111827"/>
                <w:sz w:val="22"/>
              </w:rPr>
              <w:t>Reveal the recurring hooks, formats, offers, and longevity patterns behind real ads without inventing private performance metrics.</w:t>
            </w:r>
          </w:p>
        </w:tc>
      </w:tr>
    </w:tbl>
    <w:p>
      <w:pPr>
        <w:spacing w:after="40"/>
      </w:pPr>
    </w:p>
    <w:p>
      <w:pPr>
        <w:spacing w:after="120" w:line="264" w:lineRule="auto"/>
      </w:pPr>
      <w:r>
        <w:rPr>
          <w:rFonts w:ascii="Calibri" w:hAnsi="Calibri"/>
          <w:b/>
          <w:color w:val="111827"/>
          <w:sz w:val="22"/>
        </w:rPr>
        <w:t>Delivery phase:</w:t>
      </w:r>
      <w:r>
        <w:rPr>
          <w:rFonts w:ascii="Calibri" w:hAnsi="Calibri"/>
          <w:i w:val="0"/>
          <w:color w:val="111827"/>
          <w:sz w:val="22"/>
        </w:rPr>
        <w:t xml:space="preserve"> Post-MVP differentiation</w:t>
      </w:r>
    </w:p>
    <w:p>
      <w:pPr>
        <w:pStyle w:val="Heading3"/>
        <w:keepNext/>
        <w:keepLines/>
      </w:pPr>
      <w:r>
        <w:t>User flow</w:t>
      </w:r>
    </w:p>
    <w:p>
      <w:pPr>
        <w:keepNext/>
        <w:keepLines/>
        <w:numPr>
          <w:ilvl w:val="0"/>
          <w:numId w:val="17"/>
        </w:numPr>
        <w:spacing w:after="160" w:line="280" w:lineRule="auto"/>
      </w:pPr>
      <w:r>
        <w:rPr>
          <w:rFonts w:ascii="Calibri" w:hAnsi="Calibri"/>
          <w:color w:val="111827"/>
          <w:sz w:val="22"/>
        </w:rPr>
        <w:t>User opens the Creative tab for a confirmed product or searches by keyword/advertiser.</w:t>
      </w:r>
    </w:p>
    <w:p>
      <w:pPr>
        <w:keepNext/>
        <w:keepLines/>
        <w:numPr>
          <w:ilvl w:val="0"/>
          <w:numId w:val="17"/>
        </w:numPr>
        <w:spacing w:after="160" w:line="280" w:lineRule="auto"/>
      </w:pPr>
      <w:r>
        <w:rPr>
          <w:rFonts w:ascii="Calibri" w:hAnsi="Calibri"/>
          <w:color w:val="111827"/>
          <w:sz w:val="22"/>
        </w:rPr>
        <w:t>TrendSell retrieves permitted ads and commercial content, deduplicates creatives, and transcribes accessible copy.</w:t>
      </w:r>
    </w:p>
    <w:p>
      <w:pPr>
        <w:keepNext/>
        <w:keepLines/>
        <w:numPr>
          <w:ilvl w:val="0"/>
          <w:numId w:val="17"/>
        </w:numPr>
        <w:spacing w:after="160" w:line="280" w:lineRule="auto"/>
      </w:pPr>
      <w:r>
        <w:rPr>
          <w:rFonts w:ascii="Calibri" w:hAnsi="Calibri"/>
          <w:color w:val="111827"/>
          <w:sz w:val="22"/>
        </w:rPr>
        <w:t>Classifiers label hook, problem, promise, proof type, offer, format, CTA, language, and target market.</w:t>
      </w:r>
    </w:p>
    <w:p>
      <w:pPr>
        <w:keepNext w:val="0"/>
        <w:keepLines/>
        <w:numPr>
          <w:ilvl w:val="0"/>
          <w:numId w:val="17"/>
        </w:numPr>
        <w:spacing w:after="160" w:line="280" w:lineRule="auto"/>
      </w:pPr>
      <w:r>
        <w:rPr>
          <w:rFonts w:ascii="Calibri" w:hAnsi="Calibri"/>
          <w:color w:val="111827"/>
          <w:sz w:val="22"/>
        </w:rPr>
        <w:t>Clusters show which concepts are new, persistent, copied across advertisers, or declining.</w:t>
      </w:r>
    </w:p>
    <w:p>
      <w:pPr>
        <w:pStyle w:val="Heading3"/>
        <w:keepNext/>
        <w:keepLines/>
      </w:pPr>
      <w:r>
        <w:t>Required evidence and processing</w:t>
      </w:r>
    </w:p>
    <w:p>
      <w:pPr>
        <w:keepNext/>
        <w:keepLines/>
        <w:numPr>
          <w:ilvl w:val="0"/>
          <w:numId w:val="10"/>
        </w:numPr>
        <w:spacing w:after="160" w:line="280" w:lineRule="auto"/>
      </w:pPr>
      <w:r>
        <w:rPr>
          <w:rFonts w:ascii="Calibri" w:hAnsi="Calibri"/>
          <w:color w:val="111827"/>
          <w:sz w:val="22"/>
        </w:rPr>
        <w:t>Ad identifiers, advertiser, source URL, first/last seen, active state, regions, creative media, and public reach fields when available.</w:t>
      </w:r>
    </w:p>
    <w:p>
      <w:pPr>
        <w:keepNext/>
        <w:keepLines/>
        <w:numPr>
          <w:ilvl w:val="0"/>
          <w:numId w:val="10"/>
        </w:numPr>
        <w:spacing w:after="160" w:line="280" w:lineRule="auto"/>
      </w:pPr>
      <w:r>
        <w:rPr>
          <w:rFonts w:ascii="Calibri" w:hAnsi="Calibri"/>
          <w:color w:val="111827"/>
          <w:sz w:val="22"/>
        </w:rPr>
        <w:t>Derived labels retain model version, prompt version, and confidence.</w:t>
      </w:r>
    </w:p>
    <w:p>
      <w:pPr>
        <w:keepNext w:val="0"/>
        <w:keepLines/>
        <w:numPr>
          <w:ilvl w:val="0"/>
          <w:numId w:val="10"/>
        </w:numPr>
        <w:spacing w:after="160" w:line="280" w:lineRule="auto"/>
      </w:pPr>
      <w:r>
        <w:rPr>
          <w:rFonts w:ascii="Calibri" w:hAnsi="Calibri"/>
          <w:color w:val="111827"/>
          <w:sz w:val="22"/>
        </w:rPr>
        <w:t>Creative persistence is an observed duration, not a proxy presented as profit or ROAS.</w:t>
      </w:r>
    </w:p>
    <w:p>
      <w:pPr>
        <w:pStyle w:val="Heading3"/>
        <w:keepNext/>
        <w:keepLines/>
      </w:pPr>
      <w:r>
        <w:t>Interface behavior</w:t>
      </w:r>
    </w:p>
    <w:p>
      <w:pPr>
        <w:keepNext/>
        <w:keepLines/>
        <w:numPr>
          <w:ilvl w:val="0"/>
          <w:numId w:val="10"/>
        </w:numPr>
        <w:spacing w:after="160" w:line="280" w:lineRule="auto"/>
      </w:pPr>
      <w:r>
        <w:rPr>
          <w:rFonts w:ascii="Calibri" w:hAnsi="Calibri"/>
          <w:color w:val="111827"/>
          <w:sz w:val="22"/>
        </w:rPr>
        <w:t>A gallery of real creatives with source links and visible coverage restrictions.</w:t>
      </w:r>
    </w:p>
    <w:p>
      <w:pPr>
        <w:keepNext/>
        <w:keepLines/>
        <w:numPr>
          <w:ilvl w:val="0"/>
          <w:numId w:val="10"/>
        </w:numPr>
        <w:spacing w:after="160" w:line="280" w:lineRule="auto"/>
      </w:pPr>
      <w:r>
        <w:rPr>
          <w:rFonts w:ascii="Calibri" w:hAnsi="Calibri"/>
          <w:color w:val="111827"/>
          <w:sz w:val="22"/>
        </w:rPr>
        <w:t>A Creative DNA summary compares hook share, format share, longevity, and advertiser diversity.</w:t>
      </w:r>
    </w:p>
    <w:p>
      <w:pPr>
        <w:keepNext w:val="0"/>
        <w:keepLines/>
        <w:numPr>
          <w:ilvl w:val="0"/>
          <w:numId w:val="10"/>
        </w:numPr>
        <w:spacing w:after="160" w:line="280" w:lineRule="auto"/>
      </w:pPr>
      <w:r>
        <w:rPr>
          <w:rFonts w:ascii="Calibri" w:hAnsi="Calibri"/>
          <w:color w:val="111827"/>
          <w:sz w:val="22"/>
        </w:rPr>
        <w:t>Users can create an inspiration board, but exported assets must respect source rights and platform policies.</w:t>
      </w:r>
    </w:p>
    <w:p>
      <w:pPr>
        <w:pStyle w:val="Heading3"/>
        <w:keepNext/>
        <w:keepLines/>
      </w:pPr>
      <w:r>
        <w:t>Truth and safety rules</w:t>
      </w:r>
    </w:p>
    <w:p>
      <w:pPr>
        <w:keepNext/>
        <w:keepLines/>
        <w:numPr>
          <w:ilvl w:val="0"/>
          <w:numId w:val="10"/>
        </w:numPr>
        <w:spacing w:after="160" w:line="280" w:lineRule="auto"/>
      </w:pPr>
      <w:r>
        <w:rPr>
          <w:rFonts w:ascii="Calibri" w:hAnsi="Calibri"/>
          <w:color w:val="111827"/>
          <w:sz w:val="22"/>
        </w:rPr>
        <w:t>Do not state that an ad is winning because it ran for a long time; say it persisted and explain the inference limits.</w:t>
      </w:r>
    </w:p>
    <w:p>
      <w:pPr>
        <w:keepNext/>
        <w:keepLines/>
        <w:numPr>
          <w:ilvl w:val="0"/>
          <w:numId w:val="10"/>
        </w:numPr>
        <w:spacing w:after="160" w:line="280" w:lineRule="auto"/>
      </w:pPr>
      <w:r>
        <w:rPr>
          <w:rFonts w:ascii="Calibri" w:hAnsi="Calibri"/>
          <w:color w:val="111827"/>
          <w:sz w:val="22"/>
        </w:rPr>
        <w:t>Do not calculate spend or ROAS when the source does not publish it.</w:t>
      </w:r>
    </w:p>
    <w:p>
      <w:pPr>
        <w:keepNext w:val="0"/>
        <w:keepLines/>
        <w:numPr>
          <w:ilvl w:val="0"/>
          <w:numId w:val="10"/>
        </w:numPr>
        <w:spacing w:after="160" w:line="280" w:lineRule="auto"/>
      </w:pPr>
      <w:r>
        <w:rPr>
          <w:rFonts w:ascii="Calibri" w:hAnsi="Calibri"/>
          <w:color w:val="111827"/>
          <w:sz w:val="22"/>
        </w:rPr>
        <w:t>Do not bypass platform access controls or republish protected media outside permitted use.</w:t>
      </w:r>
    </w:p>
    <w:p>
      <w:pPr>
        <w:pStyle w:val="Heading3"/>
        <w:keepNext/>
        <w:keepLines/>
      </w:pPr>
      <w:r>
        <w:t>Acceptance criteria</w:t>
      </w:r>
    </w:p>
    <w:p>
      <w:pPr>
        <w:keepNext/>
        <w:keepLines/>
        <w:numPr>
          <w:ilvl w:val="0"/>
          <w:numId w:val="10"/>
        </w:numPr>
        <w:spacing w:after="160" w:line="280" w:lineRule="auto"/>
      </w:pPr>
      <w:r>
        <w:rPr>
          <w:rFonts w:ascii="Calibri" w:hAnsi="Calibri"/>
          <w:color w:val="111827"/>
          <w:sz w:val="22"/>
        </w:rPr>
        <w:t>Every creative card contains a working evidence link and observation dates.</w:t>
      </w:r>
    </w:p>
    <w:p>
      <w:pPr>
        <w:keepNext/>
        <w:keepLines/>
        <w:numPr>
          <w:ilvl w:val="0"/>
          <w:numId w:val="10"/>
        </w:numPr>
        <w:spacing w:after="160" w:line="280" w:lineRule="auto"/>
      </w:pPr>
      <w:r>
        <w:rPr>
          <w:rFonts w:ascii="Calibri" w:hAnsi="Calibri"/>
          <w:color w:val="111827"/>
          <w:sz w:val="22"/>
        </w:rPr>
        <w:t>Model-derived labels are visually distinct from source-provided fields.</w:t>
      </w:r>
    </w:p>
    <w:p>
      <w:pPr>
        <w:keepNext w:val="0"/>
        <w:keepLines/>
        <w:numPr>
          <w:ilvl w:val="0"/>
          <w:numId w:val="10"/>
        </w:numPr>
        <w:spacing w:after="160" w:line="280" w:lineRule="auto"/>
      </w:pPr>
      <w:r>
        <w:rPr>
          <w:rFonts w:ascii="Calibri" w:hAnsi="Calibri"/>
          <w:color w:val="111827"/>
          <w:sz w:val="22"/>
        </w:rPr>
        <w:t>Coverage limitations are displayed at query and result level.</w:t>
      </w:r>
    </w:p>
    <w:p>
      <w:r>
        <w:br w:type="page"/>
      </w:r>
    </w:p>
    <w:p>
      <w:pPr>
        <w:pStyle w:val="Heading2"/>
        <w:keepNext/>
        <w:keepLines/>
      </w:pPr>
      <w:r>
        <w:t>4.6 Supplier Quote Room</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User promise: </w:t>
            </w:r>
            <w:r>
              <w:rPr>
                <w:rFonts w:ascii="Calibri" w:hAnsi="Calibri"/>
                <w:color w:val="111827"/>
                <w:sz w:val="22"/>
              </w:rPr>
              <w:t>Turn supplier discovery into comparable, dated quotes and build a proprietary cost-and-reliability dataset.</w:t>
            </w:r>
          </w:p>
        </w:tc>
      </w:tr>
    </w:tbl>
    <w:p>
      <w:pPr>
        <w:spacing w:after="40"/>
      </w:pPr>
    </w:p>
    <w:p>
      <w:pPr>
        <w:spacing w:after="120" w:line="264" w:lineRule="auto"/>
      </w:pPr>
      <w:r>
        <w:rPr>
          <w:rFonts w:ascii="Calibri" w:hAnsi="Calibri"/>
          <w:b/>
          <w:color w:val="111827"/>
          <w:sz w:val="22"/>
        </w:rPr>
        <w:t>Delivery phase:</w:t>
      </w:r>
      <w:r>
        <w:rPr>
          <w:rFonts w:ascii="Calibri" w:hAnsi="Calibri"/>
          <w:i w:val="0"/>
          <w:color w:val="111827"/>
          <w:sz w:val="22"/>
        </w:rPr>
        <w:t xml:space="preserve"> First moat release after MVP</w:t>
      </w:r>
    </w:p>
    <w:p>
      <w:pPr>
        <w:pStyle w:val="Heading3"/>
        <w:keepNext/>
        <w:keepLines/>
      </w:pPr>
      <w:r>
        <w:t>User flow</w:t>
      </w:r>
    </w:p>
    <w:p>
      <w:pPr>
        <w:keepNext/>
        <w:keepLines/>
        <w:numPr>
          <w:ilvl w:val="0"/>
          <w:numId w:val="18"/>
        </w:numPr>
        <w:spacing w:after="160" w:line="280" w:lineRule="auto"/>
      </w:pPr>
      <w:r>
        <w:rPr>
          <w:rFonts w:ascii="Calibri" w:hAnsi="Calibri"/>
          <w:color w:val="111827"/>
          <w:sz w:val="22"/>
        </w:rPr>
        <w:t>User confirms product specifications, quantity, destination, Incoterm, certifications, packaging, and target date.</w:t>
      </w:r>
    </w:p>
    <w:p>
      <w:pPr>
        <w:keepNext/>
        <w:keepLines/>
        <w:numPr>
          <w:ilvl w:val="0"/>
          <w:numId w:val="18"/>
        </w:numPr>
        <w:spacing w:after="160" w:line="280" w:lineRule="auto"/>
      </w:pPr>
      <w:r>
        <w:rPr>
          <w:rFonts w:ascii="Calibri" w:hAnsi="Calibri"/>
          <w:color w:val="111827"/>
          <w:sz w:val="22"/>
        </w:rPr>
        <w:t>TrendSell creates an RFQ draft and selects confirmed supplier candidates.</w:t>
      </w:r>
    </w:p>
    <w:p>
      <w:pPr>
        <w:keepNext/>
        <w:keepLines/>
        <w:numPr>
          <w:ilvl w:val="0"/>
          <w:numId w:val="18"/>
        </w:numPr>
        <w:spacing w:after="160" w:line="280" w:lineRule="auto"/>
      </w:pPr>
      <w:r>
        <w:rPr>
          <w:rFonts w:ascii="Calibri" w:hAnsi="Calibri"/>
          <w:color w:val="111827"/>
          <w:sz w:val="22"/>
        </w:rPr>
        <w:t>The user sends outside TrendSell initially or through a connected email account after explicit confirmation.</w:t>
      </w:r>
    </w:p>
    <w:p>
      <w:pPr>
        <w:keepNext/>
        <w:keepLines/>
        <w:numPr>
          <w:ilvl w:val="0"/>
          <w:numId w:val="18"/>
        </w:numPr>
        <w:spacing w:after="160" w:line="280" w:lineRule="auto"/>
      </w:pPr>
      <w:r>
        <w:rPr>
          <w:rFonts w:ascii="Calibri" w:hAnsi="Calibri"/>
          <w:color w:val="111827"/>
          <w:sz w:val="22"/>
        </w:rPr>
        <w:t>Quotes are imported, parsed, and normalized into price, MOQ, sample, tooling, terms, lead time, and certificate fields.</w:t>
      </w:r>
    </w:p>
    <w:p>
      <w:pPr>
        <w:keepNext w:val="0"/>
        <w:keepLines/>
        <w:numPr>
          <w:ilvl w:val="0"/>
          <w:numId w:val="18"/>
        </w:numPr>
        <w:spacing w:after="160" w:line="280" w:lineRule="auto"/>
      </w:pPr>
      <w:r>
        <w:rPr>
          <w:rFonts w:ascii="Calibri" w:hAnsi="Calibri"/>
          <w:color w:val="111827"/>
          <w:sz w:val="22"/>
        </w:rPr>
        <w:t>User compares landed cost scenarios, requests samples, and records outcome quality.</w:t>
      </w:r>
    </w:p>
    <w:p>
      <w:pPr>
        <w:pStyle w:val="Heading3"/>
        <w:keepNext/>
        <w:keepLines/>
      </w:pPr>
      <w:r>
        <w:t>Required evidence and processing</w:t>
      </w:r>
    </w:p>
    <w:p>
      <w:pPr>
        <w:keepNext/>
        <w:keepLines/>
        <w:numPr>
          <w:ilvl w:val="0"/>
          <w:numId w:val="10"/>
        </w:numPr>
        <w:spacing w:after="160" w:line="280" w:lineRule="auto"/>
      </w:pPr>
      <w:r>
        <w:rPr>
          <w:rFonts w:ascii="Calibri" w:hAnsi="Calibri"/>
          <w:color w:val="111827"/>
          <w:sz w:val="22"/>
        </w:rPr>
        <w:t>Actual supplier listing/profile URL, company identity, quote file or message, quote date, Incoterm, currency, and expiry.</w:t>
      </w:r>
    </w:p>
    <w:p>
      <w:pPr>
        <w:keepNext/>
        <w:keepLines/>
        <w:numPr>
          <w:ilvl w:val="0"/>
          <w:numId w:val="10"/>
        </w:numPr>
        <w:spacing w:after="160" w:line="280" w:lineRule="auto"/>
      </w:pPr>
      <w:r>
        <w:rPr>
          <w:rFonts w:ascii="Calibri" w:hAnsi="Calibri"/>
          <w:color w:val="111827"/>
          <w:sz w:val="22"/>
        </w:rPr>
        <w:t>Certificates remain unverified until checked against issuing authority or reviewed by a qualified workflow.</w:t>
      </w:r>
    </w:p>
    <w:p>
      <w:pPr>
        <w:keepNext w:val="0"/>
        <w:keepLines/>
        <w:numPr>
          <w:ilvl w:val="0"/>
          <w:numId w:val="10"/>
        </w:numPr>
        <w:spacing w:after="160" w:line="280" w:lineRule="auto"/>
      </w:pPr>
      <w:r>
        <w:rPr>
          <w:rFonts w:ascii="Calibri" w:hAnsi="Calibri"/>
          <w:color w:val="111827"/>
          <w:sz w:val="22"/>
        </w:rPr>
        <w:t>Supplier reliability score is based on observed response and order outcomes, never a category template.</w:t>
      </w:r>
    </w:p>
    <w:p>
      <w:pPr>
        <w:pStyle w:val="Heading3"/>
        <w:keepNext/>
        <w:keepLines/>
      </w:pPr>
      <w:r>
        <w:t>Interface behavior</w:t>
      </w:r>
    </w:p>
    <w:p>
      <w:pPr>
        <w:keepNext/>
        <w:keepLines/>
        <w:numPr>
          <w:ilvl w:val="0"/>
          <w:numId w:val="10"/>
        </w:numPr>
        <w:spacing w:after="160" w:line="280" w:lineRule="auto"/>
      </w:pPr>
      <w:r>
        <w:rPr>
          <w:rFonts w:ascii="Calibri" w:hAnsi="Calibri"/>
          <w:color w:val="111827"/>
          <w:sz w:val="22"/>
        </w:rPr>
        <w:t>RFQ composer shows required versus optional specifications and flags unanswered fields.</w:t>
      </w:r>
    </w:p>
    <w:p>
      <w:pPr>
        <w:keepNext/>
        <w:keepLines/>
        <w:numPr>
          <w:ilvl w:val="0"/>
          <w:numId w:val="10"/>
        </w:numPr>
        <w:spacing w:after="160" w:line="280" w:lineRule="auto"/>
      </w:pPr>
      <w:r>
        <w:rPr>
          <w:rFonts w:ascii="Calibri" w:hAnsi="Calibri"/>
          <w:color w:val="111827"/>
          <w:sz w:val="22"/>
        </w:rPr>
        <w:t>Quote comparison separates supplier price from landed-cost calculation.</w:t>
      </w:r>
    </w:p>
    <w:p>
      <w:pPr>
        <w:keepNext w:val="0"/>
        <w:keepLines/>
        <w:numPr>
          <w:ilvl w:val="0"/>
          <w:numId w:val="10"/>
        </w:numPr>
        <w:spacing w:after="160" w:line="280" w:lineRule="auto"/>
      </w:pPr>
      <w:r>
        <w:rPr>
          <w:rFonts w:ascii="Calibri" w:hAnsi="Calibri"/>
          <w:color w:val="111827"/>
          <w:sz w:val="22"/>
        </w:rPr>
        <w:t>Sample tracker states Requested -&gt; Paid -&gt; Shipped -&gt; Received -&gt; Reviewed.</w:t>
      </w:r>
    </w:p>
    <w:p>
      <w:pPr>
        <w:pStyle w:val="Heading3"/>
        <w:keepNext/>
        <w:keepLines/>
      </w:pPr>
      <w:r>
        <w:t>Truth and safety rules</w:t>
      </w:r>
    </w:p>
    <w:p>
      <w:pPr>
        <w:keepNext/>
        <w:keepLines/>
        <w:numPr>
          <w:ilvl w:val="0"/>
          <w:numId w:val="10"/>
        </w:numPr>
        <w:spacing w:after="160" w:line="280" w:lineRule="auto"/>
      </w:pPr>
      <w:r>
        <w:rPr>
          <w:rFonts w:ascii="Calibri" w:hAnsi="Calibri"/>
          <w:color w:val="111827"/>
          <w:sz w:val="22"/>
        </w:rPr>
        <w:t>AI drafts text only from known product and request fields; it may not create supplier credentials or promises.</w:t>
      </w:r>
    </w:p>
    <w:p>
      <w:pPr>
        <w:keepNext/>
        <w:keepLines/>
        <w:numPr>
          <w:ilvl w:val="0"/>
          <w:numId w:val="10"/>
        </w:numPr>
        <w:spacing w:after="160" w:line="280" w:lineRule="auto"/>
      </w:pPr>
      <w:r>
        <w:rPr>
          <w:rFonts w:ascii="Calibri" w:hAnsi="Calibri"/>
          <w:color w:val="111827"/>
          <w:sz w:val="22"/>
        </w:rPr>
        <w:t>Sending messages or spending money always requires an explicit user confirmation event.</w:t>
      </w:r>
    </w:p>
    <w:p>
      <w:pPr>
        <w:keepNext w:val="0"/>
        <w:keepLines/>
        <w:numPr>
          <w:ilvl w:val="0"/>
          <w:numId w:val="10"/>
        </w:numPr>
        <w:spacing w:after="160" w:line="280" w:lineRule="auto"/>
      </w:pPr>
      <w:r>
        <w:rPr>
          <w:rFonts w:ascii="Calibri" w:hAnsi="Calibri"/>
          <w:color w:val="111827"/>
          <w:sz w:val="22"/>
        </w:rPr>
        <w:t>Supplier records found through search are candidates, not verified suppliers.</w:t>
      </w:r>
    </w:p>
    <w:p>
      <w:pPr>
        <w:pStyle w:val="Heading3"/>
        <w:keepNext/>
        <w:keepLines/>
      </w:pPr>
      <w:r>
        <w:t>Acceptance criteria</w:t>
      </w:r>
    </w:p>
    <w:p>
      <w:pPr>
        <w:keepNext/>
        <w:keepLines/>
        <w:numPr>
          <w:ilvl w:val="0"/>
          <w:numId w:val="10"/>
        </w:numPr>
        <w:spacing w:after="160" w:line="280" w:lineRule="auto"/>
      </w:pPr>
      <w:r>
        <w:rPr>
          <w:rFonts w:ascii="Calibri" w:hAnsi="Calibri"/>
          <w:color w:val="111827"/>
          <w:sz w:val="22"/>
        </w:rPr>
        <w:t>No supplier is displayed without a source URL or user-created record.</w:t>
      </w:r>
    </w:p>
    <w:p>
      <w:pPr>
        <w:keepNext/>
        <w:keepLines/>
        <w:numPr>
          <w:ilvl w:val="0"/>
          <w:numId w:val="10"/>
        </w:numPr>
        <w:spacing w:after="160" w:line="280" w:lineRule="auto"/>
      </w:pPr>
      <w:r>
        <w:rPr>
          <w:rFonts w:ascii="Calibri" w:hAnsi="Calibri"/>
          <w:color w:val="111827"/>
          <w:sz w:val="22"/>
        </w:rPr>
        <w:t>Every price in a decision scenario points to a quote, user assumption, or labeled estimate.</w:t>
      </w:r>
    </w:p>
    <w:p>
      <w:pPr>
        <w:keepNext w:val="0"/>
        <w:keepLines/>
        <w:numPr>
          <w:ilvl w:val="0"/>
          <w:numId w:val="10"/>
        </w:numPr>
        <w:spacing w:after="160" w:line="280" w:lineRule="auto"/>
      </w:pPr>
      <w:r>
        <w:rPr>
          <w:rFonts w:ascii="Calibri" w:hAnsi="Calibri"/>
          <w:color w:val="111827"/>
          <w:sz w:val="22"/>
        </w:rPr>
        <w:t>RFQs can be regenerated without altering received quotes.</w:t>
      </w:r>
    </w:p>
    <w:p>
      <w:r>
        <w:br w:type="page"/>
      </w:r>
    </w:p>
    <w:p>
      <w:pPr>
        <w:pStyle w:val="Heading2"/>
        <w:keepNext/>
        <w:keepLines/>
      </w:pPr>
      <w:r>
        <w:t>4.7 Product Watchtower</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User promise: </w:t>
            </w:r>
            <w:r>
              <w:rPr>
                <w:rFonts w:ascii="Calibri" w:hAnsi="Calibri"/>
                <w:color w:val="111827"/>
                <w:sz w:val="22"/>
              </w:rPr>
              <w:t>Tell the user what materially changed and whether that change should alter the investment decision.</w:t>
            </w:r>
          </w:p>
        </w:tc>
      </w:tr>
    </w:tbl>
    <w:p>
      <w:pPr>
        <w:spacing w:after="40"/>
      </w:pPr>
    </w:p>
    <w:p>
      <w:pPr>
        <w:spacing w:after="120" w:line="264" w:lineRule="auto"/>
      </w:pPr>
      <w:r>
        <w:rPr>
          <w:rFonts w:ascii="Calibri" w:hAnsi="Calibri"/>
          <w:b/>
          <w:color w:val="111827"/>
          <w:sz w:val="22"/>
        </w:rPr>
        <w:t>Delivery phase:</w:t>
      </w:r>
      <w:r>
        <w:rPr>
          <w:rFonts w:ascii="Calibri" w:hAnsi="Calibri"/>
          <w:i w:val="0"/>
          <w:color w:val="111827"/>
          <w:sz w:val="22"/>
        </w:rPr>
        <w:t xml:space="preserve"> Retention release</w:t>
      </w:r>
    </w:p>
    <w:p>
      <w:pPr>
        <w:pStyle w:val="Heading3"/>
        <w:keepNext/>
        <w:keepLines/>
      </w:pPr>
      <w:r>
        <w:t>User flow</w:t>
      </w:r>
    </w:p>
    <w:p>
      <w:pPr>
        <w:keepNext/>
        <w:keepLines/>
        <w:numPr>
          <w:ilvl w:val="0"/>
          <w:numId w:val="19"/>
        </w:numPr>
        <w:spacing w:after="160" w:line="280" w:lineRule="auto"/>
      </w:pPr>
      <w:r>
        <w:rPr>
          <w:rFonts w:ascii="Calibri" w:hAnsi="Calibri"/>
          <w:color w:val="111827"/>
          <w:sz w:val="22"/>
        </w:rPr>
        <w:t>User watches a product and chooses destination, scenario, notification channel, and materiality threshold.</w:t>
      </w:r>
    </w:p>
    <w:p>
      <w:pPr>
        <w:keepNext/>
        <w:keepLines/>
        <w:numPr>
          <w:ilvl w:val="0"/>
          <w:numId w:val="19"/>
        </w:numPr>
        <w:spacing w:after="160" w:line="280" w:lineRule="auto"/>
      </w:pPr>
      <w:r>
        <w:rPr>
          <w:rFonts w:ascii="Calibri" w:hAnsi="Calibri"/>
          <w:color w:val="111827"/>
          <w:sz w:val="22"/>
        </w:rPr>
        <w:t>Scheduled collectors append new observations and the change detector compares them with the saved baseline.</w:t>
      </w:r>
    </w:p>
    <w:p>
      <w:pPr>
        <w:keepNext/>
        <w:keepLines/>
        <w:numPr>
          <w:ilvl w:val="0"/>
          <w:numId w:val="19"/>
        </w:numPr>
        <w:spacing w:after="160" w:line="280" w:lineRule="auto"/>
      </w:pPr>
      <w:r>
        <w:rPr>
          <w:rFonts w:ascii="Calibri" w:hAnsi="Calibri"/>
          <w:color w:val="111827"/>
          <w:sz w:val="22"/>
        </w:rPr>
        <w:t>TrendSell groups changes into demand, competition, price, creative, logistics, compliance, and evidence-health events.</w:t>
      </w:r>
    </w:p>
    <w:p>
      <w:pPr>
        <w:keepNext w:val="0"/>
        <w:keepLines/>
        <w:numPr>
          <w:ilvl w:val="0"/>
          <w:numId w:val="19"/>
        </w:numPr>
        <w:spacing w:after="160" w:line="280" w:lineRule="auto"/>
      </w:pPr>
      <w:r>
        <w:rPr>
          <w:rFonts w:ascii="Calibri" w:hAnsi="Calibri"/>
          <w:color w:val="111827"/>
          <w:sz w:val="22"/>
        </w:rPr>
        <w:t>Only material events create alerts; each alert explains the score and decision impact.</w:t>
      </w:r>
    </w:p>
    <w:p>
      <w:pPr>
        <w:pStyle w:val="Heading3"/>
        <w:keepNext/>
        <w:keepLines/>
      </w:pPr>
      <w:r>
        <w:t>Required evidence and processing</w:t>
      </w:r>
    </w:p>
    <w:p>
      <w:pPr>
        <w:keepNext/>
        <w:keepLines/>
        <w:numPr>
          <w:ilvl w:val="0"/>
          <w:numId w:val="10"/>
        </w:numPr>
        <w:spacing w:after="160" w:line="280" w:lineRule="auto"/>
      </w:pPr>
      <w:r>
        <w:rPr>
          <w:rFonts w:ascii="Calibri" w:hAnsi="Calibri"/>
          <w:color w:val="111827"/>
          <w:sz w:val="22"/>
        </w:rPr>
        <w:t>Alert payload contains old value, new value, absolute and percentage change, source, observation time, and rule version.</w:t>
      </w:r>
    </w:p>
    <w:p>
      <w:pPr>
        <w:keepNext/>
        <w:keepLines/>
        <w:numPr>
          <w:ilvl w:val="0"/>
          <w:numId w:val="10"/>
        </w:numPr>
        <w:spacing w:after="160" w:line="280" w:lineRule="auto"/>
      </w:pPr>
      <w:r>
        <w:rPr>
          <w:rFonts w:ascii="Calibri" w:hAnsi="Calibri"/>
          <w:color w:val="111827"/>
          <w:sz w:val="22"/>
        </w:rPr>
        <w:t>Compliance alerts cite the official publication and effective date.</w:t>
      </w:r>
    </w:p>
    <w:p>
      <w:pPr>
        <w:keepNext w:val="0"/>
        <w:keepLines/>
        <w:numPr>
          <w:ilvl w:val="0"/>
          <w:numId w:val="10"/>
        </w:numPr>
        <w:spacing w:after="160" w:line="280" w:lineRule="auto"/>
      </w:pPr>
      <w:r>
        <w:rPr>
          <w:rFonts w:ascii="Calibri" w:hAnsi="Calibri"/>
          <w:color w:val="111827"/>
          <w:sz w:val="22"/>
        </w:rPr>
        <w:t>Delivery attempts and acknowledgement state are auditable.</w:t>
      </w:r>
    </w:p>
    <w:p>
      <w:pPr>
        <w:pStyle w:val="Heading3"/>
        <w:keepNext/>
        <w:keepLines/>
      </w:pPr>
      <w:r>
        <w:t>Interface behavior</w:t>
      </w:r>
    </w:p>
    <w:p>
      <w:pPr>
        <w:keepNext/>
        <w:keepLines/>
        <w:numPr>
          <w:ilvl w:val="0"/>
          <w:numId w:val="10"/>
        </w:numPr>
        <w:spacing w:after="160" w:line="280" w:lineRule="auto"/>
      </w:pPr>
      <w:r>
        <w:rPr>
          <w:rFonts w:ascii="Calibri" w:hAnsi="Calibri"/>
          <w:color w:val="111827"/>
          <w:sz w:val="22"/>
        </w:rPr>
        <w:t>Today shows a short overnight brief rather than a firehose of updates.</w:t>
      </w:r>
    </w:p>
    <w:p>
      <w:pPr>
        <w:keepNext/>
        <w:keepLines/>
        <w:numPr>
          <w:ilvl w:val="0"/>
          <w:numId w:val="10"/>
        </w:numPr>
        <w:spacing w:after="160" w:line="280" w:lineRule="auto"/>
      </w:pPr>
      <w:r>
        <w:rPr>
          <w:rFonts w:ascii="Calibri" w:hAnsi="Calibri"/>
          <w:color w:val="111827"/>
          <w:sz w:val="22"/>
        </w:rPr>
        <w:t>Alert cards state 'Decision changed from GO to WATCH' or 'No decision impact.'</w:t>
      </w:r>
    </w:p>
    <w:p>
      <w:pPr>
        <w:keepNext w:val="0"/>
        <w:keepLines/>
        <w:numPr>
          <w:ilvl w:val="0"/>
          <w:numId w:val="10"/>
        </w:numPr>
        <w:spacing w:after="160" w:line="280" w:lineRule="auto"/>
      </w:pPr>
      <w:r>
        <w:rPr>
          <w:rFonts w:ascii="Calibri" w:hAnsi="Calibri"/>
          <w:color w:val="111827"/>
          <w:sz w:val="22"/>
        </w:rPr>
        <w:t>Users can snooze, acknowledge, adjust threshold, or open the evidence drawer.</w:t>
      </w:r>
    </w:p>
    <w:p>
      <w:pPr>
        <w:pStyle w:val="Heading3"/>
        <w:keepNext/>
        <w:keepLines/>
      </w:pPr>
      <w:r>
        <w:t>Truth and safety rules</w:t>
      </w:r>
    </w:p>
    <w:p>
      <w:pPr>
        <w:keepNext/>
        <w:keepLines/>
        <w:numPr>
          <w:ilvl w:val="0"/>
          <w:numId w:val="10"/>
        </w:numPr>
        <w:spacing w:after="160" w:line="280" w:lineRule="auto"/>
      </w:pPr>
      <w:r>
        <w:rPr>
          <w:rFonts w:ascii="Calibri" w:hAnsi="Calibri"/>
          <w:color w:val="111827"/>
          <w:sz w:val="22"/>
        </w:rPr>
        <w:t>No alert is emitted for collector failure alone unless the data staleness itself crosses a health threshold.</w:t>
      </w:r>
    </w:p>
    <w:p>
      <w:pPr>
        <w:keepNext/>
        <w:keepLines/>
        <w:numPr>
          <w:ilvl w:val="0"/>
          <w:numId w:val="10"/>
        </w:numPr>
        <w:spacing w:after="160" w:line="280" w:lineRule="auto"/>
      </w:pPr>
      <w:r>
        <w:rPr>
          <w:rFonts w:ascii="Calibri" w:hAnsi="Calibri"/>
          <w:color w:val="111827"/>
          <w:sz w:val="22"/>
        </w:rPr>
        <w:t>Deduplicate repeated events and enforce quiet hours and channel budgets.</w:t>
      </w:r>
    </w:p>
    <w:p>
      <w:pPr>
        <w:keepNext w:val="0"/>
        <w:keepLines/>
        <w:numPr>
          <w:ilvl w:val="0"/>
          <w:numId w:val="10"/>
        </w:numPr>
        <w:spacing w:after="160" w:line="280" w:lineRule="auto"/>
      </w:pPr>
      <w:r>
        <w:rPr>
          <w:rFonts w:ascii="Calibri" w:hAnsi="Calibri"/>
          <w:color w:val="111827"/>
          <w:sz w:val="22"/>
        </w:rPr>
        <w:t>A missing source lowers confidence; it does not automatically imply falling demand.</w:t>
      </w:r>
    </w:p>
    <w:p>
      <w:pPr>
        <w:pStyle w:val="Heading3"/>
        <w:keepNext/>
        <w:keepLines/>
      </w:pPr>
      <w:r>
        <w:t>Acceptance criteria</w:t>
      </w:r>
    </w:p>
    <w:p>
      <w:pPr>
        <w:keepNext/>
        <w:keepLines/>
        <w:numPr>
          <w:ilvl w:val="0"/>
          <w:numId w:val="10"/>
        </w:numPr>
        <w:spacing w:after="160" w:line="280" w:lineRule="auto"/>
      </w:pPr>
      <w:r>
        <w:rPr>
          <w:rFonts w:ascii="Calibri" w:hAnsi="Calibri"/>
          <w:color w:val="111827"/>
          <w:sz w:val="22"/>
        </w:rPr>
        <w:t>Running the same observation set twice creates no duplicate alert.</w:t>
      </w:r>
    </w:p>
    <w:p>
      <w:pPr>
        <w:keepNext/>
        <w:keepLines/>
        <w:numPr>
          <w:ilvl w:val="0"/>
          <w:numId w:val="10"/>
        </w:numPr>
        <w:spacing w:after="160" w:line="280" w:lineRule="auto"/>
      </w:pPr>
      <w:r>
        <w:rPr>
          <w:rFonts w:ascii="Calibri" w:hAnsi="Calibri"/>
          <w:color w:val="111827"/>
          <w:sz w:val="22"/>
        </w:rPr>
        <w:t>Each decision-changing alert reproduces the before/after assessment.</w:t>
      </w:r>
    </w:p>
    <w:p>
      <w:pPr>
        <w:keepNext w:val="0"/>
        <w:keepLines/>
        <w:numPr>
          <w:ilvl w:val="0"/>
          <w:numId w:val="10"/>
        </w:numPr>
        <w:spacing w:after="160" w:line="280" w:lineRule="auto"/>
      </w:pPr>
      <w:r>
        <w:rPr>
          <w:rFonts w:ascii="Calibri" w:hAnsi="Calibri"/>
          <w:color w:val="111827"/>
          <w:sz w:val="22"/>
        </w:rPr>
        <w:t>Users can unsubscribe per product, category, or notification channel.</w:t>
      </w:r>
    </w:p>
    <w:p>
      <w:r>
        <w:br w:type="page"/>
      </w:r>
    </w:p>
    <w:p>
      <w:pPr>
        <w:pStyle w:val="Heading2"/>
        <w:keepNext/>
        <w:keepLines/>
      </w:pPr>
      <w:r>
        <w:t>4.8 Test Before You Stock</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User promise: </w:t>
            </w:r>
            <w:r>
              <w:rPr>
                <w:rFonts w:ascii="Calibri" w:hAnsi="Calibri"/>
                <w:color w:val="111827"/>
                <w:sz w:val="22"/>
              </w:rPr>
              <w:t>Validate interest with the user's own small experiment before the user commits to inventory.</w:t>
            </w:r>
          </w:p>
        </w:tc>
      </w:tr>
    </w:tbl>
    <w:p>
      <w:pPr>
        <w:spacing w:after="40"/>
      </w:pPr>
    </w:p>
    <w:p>
      <w:pPr>
        <w:spacing w:after="120" w:line="264" w:lineRule="auto"/>
      </w:pPr>
      <w:r>
        <w:rPr>
          <w:rFonts w:ascii="Calibri" w:hAnsi="Calibri"/>
          <w:b/>
          <w:color w:val="111827"/>
          <w:sz w:val="22"/>
        </w:rPr>
        <w:t>Delivery phase:</w:t>
      </w:r>
      <w:r>
        <w:rPr>
          <w:rFonts w:ascii="Calibri" w:hAnsi="Calibri"/>
          <w:i w:val="0"/>
          <w:color w:val="111827"/>
          <w:sz w:val="22"/>
        </w:rPr>
        <w:t xml:space="preserve"> Premium phase; build only after the decision engine and permissions model are stable</w:t>
      </w:r>
    </w:p>
    <w:p>
      <w:pPr>
        <w:pStyle w:val="Heading3"/>
        <w:keepNext/>
        <w:keepLines/>
      </w:pPr>
      <w:r>
        <w:t>User flow</w:t>
      </w:r>
    </w:p>
    <w:p>
      <w:pPr>
        <w:keepNext/>
        <w:keepLines/>
        <w:numPr>
          <w:ilvl w:val="0"/>
          <w:numId w:val="20"/>
        </w:numPr>
        <w:spacing w:after="160" w:line="280" w:lineRule="auto"/>
      </w:pPr>
      <w:r>
        <w:rPr>
          <w:rFonts w:ascii="Calibri" w:hAnsi="Calibri"/>
          <w:color w:val="111827"/>
          <w:sz w:val="22"/>
        </w:rPr>
        <w:t>User selects a confirmed product, destination, offer, budget cap, and experiment objective.</w:t>
      </w:r>
    </w:p>
    <w:p>
      <w:pPr>
        <w:keepNext/>
        <w:keepLines/>
        <w:numPr>
          <w:ilvl w:val="0"/>
          <w:numId w:val="20"/>
        </w:numPr>
        <w:spacing w:after="160" w:line="280" w:lineRule="auto"/>
      </w:pPr>
      <w:r>
        <w:rPr>
          <w:rFonts w:ascii="Calibri" w:hAnsi="Calibri"/>
          <w:color w:val="111827"/>
          <w:sz w:val="22"/>
        </w:rPr>
        <w:t>TrendSell generates a localized landing-page draft and three evidence-informed creative concepts.</w:t>
      </w:r>
    </w:p>
    <w:p>
      <w:pPr>
        <w:keepNext/>
        <w:keepLines/>
        <w:numPr>
          <w:ilvl w:val="0"/>
          <w:numId w:val="20"/>
        </w:numPr>
        <w:spacing w:after="160" w:line="280" w:lineRule="auto"/>
      </w:pPr>
      <w:r>
        <w:rPr>
          <w:rFonts w:ascii="Calibri" w:hAnsi="Calibri"/>
          <w:color w:val="111827"/>
          <w:sz w:val="22"/>
        </w:rPr>
        <w:t>The user reviews every claim, connects an advertising account, and explicitly approves campaign creation and spend cap.</w:t>
      </w:r>
    </w:p>
    <w:p>
      <w:pPr>
        <w:keepNext/>
        <w:keepLines/>
        <w:numPr>
          <w:ilvl w:val="0"/>
          <w:numId w:val="20"/>
        </w:numPr>
        <w:spacing w:after="160" w:line="280" w:lineRule="auto"/>
      </w:pPr>
      <w:r>
        <w:rPr>
          <w:rFonts w:ascii="Calibri" w:hAnsi="Calibri"/>
          <w:color w:val="111827"/>
          <w:sz w:val="22"/>
        </w:rPr>
        <w:t>Experiment results such as impressions, clicks, leads, add-to-carts, and cost are ingested as the user's first-party evidence.</w:t>
      </w:r>
    </w:p>
    <w:p>
      <w:pPr>
        <w:keepNext w:val="0"/>
        <w:keepLines/>
        <w:numPr>
          <w:ilvl w:val="0"/>
          <w:numId w:val="20"/>
        </w:numPr>
        <w:spacing w:after="160" w:line="280" w:lineRule="auto"/>
      </w:pPr>
      <w:r>
        <w:rPr>
          <w:rFonts w:ascii="Calibri" w:hAnsi="Calibri"/>
          <w:color w:val="111827"/>
          <w:sz w:val="22"/>
        </w:rPr>
        <w:t>The decision room recalculates using observed test results and clearly separates experiment evidence from market-wide evidence.</w:t>
      </w:r>
    </w:p>
    <w:p>
      <w:pPr>
        <w:pStyle w:val="Heading3"/>
        <w:keepNext/>
        <w:keepLines/>
      </w:pPr>
      <w:r>
        <w:t>Required evidence and processing</w:t>
      </w:r>
    </w:p>
    <w:p>
      <w:pPr>
        <w:keepNext/>
        <w:keepLines/>
        <w:numPr>
          <w:ilvl w:val="0"/>
          <w:numId w:val="10"/>
        </w:numPr>
        <w:spacing w:after="160" w:line="280" w:lineRule="auto"/>
      </w:pPr>
      <w:r>
        <w:rPr>
          <w:rFonts w:ascii="Calibri" w:hAnsi="Calibri"/>
          <w:color w:val="111827"/>
          <w:sz w:val="22"/>
        </w:rPr>
        <w:t>Connected-account campaign identifiers, spend, events, attribution window, destination, audience, and creative version.</w:t>
      </w:r>
    </w:p>
    <w:p>
      <w:pPr>
        <w:keepNext/>
        <w:keepLines/>
        <w:numPr>
          <w:ilvl w:val="0"/>
          <w:numId w:val="10"/>
        </w:numPr>
        <w:spacing w:after="160" w:line="280" w:lineRule="auto"/>
      </w:pPr>
      <w:r>
        <w:rPr>
          <w:rFonts w:ascii="Calibri" w:hAnsi="Calibri"/>
          <w:color w:val="111827"/>
          <w:sz w:val="22"/>
        </w:rPr>
        <w:t>Consent and approval events for publication and spend.</w:t>
      </w:r>
    </w:p>
    <w:p>
      <w:pPr>
        <w:keepNext w:val="0"/>
        <w:keepLines/>
        <w:numPr>
          <w:ilvl w:val="0"/>
          <w:numId w:val="10"/>
        </w:numPr>
        <w:spacing w:after="160" w:line="280" w:lineRule="auto"/>
      </w:pPr>
      <w:r>
        <w:rPr>
          <w:rFonts w:ascii="Calibri" w:hAnsi="Calibri"/>
          <w:color w:val="111827"/>
          <w:sz w:val="22"/>
        </w:rPr>
        <w:t>Statistical warnings when the sample is too small for a confident conclusion.</w:t>
      </w:r>
    </w:p>
    <w:p>
      <w:pPr>
        <w:pStyle w:val="Heading3"/>
        <w:keepNext/>
        <w:keepLines/>
      </w:pPr>
      <w:r>
        <w:t>Interface behavior</w:t>
      </w:r>
    </w:p>
    <w:p>
      <w:pPr>
        <w:keepNext/>
        <w:keepLines/>
        <w:numPr>
          <w:ilvl w:val="0"/>
          <w:numId w:val="10"/>
        </w:numPr>
        <w:spacing w:after="160" w:line="280" w:lineRule="auto"/>
      </w:pPr>
      <w:r>
        <w:rPr>
          <w:rFonts w:ascii="Calibri" w:hAnsi="Calibri"/>
          <w:color w:val="111827"/>
          <w:sz w:val="22"/>
        </w:rPr>
        <w:t>A pre-launch checklist shows claim review, privacy policy, pixel/event health, budget cap, and approval.</w:t>
      </w:r>
    </w:p>
    <w:p>
      <w:pPr>
        <w:keepNext/>
        <w:keepLines/>
        <w:numPr>
          <w:ilvl w:val="0"/>
          <w:numId w:val="10"/>
        </w:numPr>
        <w:spacing w:after="160" w:line="280" w:lineRule="auto"/>
      </w:pPr>
      <w:r>
        <w:rPr>
          <w:rFonts w:ascii="Calibri" w:hAnsi="Calibri"/>
          <w:color w:val="111827"/>
          <w:sz w:val="22"/>
        </w:rPr>
        <w:t>Experiment results emphasize uncertainty and learning rather than declaring a winner from a few clicks.</w:t>
      </w:r>
    </w:p>
    <w:p>
      <w:pPr>
        <w:keepNext w:val="0"/>
        <w:keepLines/>
        <w:numPr>
          <w:ilvl w:val="0"/>
          <w:numId w:val="10"/>
        </w:numPr>
        <w:spacing w:after="160" w:line="280" w:lineRule="auto"/>
      </w:pPr>
      <w:r>
        <w:rPr>
          <w:rFonts w:ascii="Calibri" w:hAnsi="Calibri"/>
          <w:color w:val="111827"/>
          <w:sz w:val="22"/>
        </w:rPr>
        <w:t>An emergency stop control is visible during every active campaign.</w:t>
      </w:r>
    </w:p>
    <w:p>
      <w:pPr>
        <w:pStyle w:val="Heading3"/>
        <w:keepNext/>
        <w:keepLines/>
      </w:pPr>
      <w:r>
        <w:t>Truth and safety rules</w:t>
      </w:r>
    </w:p>
    <w:p>
      <w:pPr>
        <w:keepNext/>
        <w:keepLines/>
        <w:numPr>
          <w:ilvl w:val="0"/>
          <w:numId w:val="10"/>
        </w:numPr>
        <w:spacing w:after="160" w:line="280" w:lineRule="auto"/>
      </w:pPr>
      <w:r>
        <w:rPr>
          <w:rFonts w:ascii="Calibri" w:hAnsi="Calibri"/>
          <w:color w:val="111827"/>
          <w:sz w:val="22"/>
        </w:rPr>
        <w:t>Never publish, charge, or spend without explicit user confirmation.</w:t>
      </w:r>
    </w:p>
    <w:p>
      <w:pPr>
        <w:keepNext/>
        <w:keepLines/>
        <w:numPr>
          <w:ilvl w:val="0"/>
          <w:numId w:val="10"/>
        </w:numPr>
        <w:spacing w:after="160" w:line="280" w:lineRule="auto"/>
      </w:pPr>
      <w:r>
        <w:rPr>
          <w:rFonts w:ascii="Calibri" w:hAnsi="Calibri"/>
          <w:color w:val="111827"/>
          <w:sz w:val="22"/>
        </w:rPr>
        <w:t>Do not allow prohibited product claims or unsupported health outcomes in generated copy.</w:t>
      </w:r>
    </w:p>
    <w:p>
      <w:pPr>
        <w:keepNext w:val="0"/>
        <w:keepLines/>
        <w:numPr>
          <w:ilvl w:val="0"/>
          <w:numId w:val="10"/>
        </w:numPr>
        <w:spacing w:after="160" w:line="280" w:lineRule="auto"/>
      </w:pPr>
      <w:r>
        <w:rPr>
          <w:rFonts w:ascii="Calibri" w:hAnsi="Calibri"/>
          <w:color w:val="111827"/>
          <w:sz w:val="22"/>
        </w:rPr>
        <w:t>Apply hard account-level and workspace-level spend ceilings.</w:t>
      </w:r>
    </w:p>
    <w:p>
      <w:pPr>
        <w:pStyle w:val="Heading3"/>
        <w:keepNext/>
        <w:keepLines/>
      </w:pPr>
      <w:r>
        <w:t>Acceptance criteria</w:t>
      </w:r>
    </w:p>
    <w:p>
      <w:pPr>
        <w:keepNext/>
        <w:keepLines/>
        <w:numPr>
          <w:ilvl w:val="0"/>
          <w:numId w:val="10"/>
        </w:numPr>
        <w:spacing w:after="160" w:line="280" w:lineRule="auto"/>
      </w:pPr>
      <w:r>
        <w:rPr>
          <w:rFonts w:ascii="Calibri" w:hAnsi="Calibri"/>
          <w:color w:val="111827"/>
          <w:sz w:val="22"/>
        </w:rPr>
        <w:t>A campaign cannot launch without a valid connected account, signed approval event, and budget cap.</w:t>
      </w:r>
    </w:p>
    <w:p>
      <w:pPr>
        <w:keepNext/>
        <w:keepLines/>
        <w:numPr>
          <w:ilvl w:val="0"/>
          <w:numId w:val="10"/>
        </w:numPr>
        <w:spacing w:after="160" w:line="280" w:lineRule="auto"/>
      </w:pPr>
      <w:r>
        <w:rPr>
          <w:rFonts w:ascii="Calibri" w:hAnsi="Calibri"/>
          <w:color w:val="111827"/>
          <w:sz w:val="22"/>
        </w:rPr>
        <w:t>Stopping the experiment disables spend through the connected platform and records the result.</w:t>
      </w:r>
    </w:p>
    <w:p>
      <w:pPr>
        <w:keepNext w:val="0"/>
        <w:keepLines/>
        <w:numPr>
          <w:ilvl w:val="0"/>
          <w:numId w:val="10"/>
        </w:numPr>
        <w:spacing w:after="160" w:line="280" w:lineRule="auto"/>
      </w:pPr>
      <w:r>
        <w:rPr>
          <w:rFonts w:ascii="Calibri" w:hAnsi="Calibri"/>
          <w:color w:val="111827"/>
          <w:sz w:val="22"/>
        </w:rPr>
        <w:t>Small-sample experiments are labeled inconclusive until a configured evidence threshold is reached.</w:t>
      </w:r>
    </w:p>
    <w:p>
      <w:r>
        <w:br w:type="page"/>
      </w:r>
    </w:p>
    <w:p>
      <w:pPr>
        <w:pStyle w:val="Heading1"/>
        <w:keepNext/>
        <w:keepLines/>
      </w:pPr>
      <w:r>
        <w:t>5. Evidence, live-data, scoring, and AI policy</w:t>
      </w:r>
    </w:p>
    <w:p>
      <w:pPr>
        <w:pStyle w:val="Heading2"/>
        <w:keepNext/>
        <w:keepLines/>
      </w:pPr>
      <w:r>
        <w:t>5.1 The truth layer</w:t>
      </w:r>
    </w:p>
    <w:tbl>
      <w:tblPr>
        <w:tblStyle w:val="TableGrid"/>
        <w:tblW w:type="dxa" w:w="9360"/>
        <w:tblLayout w:type="fixed"/>
        <w:tblLook w:firstColumn="1" w:firstRow="1" w:lastColumn="0" w:lastRow="0" w:noHBand="0" w:noVBand="1" w:val="04A0"/>
        <w:tblInd w:w="120" w:type="dxa"/>
      </w:tblPr>
      <w:tblGrid>
        <w:gridCol w:w="1100"/>
        <w:gridCol w:w="2380"/>
        <w:gridCol w:w="3520"/>
        <w:gridCol w:w="2360"/>
      </w:tblGrid>
      <w:tr>
        <w:trPr>
          <w:tblHeader w:val="true"/>
          <w:cantSplit/>
        </w:trPr>
        <w:tc>
          <w:tcPr>
            <w:tcW w:type="dxa" w:w="1100"/>
            <w:tcMar>
              <w:top w:w="80" w:type="dxa"/>
              <w:start w:w="120" w:type="dxa"/>
              <w:bottom w:w="80" w:type="dxa"/>
              <w:end w:w="120" w:type="dxa"/>
            </w:tcMar>
            <w:vAlign w:val="center"/>
            <w:shd w:fill="E8EEF5"/>
          </w:tcPr>
          <w:p>
            <w:pPr>
              <w:spacing w:after="0"/>
              <w:jc w:val="left"/>
            </w:pPr>
            <w:r>
              <w:rPr>
                <w:rFonts w:ascii="Calibri" w:hAnsi="Calibri"/>
                <w:b/>
                <w:color w:val="0B2545"/>
                <w:sz w:val="16"/>
              </w:rPr>
              <w:t>State</w:t>
            </w:r>
          </w:p>
        </w:tc>
        <w:tc>
          <w:tcPr>
            <w:tcW w:type="dxa" w:w="2380"/>
            <w:tcMar>
              <w:top w:w="80" w:type="dxa"/>
              <w:start w:w="120" w:type="dxa"/>
              <w:bottom w:w="80" w:type="dxa"/>
              <w:end w:w="120" w:type="dxa"/>
            </w:tcMar>
            <w:vAlign w:val="center"/>
            <w:shd w:fill="E8EEF5"/>
          </w:tcPr>
          <w:p>
            <w:pPr>
              <w:spacing w:after="0"/>
              <w:jc w:val="left"/>
            </w:pPr>
            <w:r>
              <w:rPr>
                <w:rFonts w:ascii="Calibri" w:hAnsi="Calibri"/>
                <w:b/>
                <w:color w:val="0B2545"/>
                <w:sz w:val="16"/>
              </w:rPr>
              <w:t>Meaning</w:t>
            </w:r>
          </w:p>
        </w:tc>
        <w:tc>
          <w:tcPr>
            <w:tcW w:type="dxa" w:w="3520"/>
            <w:tcMar>
              <w:top w:w="80" w:type="dxa"/>
              <w:start w:w="120" w:type="dxa"/>
              <w:bottom w:w="80" w:type="dxa"/>
              <w:end w:w="120" w:type="dxa"/>
            </w:tcMar>
            <w:vAlign w:val="center"/>
            <w:shd w:fill="E8EEF5"/>
          </w:tcPr>
          <w:p>
            <w:pPr>
              <w:spacing w:after="0"/>
              <w:jc w:val="left"/>
            </w:pPr>
            <w:r>
              <w:rPr>
                <w:rFonts w:ascii="Calibri" w:hAnsi="Calibri"/>
                <w:b/>
                <w:color w:val="0B2545"/>
                <w:sz w:val="16"/>
              </w:rPr>
              <w:t>Required metadata</w:t>
            </w:r>
          </w:p>
        </w:tc>
        <w:tc>
          <w:tcPr>
            <w:tcW w:type="dxa" w:w="2360"/>
            <w:tcMar>
              <w:top w:w="80" w:type="dxa"/>
              <w:start w:w="120" w:type="dxa"/>
              <w:bottom w:w="80" w:type="dxa"/>
              <w:end w:w="120" w:type="dxa"/>
            </w:tcMar>
            <w:vAlign w:val="center"/>
            <w:shd w:fill="E8EEF5"/>
          </w:tcPr>
          <w:p>
            <w:pPr>
              <w:spacing w:after="0"/>
              <w:jc w:val="left"/>
            </w:pPr>
            <w:r>
              <w:rPr>
                <w:rFonts w:ascii="Calibri" w:hAnsi="Calibri"/>
                <w:b/>
                <w:color w:val="0B2545"/>
                <w:sz w:val="16"/>
              </w:rPr>
              <w:t>Example</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111827"/>
                <w:sz w:val="16"/>
              </w:rPr>
              <w:t>Observed</w:t>
            </w:r>
          </w:p>
        </w:tc>
        <w:tc>
          <w:tcPr>
            <w:tcW w:type="dxa" w:w="2380"/>
            <w:tcMar>
              <w:top w:w="80" w:type="dxa"/>
              <w:start w:w="120" w:type="dxa"/>
              <w:bottom w:w="80" w:type="dxa"/>
              <w:end w:w="120" w:type="dxa"/>
            </w:tcMar>
            <w:vAlign w:val="center"/>
          </w:tcPr>
          <w:p>
            <w:pPr>
              <w:spacing w:after="0" w:line="252" w:lineRule="auto"/>
            </w:pPr>
            <w:r>
              <w:rPr>
                <w:rFonts w:ascii="Calibri" w:hAnsi="Calibri"/>
                <w:color w:val="111827"/>
                <w:sz w:val="16"/>
              </w:rPr>
              <w:t>Returned directly by a named source or authorized user account</w:t>
            </w:r>
          </w:p>
        </w:tc>
        <w:tc>
          <w:tcPr>
            <w:tcW w:type="dxa" w:w="3520"/>
            <w:tcMar>
              <w:top w:w="80" w:type="dxa"/>
              <w:start w:w="120" w:type="dxa"/>
              <w:bottom w:w="80" w:type="dxa"/>
              <w:end w:w="120" w:type="dxa"/>
            </w:tcMar>
            <w:vAlign w:val="center"/>
          </w:tcPr>
          <w:p>
            <w:pPr>
              <w:spacing w:after="0" w:line="252" w:lineRule="auto"/>
            </w:pPr>
            <w:r>
              <w:rPr>
                <w:rFonts w:ascii="Calibri" w:hAnsi="Calibri"/>
                <w:color w:val="111827"/>
                <w:sz w:val="16"/>
              </w:rPr>
              <w:t>Source link, market, observed_at, fetched_at, raw snapshot, source field name</w:t>
            </w:r>
          </w:p>
        </w:tc>
        <w:tc>
          <w:tcPr>
            <w:tcW w:type="dxa" w:w="2360"/>
            <w:tcMar>
              <w:top w:w="80" w:type="dxa"/>
              <w:start w:w="120" w:type="dxa"/>
              <w:bottom w:w="80" w:type="dxa"/>
              <w:end w:w="120" w:type="dxa"/>
            </w:tcMar>
            <w:vAlign w:val="center"/>
          </w:tcPr>
          <w:p>
            <w:pPr>
              <w:spacing w:after="0" w:line="252" w:lineRule="auto"/>
            </w:pPr>
            <w:r>
              <w:rPr>
                <w:rFonts w:ascii="Calibri" w:hAnsi="Calibri"/>
                <w:color w:val="111827"/>
                <w:sz w:val="16"/>
              </w:rPr>
              <w:t>Search index value; listing price; published ad date</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111827"/>
                <w:sz w:val="16"/>
              </w:rPr>
              <w:t>Calculated</w:t>
            </w:r>
          </w:p>
        </w:tc>
        <w:tc>
          <w:tcPr>
            <w:tcW w:type="dxa" w:w="2380"/>
            <w:tcMar>
              <w:top w:w="80" w:type="dxa"/>
              <w:start w:w="120" w:type="dxa"/>
              <w:bottom w:w="80" w:type="dxa"/>
              <w:end w:w="120" w:type="dxa"/>
            </w:tcMar>
            <w:vAlign w:val="center"/>
          </w:tcPr>
          <w:p>
            <w:pPr>
              <w:spacing w:after="0" w:line="252" w:lineRule="auto"/>
            </w:pPr>
            <w:r>
              <w:rPr>
                <w:rFonts w:ascii="Calibri" w:hAnsi="Calibri"/>
                <w:color w:val="111827"/>
                <w:sz w:val="16"/>
              </w:rPr>
              <w:t>Deterministic transformation of observed or user-provided inputs</w:t>
            </w:r>
          </w:p>
        </w:tc>
        <w:tc>
          <w:tcPr>
            <w:tcW w:type="dxa" w:w="3520"/>
            <w:tcMar>
              <w:top w:w="80" w:type="dxa"/>
              <w:start w:w="120" w:type="dxa"/>
              <w:bottom w:w="80" w:type="dxa"/>
              <w:end w:w="120" w:type="dxa"/>
            </w:tcMar>
            <w:vAlign w:val="center"/>
          </w:tcPr>
          <w:p>
            <w:pPr>
              <w:spacing w:after="0" w:line="252" w:lineRule="auto"/>
            </w:pPr>
            <w:r>
              <w:rPr>
                <w:rFonts w:ascii="Calibri" w:hAnsi="Calibri"/>
                <w:color w:val="111827"/>
                <w:sz w:val="16"/>
              </w:rPr>
              <w:t>Formula name/version, input IDs, units, rounding</w:t>
            </w:r>
          </w:p>
        </w:tc>
        <w:tc>
          <w:tcPr>
            <w:tcW w:type="dxa" w:w="2360"/>
            <w:tcMar>
              <w:top w:w="80" w:type="dxa"/>
              <w:start w:w="120" w:type="dxa"/>
              <w:bottom w:w="80" w:type="dxa"/>
              <w:end w:w="120" w:type="dxa"/>
            </w:tcMar>
            <w:vAlign w:val="center"/>
          </w:tcPr>
          <w:p>
            <w:pPr>
              <w:spacing w:after="0" w:line="252" w:lineRule="auto"/>
            </w:pPr>
            <w:r>
              <w:rPr>
                <w:rFonts w:ascii="Calibri" w:hAnsi="Calibri"/>
                <w:color w:val="111827"/>
                <w:sz w:val="16"/>
              </w:rPr>
              <w:t>30-day slope; landed cost; break-even CAC</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111827"/>
                <w:sz w:val="16"/>
              </w:rPr>
              <w:t>Estimated</w:t>
            </w:r>
          </w:p>
        </w:tc>
        <w:tc>
          <w:tcPr>
            <w:tcW w:type="dxa" w:w="2380"/>
            <w:tcMar>
              <w:top w:w="80" w:type="dxa"/>
              <w:start w:w="120" w:type="dxa"/>
              <w:bottom w:w="80" w:type="dxa"/>
              <w:end w:w="120" w:type="dxa"/>
            </w:tcMar>
            <w:vAlign w:val="center"/>
          </w:tcPr>
          <w:p>
            <w:pPr>
              <w:spacing w:after="0" w:line="252" w:lineRule="auto"/>
            </w:pPr>
            <w:r>
              <w:rPr>
                <w:rFonts w:ascii="Calibri" w:hAnsi="Calibri"/>
                <w:color w:val="111827"/>
                <w:sz w:val="16"/>
              </w:rPr>
              <w:t>Model or range inferred from partial evidence</w:t>
            </w:r>
          </w:p>
        </w:tc>
        <w:tc>
          <w:tcPr>
            <w:tcW w:type="dxa" w:w="3520"/>
            <w:tcMar>
              <w:top w:w="80" w:type="dxa"/>
              <w:start w:w="120" w:type="dxa"/>
              <w:bottom w:w="80" w:type="dxa"/>
              <w:end w:w="120" w:type="dxa"/>
            </w:tcMar>
            <w:vAlign w:val="center"/>
          </w:tcPr>
          <w:p>
            <w:pPr>
              <w:spacing w:after="0" w:line="252" w:lineRule="auto"/>
            </w:pPr>
            <w:r>
              <w:rPr>
                <w:rFonts w:ascii="Calibri" w:hAnsi="Calibri"/>
                <w:color w:val="111827"/>
                <w:sz w:val="16"/>
              </w:rPr>
              <w:t>Method, range, confidence, validation date</w:t>
            </w:r>
          </w:p>
        </w:tc>
        <w:tc>
          <w:tcPr>
            <w:tcW w:type="dxa" w:w="2360"/>
            <w:tcMar>
              <w:top w:w="80" w:type="dxa"/>
              <w:start w:w="120" w:type="dxa"/>
              <w:bottom w:w="80" w:type="dxa"/>
              <w:end w:w="120" w:type="dxa"/>
            </w:tcMar>
            <w:vAlign w:val="center"/>
          </w:tcPr>
          <w:p>
            <w:pPr>
              <w:spacing w:after="0" w:line="252" w:lineRule="auto"/>
            </w:pPr>
            <w:r>
              <w:rPr>
                <w:rFonts w:ascii="Calibri" w:hAnsi="Calibri"/>
                <w:color w:val="111827"/>
                <w:sz w:val="16"/>
              </w:rPr>
              <w:t>Estimated freight range before a quote</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111827"/>
                <w:sz w:val="16"/>
              </w:rPr>
              <w:t>User-provided</w:t>
            </w:r>
          </w:p>
        </w:tc>
        <w:tc>
          <w:tcPr>
            <w:tcW w:type="dxa" w:w="2380"/>
            <w:tcMar>
              <w:top w:w="80" w:type="dxa"/>
              <w:start w:w="120" w:type="dxa"/>
              <w:bottom w:w="80" w:type="dxa"/>
              <w:end w:w="120" w:type="dxa"/>
            </w:tcMar>
            <w:vAlign w:val="center"/>
          </w:tcPr>
          <w:p>
            <w:pPr>
              <w:spacing w:after="0" w:line="252" w:lineRule="auto"/>
            </w:pPr>
            <w:r>
              <w:rPr>
                <w:rFonts w:ascii="Calibri" w:hAnsi="Calibri"/>
                <w:color w:val="111827"/>
                <w:sz w:val="16"/>
              </w:rPr>
              <w:t>Entered or uploaded by an authenticated user</w:t>
            </w:r>
          </w:p>
        </w:tc>
        <w:tc>
          <w:tcPr>
            <w:tcW w:type="dxa" w:w="3520"/>
            <w:tcMar>
              <w:top w:w="80" w:type="dxa"/>
              <w:start w:w="120" w:type="dxa"/>
              <w:bottom w:w="80" w:type="dxa"/>
              <w:end w:w="120" w:type="dxa"/>
            </w:tcMar>
            <w:vAlign w:val="center"/>
          </w:tcPr>
          <w:p>
            <w:pPr>
              <w:spacing w:after="0" w:line="252" w:lineRule="auto"/>
            </w:pPr>
            <w:r>
              <w:rPr>
                <w:rFonts w:ascii="Calibri" w:hAnsi="Calibri"/>
                <w:color w:val="111827"/>
                <w:sz w:val="16"/>
              </w:rPr>
              <w:t>User/workspace, version, upload or quote reference</w:t>
            </w:r>
          </w:p>
        </w:tc>
        <w:tc>
          <w:tcPr>
            <w:tcW w:type="dxa" w:w="2360"/>
            <w:tcMar>
              <w:top w:w="80" w:type="dxa"/>
              <w:start w:w="120" w:type="dxa"/>
              <w:bottom w:w="80" w:type="dxa"/>
              <w:end w:w="120" w:type="dxa"/>
            </w:tcMar>
            <w:vAlign w:val="center"/>
          </w:tcPr>
          <w:p>
            <w:pPr>
              <w:spacing w:after="0" w:line="252" w:lineRule="auto"/>
            </w:pPr>
            <w:r>
              <w:rPr>
                <w:rFonts w:ascii="Calibri" w:hAnsi="Calibri"/>
                <w:color w:val="111827"/>
                <w:sz w:val="16"/>
              </w:rPr>
              <w:t>Supplier quote; target price; expected returns</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111827"/>
                <w:sz w:val="16"/>
              </w:rPr>
              <w:t>Unavailable</w:t>
            </w:r>
          </w:p>
        </w:tc>
        <w:tc>
          <w:tcPr>
            <w:tcW w:type="dxa" w:w="2380"/>
            <w:tcMar>
              <w:top w:w="80" w:type="dxa"/>
              <w:start w:w="120" w:type="dxa"/>
              <w:bottom w:w="80" w:type="dxa"/>
              <w:end w:w="120" w:type="dxa"/>
            </w:tcMar>
            <w:vAlign w:val="center"/>
          </w:tcPr>
          <w:p>
            <w:pPr>
              <w:spacing w:after="0" w:line="252" w:lineRule="auto"/>
            </w:pPr>
            <w:r>
              <w:rPr>
                <w:rFonts w:ascii="Calibri" w:hAnsi="Calibri"/>
                <w:color w:val="111827"/>
                <w:sz w:val="16"/>
              </w:rPr>
              <w:t>No trustworthy observation for the requested source/window/market</w:t>
            </w:r>
          </w:p>
        </w:tc>
        <w:tc>
          <w:tcPr>
            <w:tcW w:type="dxa" w:w="3520"/>
            <w:tcMar>
              <w:top w:w="80" w:type="dxa"/>
              <w:start w:w="120" w:type="dxa"/>
              <w:bottom w:w="80" w:type="dxa"/>
              <w:end w:w="120" w:type="dxa"/>
            </w:tcMar>
            <w:vAlign w:val="center"/>
          </w:tcPr>
          <w:p>
            <w:pPr>
              <w:spacing w:after="0" w:line="252" w:lineRule="auto"/>
            </w:pPr>
            <w:r>
              <w:rPr>
                <w:rFonts w:ascii="Calibri" w:hAnsi="Calibri"/>
                <w:color w:val="111827"/>
                <w:sz w:val="16"/>
              </w:rPr>
              <w:t>Reason, attempted_at, retry policy</w:t>
            </w:r>
          </w:p>
        </w:tc>
        <w:tc>
          <w:tcPr>
            <w:tcW w:type="dxa" w:w="2360"/>
            <w:tcMar>
              <w:top w:w="80" w:type="dxa"/>
              <w:start w:w="120" w:type="dxa"/>
              <w:bottom w:w="80" w:type="dxa"/>
              <w:end w:w="120" w:type="dxa"/>
            </w:tcMar>
            <w:vAlign w:val="center"/>
          </w:tcPr>
          <w:p>
            <w:pPr>
              <w:spacing w:after="0" w:line="252" w:lineRule="auto"/>
            </w:pPr>
            <w:r>
              <w:rPr>
                <w:rFonts w:ascii="Calibri" w:hAnsi="Calibri"/>
                <w:color w:val="111827"/>
                <w:sz w:val="16"/>
              </w:rPr>
              <w:t>TikTok commercial data outside current coverage</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color w:val="111827"/>
                <w:sz w:val="16"/>
              </w:rPr>
              <w:t>Demo</w:t>
            </w:r>
          </w:p>
        </w:tc>
        <w:tc>
          <w:tcPr>
            <w:tcW w:type="dxa" w:w="2380"/>
            <w:tcMar>
              <w:top w:w="80" w:type="dxa"/>
              <w:start w:w="120" w:type="dxa"/>
              <w:bottom w:w="80" w:type="dxa"/>
              <w:end w:w="120" w:type="dxa"/>
            </w:tcMar>
            <w:vAlign w:val="center"/>
          </w:tcPr>
          <w:p>
            <w:pPr>
              <w:spacing w:after="0" w:line="252" w:lineRule="auto"/>
            </w:pPr>
            <w:r>
              <w:rPr>
                <w:rFonts w:ascii="Calibri" w:hAnsi="Calibri"/>
                <w:color w:val="111827"/>
                <w:sz w:val="16"/>
              </w:rPr>
              <w:t>Synthetic fixture available only in an explicit demo environment</w:t>
            </w:r>
          </w:p>
        </w:tc>
        <w:tc>
          <w:tcPr>
            <w:tcW w:type="dxa" w:w="3520"/>
            <w:tcMar>
              <w:top w:w="80" w:type="dxa"/>
              <w:start w:w="120" w:type="dxa"/>
              <w:bottom w:w="80" w:type="dxa"/>
              <w:end w:w="120" w:type="dxa"/>
            </w:tcMar>
            <w:vAlign w:val="center"/>
          </w:tcPr>
          <w:p>
            <w:pPr>
              <w:spacing w:after="0" w:line="252" w:lineRule="auto"/>
            </w:pPr>
            <w:r>
              <w:rPr>
                <w:rFonts w:ascii="Calibri" w:hAnsi="Calibri"/>
                <w:color w:val="111827"/>
                <w:sz w:val="16"/>
              </w:rPr>
              <w:t>Persistent DEMO banner and non-production namespace</w:t>
            </w:r>
          </w:p>
        </w:tc>
        <w:tc>
          <w:tcPr>
            <w:tcW w:type="dxa" w:w="2360"/>
            <w:tcMar>
              <w:top w:w="80" w:type="dxa"/>
              <w:start w:w="120" w:type="dxa"/>
              <w:bottom w:w="80" w:type="dxa"/>
              <w:end w:w="120" w:type="dxa"/>
            </w:tcMar>
            <w:vAlign w:val="center"/>
          </w:tcPr>
          <w:p>
            <w:pPr>
              <w:spacing w:after="0" w:line="252" w:lineRule="auto"/>
            </w:pPr>
            <w:r>
              <w:rPr>
                <w:rFonts w:ascii="Calibri" w:hAnsi="Calibri"/>
                <w:color w:val="111827"/>
                <w:sz w:val="16"/>
              </w:rPr>
              <w:t>Onboarding example product</w:t>
            </w:r>
          </w:p>
        </w:tc>
      </w:tr>
    </w:tbl>
    <w:p>
      <w:pPr>
        <w:spacing w:after="60"/>
      </w:pPr>
    </w:p>
    <w:p>
      <w:pPr>
        <w:pStyle w:val="Heading2"/>
        <w:keepNext/>
        <w:keepLines/>
      </w:pPr>
      <w:r>
        <w:t>5.2 Minimum observation contract</w:t>
      </w:r>
    </w:p>
    <w:p>
      <w:pPr>
        <w:keepLines/>
        <w:numPr>
          <w:ilvl w:val="0"/>
          <w:numId w:val="10"/>
        </w:numPr>
        <w:spacing w:after="160" w:line="280" w:lineRule="auto"/>
      </w:pPr>
      <w:r>
        <w:rPr>
          <w:rFonts w:ascii="Calibri" w:hAnsi="Calibri"/>
          <w:color w:val="111827"/>
          <w:sz w:val="22"/>
        </w:rPr>
        <w:t>identity: observation_id, canonical_product_id, external_listing_id, source_key, metric_key</w:t>
      </w:r>
    </w:p>
    <w:p>
      <w:pPr>
        <w:keepLines/>
        <w:numPr>
          <w:ilvl w:val="0"/>
          <w:numId w:val="10"/>
        </w:numPr>
        <w:spacing w:after="160" w:line="280" w:lineRule="auto"/>
      </w:pPr>
      <w:r>
        <w:rPr>
          <w:rFonts w:ascii="Calibri" w:hAnsi="Calibri"/>
          <w:color w:val="111827"/>
          <w:sz w:val="22"/>
        </w:rPr>
        <w:t>scope: marketplace, country_code, currency, language, device or channel when relevant</w:t>
      </w:r>
    </w:p>
    <w:p>
      <w:pPr>
        <w:keepLines/>
        <w:numPr>
          <w:ilvl w:val="0"/>
          <w:numId w:val="10"/>
        </w:numPr>
        <w:spacing w:after="160" w:line="280" w:lineRule="auto"/>
      </w:pPr>
      <w:r>
        <w:rPr>
          <w:rFonts w:ascii="Calibri" w:hAnsi="Calibri"/>
          <w:color w:val="111827"/>
          <w:sz w:val="22"/>
        </w:rPr>
        <w:t>value: numeric_value, text_value, json_value, unit, source_field_name</w:t>
      </w:r>
    </w:p>
    <w:p>
      <w:pPr>
        <w:keepLines/>
        <w:numPr>
          <w:ilvl w:val="0"/>
          <w:numId w:val="10"/>
        </w:numPr>
        <w:spacing w:after="160" w:line="280" w:lineRule="auto"/>
      </w:pPr>
      <w:r>
        <w:rPr>
          <w:rFonts w:ascii="Calibri" w:hAnsi="Calibri"/>
          <w:color w:val="111827"/>
          <w:sz w:val="22"/>
        </w:rPr>
        <w:t>time: observed_at, fetched_at, source_published_at, valid_from, valid_to when applicable</w:t>
      </w:r>
    </w:p>
    <w:p>
      <w:pPr>
        <w:keepLines/>
        <w:numPr>
          <w:ilvl w:val="0"/>
          <w:numId w:val="10"/>
        </w:numPr>
        <w:spacing w:after="160" w:line="280" w:lineRule="auto"/>
      </w:pPr>
      <w:r>
        <w:rPr>
          <w:rFonts w:ascii="Calibri" w:hAnsi="Calibri"/>
          <w:color w:val="111827"/>
          <w:sz w:val="22"/>
        </w:rPr>
        <w:t>provenance: source_url, raw_snapshot_id, collector_version, parser_version, usage_rights_class</w:t>
      </w:r>
    </w:p>
    <w:p>
      <w:pPr>
        <w:keepLines/>
        <w:numPr>
          <w:ilvl w:val="0"/>
          <w:numId w:val="10"/>
        </w:numPr>
        <w:spacing w:after="160" w:line="280" w:lineRule="auto"/>
      </w:pPr>
      <w:r>
        <w:rPr>
          <w:rFonts w:ascii="Calibri" w:hAnsi="Calibri"/>
          <w:color w:val="111827"/>
          <w:sz w:val="22"/>
        </w:rPr>
        <w:t>quality: status, confidence, completeness, source_quality, cross_source_agreement</w:t>
      </w:r>
    </w:p>
    <w:p>
      <w:pPr>
        <w:keepLines/>
        <w:numPr>
          <w:ilvl w:val="0"/>
          <w:numId w:val="10"/>
        </w:numPr>
        <w:spacing w:after="160" w:line="280" w:lineRule="auto"/>
      </w:pPr>
      <w:r>
        <w:rPr>
          <w:rFonts w:ascii="Calibri" w:hAnsi="Calibri"/>
          <w:color w:val="111827"/>
          <w:sz w:val="22"/>
        </w:rPr>
        <w:t>lineage: input_observation_ids and formula_version for calculated or estimated records</w:t>
      </w:r>
    </w:p>
    <w:p>
      <w:pPr>
        <w:pStyle w:val="Heading2"/>
        <w:keepNext/>
        <w:keepLines/>
      </w:pPr>
      <w:r>
        <w:t>5.3 Source strategy and realistic constraints</w:t>
      </w:r>
    </w:p>
    <w:tbl>
      <w:tblPr>
        <w:tblStyle w:val="TableGrid"/>
        <w:tblW w:type="dxa" w:w="9360"/>
        <w:tblLayout w:type="fixed"/>
        <w:tblLook w:firstColumn="1" w:firstRow="1" w:lastColumn="0" w:lastRow="0" w:noHBand="0" w:noVBand="1" w:val="04A0"/>
        <w:tblInd w:w="120" w:type="dxa"/>
      </w:tblPr>
      <w:tblGrid>
        <w:gridCol w:w="1250"/>
        <w:gridCol w:w="2750"/>
        <w:gridCol w:w="2450"/>
        <w:gridCol w:w="2250"/>
        <w:gridCol w:w="660"/>
      </w:tblGrid>
      <w:tr>
        <w:trPr>
          <w:tblHeader w:val="true"/>
          <w:cantSplit/>
        </w:trPr>
        <w:tc>
          <w:tcPr>
            <w:tcW w:type="dxa" w:w="1250"/>
            <w:tcMar>
              <w:top w:w="80" w:type="dxa"/>
              <w:start w:w="120" w:type="dxa"/>
              <w:bottom w:w="80" w:type="dxa"/>
              <w:end w:w="120" w:type="dxa"/>
            </w:tcMar>
            <w:vAlign w:val="center"/>
            <w:shd w:fill="E8EEF5"/>
          </w:tcPr>
          <w:p>
            <w:pPr>
              <w:spacing w:after="0"/>
              <w:jc w:val="left"/>
            </w:pPr>
            <w:r>
              <w:rPr>
                <w:rFonts w:ascii="Calibri" w:hAnsi="Calibri"/>
                <w:b/>
                <w:color w:val="0B2545"/>
                <w:sz w:val="15"/>
              </w:rPr>
              <w:t>Signal</w:t>
            </w:r>
          </w:p>
        </w:tc>
        <w:tc>
          <w:tcPr>
            <w:tcW w:type="dxa" w:w="2750"/>
            <w:tcMar>
              <w:top w:w="80" w:type="dxa"/>
              <w:start w:w="120" w:type="dxa"/>
              <w:bottom w:w="80" w:type="dxa"/>
              <w:end w:w="120" w:type="dxa"/>
            </w:tcMar>
            <w:vAlign w:val="center"/>
            <w:shd w:fill="E8EEF5"/>
          </w:tcPr>
          <w:p>
            <w:pPr>
              <w:spacing w:after="0"/>
              <w:jc w:val="left"/>
            </w:pPr>
            <w:r>
              <w:rPr>
                <w:rFonts w:ascii="Calibri" w:hAnsi="Calibri"/>
                <w:b/>
                <w:color w:val="0B2545"/>
                <w:sz w:val="15"/>
              </w:rPr>
              <w:t>Preferred source</w:t>
            </w:r>
          </w:p>
        </w:tc>
        <w:tc>
          <w:tcPr>
            <w:tcW w:type="dxa" w:w="2450"/>
            <w:tcMar>
              <w:top w:w="80" w:type="dxa"/>
              <w:start w:w="120" w:type="dxa"/>
              <w:bottom w:w="80" w:type="dxa"/>
              <w:end w:w="120" w:type="dxa"/>
            </w:tcMar>
            <w:vAlign w:val="center"/>
            <w:shd w:fill="E8EEF5"/>
          </w:tcPr>
          <w:p>
            <w:pPr>
              <w:spacing w:after="0"/>
              <w:jc w:val="left"/>
            </w:pPr>
            <w:r>
              <w:rPr>
                <w:rFonts w:ascii="Calibri" w:hAnsi="Calibri"/>
                <w:b/>
                <w:color w:val="0B2545"/>
                <w:sz w:val="15"/>
              </w:rPr>
              <w:t>Usable facts</w:t>
            </w:r>
          </w:p>
        </w:tc>
        <w:tc>
          <w:tcPr>
            <w:tcW w:type="dxa" w:w="2250"/>
            <w:tcMar>
              <w:top w:w="80" w:type="dxa"/>
              <w:start w:w="120" w:type="dxa"/>
              <w:bottom w:w="80" w:type="dxa"/>
              <w:end w:w="120" w:type="dxa"/>
            </w:tcMar>
            <w:vAlign w:val="center"/>
            <w:shd w:fill="E8EEF5"/>
          </w:tcPr>
          <w:p>
            <w:pPr>
              <w:spacing w:after="0"/>
              <w:jc w:val="left"/>
            </w:pPr>
            <w:r>
              <w:rPr>
                <w:rFonts w:ascii="Calibri" w:hAnsi="Calibri"/>
                <w:b/>
                <w:color w:val="0B2545"/>
                <w:sz w:val="15"/>
              </w:rPr>
              <w:t>Constraint</w:t>
            </w:r>
          </w:p>
        </w:tc>
        <w:tc>
          <w:tcPr>
            <w:tcW w:type="dxa" w:w="660"/>
            <w:tcMar>
              <w:top w:w="80" w:type="dxa"/>
              <w:start w:w="120" w:type="dxa"/>
              <w:bottom w:w="80" w:type="dxa"/>
              <w:end w:w="120" w:type="dxa"/>
            </w:tcMar>
            <w:vAlign w:val="center"/>
            <w:shd w:fill="E8EEF5"/>
          </w:tcPr>
          <w:p>
            <w:pPr>
              <w:spacing w:after="0"/>
              <w:jc w:val="left"/>
            </w:pPr>
            <w:r>
              <w:rPr>
                <w:rFonts w:ascii="Calibri" w:hAnsi="Calibri"/>
                <w:b/>
                <w:color w:val="0B2545"/>
                <w:sz w:val="15"/>
              </w:rPr>
              <w:t>Phase</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111827"/>
                <w:sz w:val="15"/>
              </w:rPr>
              <w:t>Google search demand</w:t>
            </w:r>
          </w:p>
        </w:tc>
        <w:tc>
          <w:tcPr>
            <w:tcW w:type="dxa" w:w="2750"/>
            <w:tcMar>
              <w:top w:w="80" w:type="dxa"/>
              <w:start w:w="120" w:type="dxa"/>
              <w:bottom w:w="80" w:type="dxa"/>
              <w:end w:w="120" w:type="dxa"/>
            </w:tcMar>
            <w:vAlign w:val="center"/>
          </w:tcPr>
          <w:p>
            <w:pPr>
              <w:spacing w:after="0" w:line="252" w:lineRule="auto"/>
            </w:pPr>
            <w:r>
              <w:rPr>
                <w:rFonts w:ascii="Calibri" w:hAnsi="Calibri"/>
                <w:color w:val="111827"/>
                <w:sz w:val="15"/>
              </w:rPr>
              <w:t>Google Trends API alpha when accepted; current unofficial client only as a monitored bridge</w:t>
            </w:r>
          </w:p>
        </w:tc>
        <w:tc>
          <w:tcPr>
            <w:tcW w:type="dxa" w:w="2450"/>
            <w:tcMar>
              <w:top w:w="80" w:type="dxa"/>
              <w:start w:w="120" w:type="dxa"/>
              <w:bottom w:w="80" w:type="dxa"/>
              <w:end w:w="120" w:type="dxa"/>
            </w:tcMar>
            <w:vAlign w:val="center"/>
          </w:tcPr>
          <w:p>
            <w:pPr>
              <w:spacing w:after="0" w:line="252" w:lineRule="auto"/>
            </w:pPr>
            <w:r>
              <w:rPr>
                <w:rFonts w:ascii="Calibri" w:hAnsi="Calibri"/>
                <w:color w:val="111827"/>
                <w:sz w:val="15"/>
              </w:rPr>
              <w:t>Interest over time and geography</w:t>
            </w:r>
          </w:p>
        </w:tc>
        <w:tc>
          <w:tcPr>
            <w:tcW w:type="dxa" w:w="2250"/>
            <w:tcMar>
              <w:top w:w="80" w:type="dxa"/>
              <w:start w:w="120" w:type="dxa"/>
              <w:bottom w:w="80" w:type="dxa"/>
              <w:end w:w="120" w:type="dxa"/>
            </w:tcMar>
            <w:vAlign w:val="center"/>
          </w:tcPr>
          <w:p>
            <w:pPr>
              <w:spacing w:after="0" w:line="252" w:lineRule="auto"/>
            </w:pPr>
            <w:r>
              <w:rPr>
                <w:rFonts w:ascii="Calibri" w:hAnsi="Calibri"/>
                <w:color w:val="111827"/>
                <w:sz w:val="15"/>
              </w:rPr>
              <w:t>Alpha access; sampling and normalization</w:t>
            </w:r>
          </w:p>
        </w:tc>
        <w:tc>
          <w:tcPr>
            <w:tcW w:type="dxa" w:w="660"/>
            <w:tcMar>
              <w:top w:w="80" w:type="dxa"/>
              <w:start w:w="120" w:type="dxa"/>
              <w:bottom w:w="80" w:type="dxa"/>
              <w:end w:w="120" w:type="dxa"/>
            </w:tcMar>
            <w:vAlign w:val="center"/>
          </w:tcPr>
          <w:p>
            <w:pPr>
              <w:spacing w:after="0" w:line="252" w:lineRule="auto"/>
            </w:pPr>
            <w:r>
              <w:rPr>
                <w:rFonts w:ascii="Calibri" w:hAnsi="Calibri"/>
                <w:color w:val="111827"/>
                <w:sz w:val="15"/>
              </w:rPr>
              <w:t>MVP</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111827"/>
                <w:sz w:val="15"/>
              </w:rPr>
              <w:t>Amazon catalog/rank</w:t>
            </w:r>
          </w:p>
        </w:tc>
        <w:tc>
          <w:tcPr>
            <w:tcW w:type="dxa" w:w="2750"/>
            <w:tcMar>
              <w:top w:w="80" w:type="dxa"/>
              <w:start w:w="120" w:type="dxa"/>
              <w:bottom w:w="80" w:type="dxa"/>
              <w:end w:w="120" w:type="dxa"/>
            </w:tcMar>
            <w:vAlign w:val="center"/>
          </w:tcPr>
          <w:p>
            <w:pPr>
              <w:spacing w:after="0" w:line="252" w:lineRule="auto"/>
            </w:pPr>
            <w:r>
              <w:rPr>
                <w:rFonts w:ascii="Calibri" w:hAnsi="Calibri"/>
                <w:color w:val="111827"/>
                <w:sz w:val="15"/>
              </w:rPr>
              <w:t>Amazon SP-API for authorized selling partners; Creators API for eligible Associates; licensed provider where necessary</w:t>
            </w:r>
          </w:p>
        </w:tc>
        <w:tc>
          <w:tcPr>
            <w:tcW w:type="dxa" w:w="2450"/>
            <w:tcMar>
              <w:top w:w="80" w:type="dxa"/>
              <w:start w:w="120" w:type="dxa"/>
              <w:bottom w:w="80" w:type="dxa"/>
              <w:end w:w="120" w:type="dxa"/>
            </w:tcMar>
            <w:vAlign w:val="center"/>
          </w:tcPr>
          <w:p>
            <w:pPr>
              <w:spacing w:after="0" w:line="252" w:lineRule="auto"/>
            </w:pPr>
            <w:r>
              <w:rPr>
                <w:rFonts w:ascii="Calibri" w:hAnsi="Calibri"/>
                <w:color w:val="111827"/>
                <w:sz w:val="15"/>
              </w:rPr>
              <w:t>Identifiers, attributes, images, rank; authorized seller data</w:t>
            </w:r>
          </w:p>
        </w:tc>
        <w:tc>
          <w:tcPr>
            <w:tcW w:type="dxa" w:w="2250"/>
            <w:tcMar>
              <w:top w:w="80" w:type="dxa"/>
              <w:start w:w="120" w:type="dxa"/>
              <w:bottom w:w="80" w:type="dxa"/>
              <w:end w:w="120" w:type="dxa"/>
            </w:tcMar>
            <w:vAlign w:val="center"/>
          </w:tcPr>
          <w:p>
            <w:pPr>
              <w:spacing w:after="0" w:line="252" w:lineRule="auto"/>
            </w:pPr>
            <w:r>
              <w:rPr>
                <w:rFonts w:ascii="Calibri" w:hAnsi="Calibri"/>
                <w:color w:val="111827"/>
                <w:sz w:val="15"/>
              </w:rPr>
              <w:t>Roles, authorization, marketplace rules; not public competitor sales</w:t>
            </w:r>
          </w:p>
        </w:tc>
        <w:tc>
          <w:tcPr>
            <w:tcW w:type="dxa" w:w="660"/>
            <w:tcMar>
              <w:top w:w="80" w:type="dxa"/>
              <w:start w:w="120" w:type="dxa"/>
              <w:bottom w:w="80" w:type="dxa"/>
              <w:end w:w="120" w:type="dxa"/>
            </w:tcMar>
            <w:vAlign w:val="center"/>
          </w:tcPr>
          <w:p>
            <w:pPr>
              <w:spacing w:after="0" w:line="252" w:lineRule="auto"/>
            </w:pPr>
            <w:r>
              <w:rPr>
                <w:rFonts w:ascii="Calibri" w:hAnsi="Calibri"/>
                <w:color w:val="111827"/>
                <w:sz w:val="15"/>
              </w:rPr>
              <w:t>MVP</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111827"/>
                <w:sz w:val="15"/>
              </w:rPr>
              <w:t>Meta advertising</w:t>
            </w:r>
          </w:p>
        </w:tc>
        <w:tc>
          <w:tcPr>
            <w:tcW w:type="dxa" w:w="2750"/>
            <w:tcMar>
              <w:top w:w="80" w:type="dxa"/>
              <w:start w:w="120" w:type="dxa"/>
              <w:bottom w:w="80" w:type="dxa"/>
              <w:end w:w="120" w:type="dxa"/>
            </w:tcMar>
            <w:vAlign w:val="center"/>
          </w:tcPr>
          <w:p>
            <w:pPr>
              <w:spacing w:after="0" w:line="252" w:lineRule="auto"/>
            </w:pPr>
            <w:r>
              <w:rPr>
                <w:rFonts w:ascii="Calibri" w:hAnsi="Calibri"/>
                <w:color w:val="111827"/>
                <w:sz w:val="15"/>
              </w:rPr>
              <w:t>Meta Ad Library / Ads Archive API within documented coverage</w:t>
            </w:r>
          </w:p>
        </w:tc>
        <w:tc>
          <w:tcPr>
            <w:tcW w:type="dxa" w:w="2450"/>
            <w:tcMar>
              <w:top w:w="80" w:type="dxa"/>
              <w:start w:w="120" w:type="dxa"/>
              <w:bottom w:w="80" w:type="dxa"/>
              <w:end w:w="120" w:type="dxa"/>
            </w:tcMar>
            <w:vAlign w:val="center"/>
          </w:tcPr>
          <w:p>
            <w:pPr>
              <w:spacing w:after="0" w:line="252" w:lineRule="auto"/>
            </w:pPr>
            <w:r>
              <w:rPr>
                <w:rFonts w:ascii="Calibri" w:hAnsi="Calibri"/>
                <w:color w:val="111827"/>
                <w:sz w:val="15"/>
              </w:rPr>
              <w:t>Creative, advertiser, dates, active state, searchable text and available public fields</w:t>
            </w:r>
          </w:p>
        </w:tc>
        <w:tc>
          <w:tcPr>
            <w:tcW w:type="dxa" w:w="2250"/>
            <w:tcMar>
              <w:top w:w="80" w:type="dxa"/>
              <w:start w:w="120" w:type="dxa"/>
              <w:bottom w:w="80" w:type="dxa"/>
              <w:end w:w="120" w:type="dxa"/>
            </w:tcMar>
            <w:vAlign w:val="center"/>
          </w:tcPr>
          <w:p>
            <w:pPr>
              <w:spacing w:after="0" w:line="252" w:lineRule="auto"/>
            </w:pPr>
            <w:r>
              <w:rPr>
                <w:rFonts w:ascii="Calibri" w:hAnsi="Calibri"/>
                <w:color w:val="111827"/>
                <w:sz w:val="15"/>
              </w:rPr>
              <w:t>Coverage varies by ad type and geography</w:t>
            </w:r>
          </w:p>
        </w:tc>
        <w:tc>
          <w:tcPr>
            <w:tcW w:type="dxa" w:w="660"/>
            <w:tcMar>
              <w:top w:w="80" w:type="dxa"/>
              <w:start w:w="120" w:type="dxa"/>
              <w:bottom w:w="80" w:type="dxa"/>
              <w:end w:w="120" w:type="dxa"/>
            </w:tcMar>
            <w:vAlign w:val="center"/>
          </w:tcPr>
          <w:p>
            <w:pPr>
              <w:spacing w:after="0" w:line="252" w:lineRule="auto"/>
            </w:pPr>
            <w:r>
              <w:rPr>
                <w:rFonts w:ascii="Calibri" w:hAnsi="Calibri"/>
                <w:color w:val="111827"/>
                <w:sz w:val="15"/>
              </w:rPr>
              <w:t>MVP/P2</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111827"/>
                <w:sz w:val="15"/>
              </w:rPr>
              <w:t>TikTok advertising</w:t>
            </w:r>
          </w:p>
        </w:tc>
        <w:tc>
          <w:tcPr>
            <w:tcW w:type="dxa" w:w="2750"/>
            <w:tcMar>
              <w:top w:w="80" w:type="dxa"/>
              <w:start w:w="120" w:type="dxa"/>
              <w:bottom w:w="80" w:type="dxa"/>
              <w:end w:w="120" w:type="dxa"/>
            </w:tcMar>
            <w:vAlign w:val="center"/>
          </w:tcPr>
          <w:p>
            <w:pPr>
              <w:spacing w:after="0" w:line="252" w:lineRule="auto"/>
            </w:pPr>
            <w:r>
              <w:rPr>
                <w:rFonts w:ascii="Calibri" w:hAnsi="Calibri"/>
                <w:color w:val="111827"/>
                <w:sz w:val="15"/>
              </w:rPr>
              <w:t>TikTok Commercial Content API after approval</w:t>
            </w:r>
          </w:p>
        </w:tc>
        <w:tc>
          <w:tcPr>
            <w:tcW w:type="dxa" w:w="2450"/>
            <w:tcMar>
              <w:top w:w="80" w:type="dxa"/>
              <w:start w:w="120" w:type="dxa"/>
              <w:bottom w:w="80" w:type="dxa"/>
              <w:end w:w="120" w:type="dxa"/>
            </w:tcMar>
            <w:vAlign w:val="center"/>
          </w:tcPr>
          <w:p>
            <w:pPr>
              <w:spacing w:after="0" w:line="252" w:lineRule="auto"/>
            </w:pPr>
            <w:r>
              <w:rPr>
                <w:rFonts w:ascii="Calibri" w:hAnsi="Calibri"/>
                <w:color w:val="111827"/>
                <w:sz w:val="15"/>
              </w:rPr>
              <w:t>Ads, advertisers, creator/commercial content, published/last-seen/reach fields</w:t>
            </w:r>
          </w:p>
        </w:tc>
        <w:tc>
          <w:tcPr>
            <w:tcW w:type="dxa" w:w="2250"/>
            <w:tcMar>
              <w:top w:w="80" w:type="dxa"/>
              <w:start w:w="120" w:type="dxa"/>
              <w:bottom w:w="80" w:type="dxa"/>
              <w:end w:w="120" w:type="dxa"/>
            </w:tcMar>
            <w:vAlign w:val="center"/>
          </w:tcPr>
          <w:p>
            <w:pPr>
              <w:spacing w:after="0" w:line="252" w:lineRule="auto"/>
            </w:pPr>
            <w:r>
              <w:rPr>
                <w:rFonts w:ascii="Calibri" w:hAnsi="Calibri"/>
                <w:color w:val="111827"/>
                <w:sz w:val="15"/>
              </w:rPr>
              <w:t>Current documented phase begins with EU data; research tools have eligibility limits</w:t>
            </w:r>
          </w:p>
        </w:tc>
        <w:tc>
          <w:tcPr>
            <w:tcW w:type="dxa" w:w="660"/>
            <w:tcMar>
              <w:top w:w="80" w:type="dxa"/>
              <w:start w:w="120" w:type="dxa"/>
              <w:bottom w:w="80" w:type="dxa"/>
              <w:end w:w="120" w:type="dxa"/>
            </w:tcMar>
            <w:vAlign w:val="center"/>
          </w:tcPr>
          <w:p>
            <w:pPr>
              <w:spacing w:after="0" w:line="252" w:lineRule="auto"/>
            </w:pPr>
            <w:r>
              <w:rPr>
                <w:rFonts w:ascii="Calibri" w:hAnsi="Calibri"/>
                <w:color w:val="111827"/>
                <w:sz w:val="15"/>
              </w:rPr>
              <w:t>P2</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111827"/>
                <w:sz w:val="15"/>
              </w:rPr>
              <w:t>Shopify</w:t>
            </w:r>
          </w:p>
        </w:tc>
        <w:tc>
          <w:tcPr>
            <w:tcW w:type="dxa" w:w="2750"/>
            <w:tcMar>
              <w:top w:w="80" w:type="dxa"/>
              <w:start w:w="120" w:type="dxa"/>
              <w:bottom w:w="80" w:type="dxa"/>
              <w:end w:w="120" w:type="dxa"/>
            </w:tcMar>
            <w:vAlign w:val="center"/>
          </w:tcPr>
          <w:p>
            <w:pPr>
              <w:spacing w:after="0" w:line="252" w:lineRule="auto"/>
            </w:pPr>
            <w:r>
              <w:rPr>
                <w:rFonts w:ascii="Calibri" w:hAnsi="Calibri"/>
                <w:color w:val="111827"/>
                <w:sz w:val="15"/>
              </w:rPr>
              <w:t>OAuth-authorized Shopify GraphQL Admin API</w:t>
            </w:r>
          </w:p>
        </w:tc>
        <w:tc>
          <w:tcPr>
            <w:tcW w:type="dxa" w:w="2450"/>
            <w:tcMar>
              <w:top w:w="80" w:type="dxa"/>
              <w:start w:w="120" w:type="dxa"/>
              <w:bottom w:w="80" w:type="dxa"/>
              <w:end w:w="120" w:type="dxa"/>
            </w:tcMar>
            <w:vAlign w:val="center"/>
          </w:tcPr>
          <w:p>
            <w:pPr>
              <w:spacing w:after="0" w:line="252" w:lineRule="auto"/>
            </w:pPr>
            <w:r>
              <w:rPr>
                <w:rFonts w:ascii="Calibri" w:hAnsi="Calibri"/>
                <w:color w:val="111827"/>
                <w:sz w:val="15"/>
              </w:rPr>
              <w:t>User's own products, orders, inventory, and performance</w:t>
            </w:r>
          </w:p>
        </w:tc>
        <w:tc>
          <w:tcPr>
            <w:tcW w:type="dxa" w:w="2250"/>
            <w:tcMar>
              <w:top w:w="80" w:type="dxa"/>
              <w:start w:w="120" w:type="dxa"/>
              <w:bottom w:w="80" w:type="dxa"/>
              <w:end w:w="120" w:type="dxa"/>
            </w:tcMar>
            <w:vAlign w:val="center"/>
          </w:tcPr>
          <w:p>
            <w:pPr>
              <w:spacing w:after="0" w:line="252" w:lineRule="auto"/>
            </w:pPr>
            <w:r>
              <w:rPr>
                <w:rFonts w:ascii="Calibri" w:hAnsi="Calibri"/>
                <w:color w:val="111827"/>
                <w:sz w:val="15"/>
              </w:rPr>
              <w:t>Not a competitor-store revenue source</w:t>
            </w:r>
          </w:p>
        </w:tc>
        <w:tc>
          <w:tcPr>
            <w:tcW w:type="dxa" w:w="660"/>
            <w:tcMar>
              <w:top w:w="80" w:type="dxa"/>
              <w:start w:w="120" w:type="dxa"/>
              <w:bottom w:w="80" w:type="dxa"/>
              <w:end w:w="120" w:type="dxa"/>
            </w:tcMar>
            <w:vAlign w:val="center"/>
          </w:tcPr>
          <w:p>
            <w:pPr>
              <w:spacing w:after="0" w:line="252" w:lineRule="auto"/>
            </w:pPr>
            <w:r>
              <w:rPr>
                <w:rFonts w:ascii="Calibri" w:hAnsi="Calibri"/>
                <w:color w:val="111827"/>
                <w:sz w:val="15"/>
              </w:rPr>
              <w:t>P2</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111827"/>
                <w:sz w:val="15"/>
              </w:rPr>
              <w:t>Nigeria compliance</w:t>
            </w:r>
          </w:p>
        </w:tc>
        <w:tc>
          <w:tcPr>
            <w:tcW w:type="dxa" w:w="2750"/>
            <w:tcMar>
              <w:top w:w="80" w:type="dxa"/>
              <w:start w:w="120" w:type="dxa"/>
              <w:bottom w:w="80" w:type="dxa"/>
              <w:end w:w="120" w:type="dxa"/>
            </w:tcMar>
            <w:vAlign w:val="center"/>
          </w:tcPr>
          <w:p>
            <w:pPr>
              <w:spacing w:after="0" w:line="252" w:lineRule="auto"/>
            </w:pPr>
            <w:r>
              <w:rPr>
                <w:rFonts w:ascii="Calibri" w:hAnsi="Calibri"/>
                <w:color w:val="111827"/>
                <w:sz w:val="15"/>
              </w:rPr>
              <w:t>Effective-dated NAFDAC and other regulator publications maintained by research workflow</w:t>
            </w:r>
          </w:p>
        </w:tc>
        <w:tc>
          <w:tcPr>
            <w:tcW w:type="dxa" w:w="2450"/>
            <w:tcMar>
              <w:top w:w="80" w:type="dxa"/>
              <w:start w:w="120" w:type="dxa"/>
              <w:bottom w:w="80" w:type="dxa"/>
              <w:end w:w="120" w:type="dxa"/>
            </w:tcMar>
            <w:vAlign w:val="center"/>
          </w:tcPr>
          <w:p>
            <w:pPr>
              <w:spacing w:after="0" w:line="252" w:lineRule="auto"/>
            </w:pPr>
            <w:r>
              <w:rPr>
                <w:rFonts w:ascii="Calibri" w:hAnsi="Calibri"/>
                <w:color w:val="111827"/>
                <w:sz w:val="15"/>
              </w:rPr>
              <w:t>Required registrations, restricted goods, evidence links</w:t>
            </w:r>
          </w:p>
        </w:tc>
        <w:tc>
          <w:tcPr>
            <w:tcW w:type="dxa" w:w="2250"/>
            <w:tcMar>
              <w:top w:w="80" w:type="dxa"/>
              <w:start w:w="120" w:type="dxa"/>
              <w:bottom w:w="80" w:type="dxa"/>
              <w:end w:w="120" w:type="dxa"/>
            </w:tcMar>
            <w:vAlign w:val="center"/>
          </w:tcPr>
          <w:p>
            <w:pPr>
              <w:spacing w:after="0" w:line="252" w:lineRule="auto"/>
            </w:pPr>
            <w:r>
              <w:rPr>
                <w:rFonts w:ascii="Calibri" w:hAnsi="Calibri"/>
                <w:color w:val="111827"/>
                <w:sz w:val="15"/>
              </w:rPr>
              <w:t>Interpretation and product classification require review</w:t>
            </w:r>
          </w:p>
        </w:tc>
        <w:tc>
          <w:tcPr>
            <w:tcW w:type="dxa" w:w="660"/>
            <w:tcMar>
              <w:top w:w="80" w:type="dxa"/>
              <w:start w:w="120" w:type="dxa"/>
              <w:bottom w:w="80" w:type="dxa"/>
              <w:end w:w="120" w:type="dxa"/>
            </w:tcMar>
            <w:vAlign w:val="center"/>
          </w:tcPr>
          <w:p>
            <w:pPr>
              <w:spacing w:after="0" w:line="252" w:lineRule="auto"/>
            </w:pPr>
            <w:r>
              <w:rPr>
                <w:rFonts w:ascii="Calibri" w:hAnsi="Calibri"/>
                <w:color w:val="111827"/>
                <w:sz w:val="15"/>
              </w:rPr>
              <w:t>MVP</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111827"/>
                <w:sz w:val="15"/>
              </w:rPr>
              <w:t>Tariffs and duties</w:t>
            </w:r>
          </w:p>
        </w:tc>
        <w:tc>
          <w:tcPr>
            <w:tcW w:type="dxa" w:w="2750"/>
            <w:tcMar>
              <w:top w:w="80" w:type="dxa"/>
              <w:start w:w="120" w:type="dxa"/>
              <w:bottom w:w="80" w:type="dxa"/>
              <w:end w:w="120" w:type="dxa"/>
            </w:tcMar>
            <w:vAlign w:val="center"/>
          </w:tcPr>
          <w:p>
            <w:pPr>
              <w:spacing w:after="0" w:line="252" w:lineRule="auto"/>
            </w:pPr>
            <w:r>
              <w:rPr>
                <w:rFonts w:ascii="Calibri" w:hAnsi="Calibri"/>
                <w:color w:val="111827"/>
                <w:sz w:val="15"/>
              </w:rPr>
              <w:t>Official tariff/HS-code sources plus versioned analyst review</w:t>
            </w:r>
          </w:p>
        </w:tc>
        <w:tc>
          <w:tcPr>
            <w:tcW w:type="dxa" w:w="2450"/>
            <w:tcMar>
              <w:top w:w="80" w:type="dxa"/>
              <w:start w:w="120" w:type="dxa"/>
              <w:bottom w:w="80" w:type="dxa"/>
              <w:end w:w="120" w:type="dxa"/>
            </w:tcMar>
            <w:vAlign w:val="center"/>
          </w:tcPr>
          <w:p>
            <w:pPr>
              <w:spacing w:after="0" w:line="252" w:lineRule="auto"/>
            </w:pPr>
            <w:r>
              <w:rPr>
                <w:rFonts w:ascii="Calibri" w:hAnsi="Calibri"/>
                <w:color w:val="111827"/>
                <w:sz w:val="15"/>
              </w:rPr>
              <w:t>Duty rate, levy, VAT basis, effective dates</w:t>
            </w:r>
          </w:p>
        </w:tc>
        <w:tc>
          <w:tcPr>
            <w:tcW w:type="dxa" w:w="2250"/>
            <w:tcMar>
              <w:top w:w="80" w:type="dxa"/>
              <w:start w:w="120" w:type="dxa"/>
              <w:bottom w:w="80" w:type="dxa"/>
              <w:end w:w="120" w:type="dxa"/>
            </w:tcMar>
            <w:vAlign w:val="center"/>
          </w:tcPr>
          <w:p>
            <w:pPr>
              <w:spacing w:after="0" w:line="252" w:lineRule="auto"/>
            </w:pPr>
            <w:r>
              <w:rPr>
                <w:rFonts w:ascii="Calibri" w:hAnsi="Calibri"/>
                <w:color w:val="111827"/>
                <w:sz w:val="15"/>
              </w:rPr>
              <w:t>HS classification ambiguity</w:t>
            </w:r>
          </w:p>
        </w:tc>
        <w:tc>
          <w:tcPr>
            <w:tcW w:type="dxa" w:w="660"/>
            <w:tcMar>
              <w:top w:w="80" w:type="dxa"/>
              <w:start w:w="120" w:type="dxa"/>
              <w:bottom w:w="80" w:type="dxa"/>
              <w:end w:w="120" w:type="dxa"/>
            </w:tcMar>
            <w:vAlign w:val="center"/>
          </w:tcPr>
          <w:p>
            <w:pPr>
              <w:spacing w:after="0" w:line="252" w:lineRule="auto"/>
            </w:pPr>
            <w:r>
              <w:rPr>
                <w:rFonts w:ascii="Calibri" w:hAnsi="Calibri"/>
                <w:color w:val="111827"/>
                <w:sz w:val="15"/>
              </w:rPr>
              <w:t>MVP</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111827"/>
                <w:sz w:val="15"/>
              </w:rPr>
              <w:t>Freight</w:t>
            </w:r>
          </w:p>
        </w:tc>
        <w:tc>
          <w:tcPr>
            <w:tcW w:type="dxa" w:w="2750"/>
            <w:tcMar>
              <w:top w:w="80" w:type="dxa"/>
              <w:start w:w="120" w:type="dxa"/>
              <w:bottom w:w="80" w:type="dxa"/>
              <w:end w:w="120" w:type="dxa"/>
            </w:tcMar>
            <w:vAlign w:val="center"/>
          </w:tcPr>
          <w:p>
            <w:pPr>
              <w:spacing w:after="0" w:line="252" w:lineRule="auto"/>
            </w:pPr>
            <w:r>
              <w:rPr>
                <w:rFonts w:ascii="Calibri" w:hAnsi="Calibri"/>
                <w:color w:val="111827"/>
                <w:sz w:val="15"/>
              </w:rPr>
              <w:t>User freight quotes and contracted carrier/forwarder integrations</w:t>
            </w:r>
          </w:p>
        </w:tc>
        <w:tc>
          <w:tcPr>
            <w:tcW w:type="dxa" w:w="2450"/>
            <w:tcMar>
              <w:top w:w="80" w:type="dxa"/>
              <w:start w:w="120" w:type="dxa"/>
              <w:bottom w:w="80" w:type="dxa"/>
              <w:end w:w="120" w:type="dxa"/>
            </w:tcMar>
            <w:vAlign w:val="center"/>
          </w:tcPr>
          <w:p>
            <w:pPr>
              <w:spacing w:after="0" w:line="252" w:lineRule="auto"/>
            </w:pPr>
            <w:r>
              <w:rPr>
                <w:rFonts w:ascii="Calibri" w:hAnsi="Calibri"/>
                <w:color w:val="111827"/>
                <w:sz w:val="15"/>
              </w:rPr>
              <w:t>Mode, route, weight/volume, Incoterm, validity, price</w:t>
            </w:r>
          </w:p>
        </w:tc>
        <w:tc>
          <w:tcPr>
            <w:tcW w:type="dxa" w:w="2250"/>
            <w:tcMar>
              <w:top w:w="80" w:type="dxa"/>
              <w:start w:w="120" w:type="dxa"/>
              <w:bottom w:w="80" w:type="dxa"/>
              <w:end w:w="120" w:type="dxa"/>
            </w:tcMar>
            <w:vAlign w:val="center"/>
          </w:tcPr>
          <w:p>
            <w:pPr>
              <w:spacing w:after="0" w:line="252" w:lineRule="auto"/>
            </w:pPr>
            <w:r>
              <w:rPr>
                <w:rFonts w:ascii="Calibri" w:hAnsi="Calibri"/>
                <w:color w:val="111827"/>
                <w:sz w:val="15"/>
              </w:rPr>
              <w:t>Carrier APIs may require business relationship</w:t>
            </w:r>
          </w:p>
        </w:tc>
        <w:tc>
          <w:tcPr>
            <w:tcW w:type="dxa" w:w="660"/>
            <w:tcMar>
              <w:top w:w="80" w:type="dxa"/>
              <w:start w:w="120" w:type="dxa"/>
              <w:bottom w:w="80" w:type="dxa"/>
              <w:end w:w="120" w:type="dxa"/>
            </w:tcMar>
            <w:vAlign w:val="center"/>
          </w:tcPr>
          <w:p>
            <w:pPr>
              <w:spacing w:after="0" w:line="252" w:lineRule="auto"/>
            </w:pPr>
            <w:r>
              <w:rPr>
                <w:rFonts w:ascii="Calibri" w:hAnsi="Calibri"/>
                <w:color w:val="111827"/>
                <w:sz w:val="15"/>
              </w:rPr>
              <w:t>MVP/P2</w:t>
            </w:r>
          </w:p>
        </w:tc>
      </w:tr>
      <w:tr>
        <w:trPr>
          <w:cantSplit/>
        </w:trPr>
        <w:tc>
          <w:tcPr>
            <w:tcW w:type="dxa" w:w="1250"/>
            <w:tcMar>
              <w:top w:w="80" w:type="dxa"/>
              <w:start w:w="120" w:type="dxa"/>
              <w:bottom w:w="80" w:type="dxa"/>
              <w:end w:w="120" w:type="dxa"/>
            </w:tcMar>
            <w:vAlign w:val="center"/>
          </w:tcPr>
          <w:p>
            <w:pPr>
              <w:spacing w:after="0" w:line="252" w:lineRule="auto"/>
            </w:pPr>
            <w:r>
              <w:rPr>
                <w:rFonts w:ascii="Calibri" w:hAnsi="Calibri"/>
                <w:color w:val="111827"/>
                <w:sz w:val="15"/>
              </w:rPr>
              <w:t>Local marketplaces</w:t>
            </w:r>
          </w:p>
        </w:tc>
        <w:tc>
          <w:tcPr>
            <w:tcW w:type="dxa" w:w="2750"/>
            <w:tcMar>
              <w:top w:w="80" w:type="dxa"/>
              <w:start w:w="120" w:type="dxa"/>
              <w:bottom w:w="80" w:type="dxa"/>
              <w:end w:w="120" w:type="dxa"/>
            </w:tcMar>
            <w:vAlign w:val="center"/>
          </w:tcPr>
          <w:p>
            <w:pPr>
              <w:spacing w:after="0" w:line="252" w:lineRule="auto"/>
            </w:pPr>
            <w:r>
              <w:rPr>
                <w:rFonts w:ascii="Calibri" w:hAnsi="Calibri"/>
                <w:color w:val="111827"/>
                <w:sz w:val="15"/>
              </w:rPr>
              <w:t>Partnership, licensed provider, compliant public collection, or user-assisted evidence</w:t>
            </w:r>
          </w:p>
        </w:tc>
        <w:tc>
          <w:tcPr>
            <w:tcW w:type="dxa" w:w="2450"/>
            <w:tcMar>
              <w:top w:w="80" w:type="dxa"/>
              <w:start w:w="120" w:type="dxa"/>
              <w:bottom w:w="80" w:type="dxa"/>
              <w:end w:w="120" w:type="dxa"/>
            </w:tcMar>
            <w:vAlign w:val="center"/>
          </w:tcPr>
          <w:p>
            <w:pPr>
              <w:spacing w:after="0" w:line="252" w:lineRule="auto"/>
            </w:pPr>
            <w:r>
              <w:rPr>
                <w:rFonts w:ascii="Calibri" w:hAnsi="Calibri"/>
                <w:color w:val="111827"/>
                <w:sz w:val="15"/>
              </w:rPr>
              <w:t>Listings, price, availability, seller count when observable</w:t>
            </w:r>
          </w:p>
        </w:tc>
        <w:tc>
          <w:tcPr>
            <w:tcW w:type="dxa" w:w="2250"/>
            <w:tcMar>
              <w:top w:w="80" w:type="dxa"/>
              <w:start w:w="120" w:type="dxa"/>
              <w:bottom w:w="80" w:type="dxa"/>
              <w:end w:w="120" w:type="dxa"/>
            </w:tcMar>
            <w:vAlign w:val="center"/>
          </w:tcPr>
          <w:p>
            <w:pPr>
              <w:spacing w:after="0" w:line="252" w:lineRule="auto"/>
            </w:pPr>
            <w:r>
              <w:rPr>
                <w:rFonts w:ascii="Calibri" w:hAnsi="Calibri"/>
                <w:color w:val="111827"/>
                <w:sz w:val="15"/>
              </w:rPr>
              <w:t>Do not equate missing data with low competition</w:t>
            </w:r>
          </w:p>
        </w:tc>
        <w:tc>
          <w:tcPr>
            <w:tcW w:type="dxa" w:w="660"/>
            <w:tcMar>
              <w:top w:w="80" w:type="dxa"/>
              <w:start w:w="120" w:type="dxa"/>
              <w:bottom w:w="80" w:type="dxa"/>
              <w:end w:w="120" w:type="dxa"/>
            </w:tcMar>
            <w:vAlign w:val="center"/>
          </w:tcPr>
          <w:p>
            <w:pPr>
              <w:spacing w:after="0" w:line="252" w:lineRule="auto"/>
            </w:pPr>
            <w:r>
              <w:rPr>
                <w:rFonts w:ascii="Calibri" w:hAnsi="Calibri"/>
                <w:color w:val="111827"/>
                <w:sz w:val="15"/>
              </w:rPr>
              <w:t>P2</w:t>
            </w:r>
          </w:p>
        </w:tc>
      </w:tr>
    </w:tbl>
    <w:p>
      <w:pPr>
        <w:spacing w:after="60"/>
      </w:pP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DECEC"/>
          </w:tcPr>
          <w:p>
            <w:pPr>
              <w:spacing w:after="0" w:line="264" w:lineRule="auto"/>
            </w:pPr>
            <w:r>
              <w:rPr>
                <w:rFonts w:ascii="Calibri" w:hAnsi="Calibri"/>
                <w:b/>
                <w:color w:val="9B1C1C"/>
                <w:sz w:val="22"/>
              </w:rPr>
              <w:t xml:space="preserve">Fallback policy: </w:t>
            </w:r>
            <w:r>
              <w:rPr>
                <w:rFonts w:ascii="Calibri" w:hAnsi="Calibri"/>
                <w:color w:val="111827"/>
                <w:sz w:val="22"/>
              </w:rPr>
              <w:t>When a collector fails, return the last valid observation with a stale label if it remains within retention policy; otherwise return unavailable. Never manufacture replacement product intelligence. Demo fixtures are allowed only in a separate environment and namespace.</w:t>
            </w:r>
          </w:p>
        </w:tc>
      </w:tr>
    </w:tbl>
    <w:p>
      <w:pPr>
        <w:spacing w:after="40"/>
      </w:pPr>
    </w:p>
    <w:p>
      <w:pPr>
        <w:pStyle w:val="Heading2"/>
        <w:keepNext/>
        <w:keepLines/>
      </w:pPr>
      <w:r>
        <w:t>5.4 Scoring model</w:t>
      </w:r>
    </w:p>
    <w:p>
      <w:pPr>
        <w:spacing w:after="120" w:line="264" w:lineRule="auto"/>
      </w:pPr>
      <w:r>
        <w:rPr>
          <w:rFonts w:ascii="Calibri" w:hAnsi="Calibri"/>
          <w:i w:val="0"/>
          <w:color w:val="111827"/>
          <w:sz w:val="22"/>
        </w:rPr>
        <w:t>Scores are decision aids, not facts. They must be reproducible, versioned, market-specific, and suppressed when minimum evidence is absent. The following formulas are initial planning proposals and should be calibrated with historical outcomes.</w:t>
      </w:r>
    </w:p>
    <w:tbl>
      <w:tblPr>
        <w:tblStyle w:val="TableGrid"/>
        <w:tblW w:type="dxa" w:w="9360"/>
        <w:tblLayout w:type="fixed"/>
        <w:tblLook w:firstColumn="1" w:firstRow="1" w:lastColumn="0" w:lastRow="0" w:noHBand="0" w:noVBand="1" w:val="04A0"/>
        <w:tblInd w:w="120" w:type="dxa"/>
      </w:tblPr>
      <w:tblGrid>
        <w:gridCol w:w="1650"/>
        <w:gridCol w:w="5600"/>
        <w:gridCol w:w="2110"/>
      </w:tblGrid>
      <w:tr>
        <w:trPr>
          <w:tblHeader w:val="true"/>
          <w:cantSplit/>
        </w:trPr>
        <w:tc>
          <w:tcPr>
            <w:tcW w:type="dxa" w:w="1650"/>
            <w:tcMar>
              <w:top w:w="80" w:type="dxa"/>
              <w:start w:w="120" w:type="dxa"/>
              <w:bottom w:w="80" w:type="dxa"/>
              <w:end w:w="120" w:type="dxa"/>
            </w:tcMar>
            <w:vAlign w:val="center"/>
            <w:shd w:fill="E8EEF5"/>
          </w:tcPr>
          <w:p>
            <w:pPr>
              <w:spacing w:after="0"/>
              <w:jc w:val="left"/>
            </w:pPr>
            <w:r>
              <w:rPr>
                <w:rFonts w:ascii="Calibri" w:hAnsi="Calibri"/>
                <w:b/>
                <w:color w:val="0B2545"/>
                <w:sz w:val="16"/>
              </w:rPr>
              <w:t>Score</w:t>
            </w:r>
          </w:p>
        </w:tc>
        <w:tc>
          <w:tcPr>
            <w:tcW w:type="dxa" w:w="5600"/>
            <w:tcMar>
              <w:top w:w="80" w:type="dxa"/>
              <w:start w:w="120" w:type="dxa"/>
              <w:bottom w:w="80" w:type="dxa"/>
              <w:end w:w="120" w:type="dxa"/>
            </w:tcMar>
            <w:vAlign w:val="center"/>
            <w:shd w:fill="E8EEF5"/>
          </w:tcPr>
          <w:p>
            <w:pPr>
              <w:spacing w:after="0"/>
              <w:jc w:val="left"/>
            </w:pPr>
            <w:r>
              <w:rPr>
                <w:rFonts w:ascii="Calibri" w:hAnsi="Calibri"/>
                <w:b/>
                <w:color w:val="0B2545"/>
                <w:sz w:val="16"/>
              </w:rPr>
              <w:t>Proposed formula</w:t>
            </w:r>
          </w:p>
        </w:tc>
        <w:tc>
          <w:tcPr>
            <w:tcW w:type="dxa" w:w="2110"/>
            <w:tcMar>
              <w:top w:w="80" w:type="dxa"/>
              <w:start w:w="120" w:type="dxa"/>
              <w:bottom w:w="80" w:type="dxa"/>
              <w:end w:w="120" w:type="dxa"/>
            </w:tcMar>
            <w:vAlign w:val="center"/>
            <w:shd w:fill="E8EEF5"/>
          </w:tcPr>
          <w:p>
            <w:pPr>
              <w:spacing w:after="0"/>
              <w:jc w:val="left"/>
            </w:pPr>
            <w:r>
              <w:rPr>
                <w:rFonts w:ascii="Calibri" w:hAnsi="Calibri"/>
                <w:b/>
                <w:color w:val="0B2545"/>
                <w:sz w:val="16"/>
              </w:rPr>
              <w:t>Minimum gate</w:t>
            </w:r>
          </w:p>
        </w:tc>
      </w:tr>
      <w:tr>
        <w:trPr>
          <w:cantSplit/>
        </w:trPr>
        <w:tc>
          <w:tcPr>
            <w:tcW w:type="dxa" w:w="1650"/>
            <w:tcMar>
              <w:top w:w="80" w:type="dxa"/>
              <w:start w:w="120" w:type="dxa"/>
              <w:bottom w:w="80" w:type="dxa"/>
              <w:end w:w="120" w:type="dxa"/>
            </w:tcMar>
            <w:vAlign w:val="center"/>
          </w:tcPr>
          <w:p>
            <w:pPr>
              <w:spacing w:after="0" w:line="252" w:lineRule="auto"/>
            </w:pPr>
            <w:r>
              <w:rPr>
                <w:rFonts w:ascii="Calibri" w:hAnsi="Calibri"/>
                <w:color w:val="111827"/>
                <w:sz w:val="16"/>
              </w:rPr>
              <w:t>Demand Momentum</w:t>
            </w:r>
          </w:p>
        </w:tc>
        <w:tc>
          <w:tcPr>
            <w:tcW w:type="dxa" w:w="5600"/>
            <w:tcMar>
              <w:top w:w="80" w:type="dxa"/>
              <w:start w:w="120" w:type="dxa"/>
              <w:bottom w:w="80" w:type="dxa"/>
              <w:end w:w="120" w:type="dxa"/>
            </w:tcMar>
            <w:vAlign w:val="center"/>
          </w:tcPr>
          <w:p>
            <w:pPr>
              <w:spacing w:after="0" w:line="252" w:lineRule="auto"/>
            </w:pPr>
            <w:r>
              <w:rPr>
                <w:rFonts w:ascii="Calibri" w:hAnsi="Calibri"/>
                <w:color w:val="111827"/>
                <w:sz w:val="16"/>
              </w:rPr>
              <w:t>35% search acceleration + 30% marketplace-rank improvement + 20% review velocity + 15% ad persistence</w:t>
            </w:r>
          </w:p>
        </w:tc>
        <w:tc>
          <w:tcPr>
            <w:tcW w:type="dxa" w:w="2110"/>
            <w:tcMar>
              <w:top w:w="80" w:type="dxa"/>
              <w:start w:w="120" w:type="dxa"/>
              <w:bottom w:w="80" w:type="dxa"/>
              <w:end w:w="120" w:type="dxa"/>
            </w:tcMar>
            <w:vAlign w:val="center"/>
          </w:tcPr>
          <w:p>
            <w:pPr>
              <w:spacing w:after="0" w:line="252" w:lineRule="auto"/>
            </w:pPr>
            <w:r>
              <w:rPr>
                <w:rFonts w:ascii="Calibri" w:hAnsi="Calibri"/>
                <w:color w:val="111827"/>
                <w:sz w:val="16"/>
              </w:rPr>
              <w:t>At least two independent signal families</w:t>
            </w:r>
          </w:p>
        </w:tc>
      </w:tr>
      <w:tr>
        <w:trPr>
          <w:cantSplit/>
        </w:trPr>
        <w:tc>
          <w:tcPr>
            <w:tcW w:type="dxa" w:w="1650"/>
            <w:tcMar>
              <w:top w:w="80" w:type="dxa"/>
              <w:start w:w="120" w:type="dxa"/>
              <w:bottom w:w="80" w:type="dxa"/>
              <w:end w:w="120" w:type="dxa"/>
            </w:tcMar>
            <w:vAlign w:val="center"/>
          </w:tcPr>
          <w:p>
            <w:pPr>
              <w:spacing w:after="0" w:line="252" w:lineRule="auto"/>
            </w:pPr>
            <w:r>
              <w:rPr>
                <w:rFonts w:ascii="Calibri" w:hAnsi="Calibri"/>
                <w:color w:val="111827"/>
                <w:sz w:val="16"/>
              </w:rPr>
              <w:t>Competition Headroom</w:t>
            </w:r>
          </w:p>
        </w:tc>
        <w:tc>
          <w:tcPr>
            <w:tcW w:type="dxa" w:w="5600"/>
            <w:tcMar>
              <w:top w:w="80" w:type="dxa"/>
              <w:start w:w="120" w:type="dxa"/>
              <w:bottom w:w="80" w:type="dxa"/>
              <w:end w:w="120" w:type="dxa"/>
            </w:tcMar>
            <w:vAlign w:val="center"/>
          </w:tcPr>
          <w:p>
            <w:pPr>
              <w:spacing w:after="0" w:line="252" w:lineRule="auto"/>
            </w:pPr>
            <w:r>
              <w:rPr>
                <w:rFonts w:ascii="Calibri" w:hAnsi="Calibri"/>
                <w:color w:val="111827"/>
                <w:sz w:val="16"/>
              </w:rPr>
              <w:t>35% price stability + 30% observed seller-entry inverse + 20% advertiser-density inverse + 15% listing-quality gap</w:t>
            </w:r>
          </w:p>
        </w:tc>
        <w:tc>
          <w:tcPr>
            <w:tcW w:type="dxa" w:w="2110"/>
            <w:tcMar>
              <w:top w:w="80" w:type="dxa"/>
              <w:start w:w="120" w:type="dxa"/>
              <w:bottom w:w="80" w:type="dxa"/>
              <w:end w:w="120" w:type="dxa"/>
            </w:tcMar>
            <w:vAlign w:val="center"/>
          </w:tcPr>
          <w:p>
            <w:pPr>
              <w:spacing w:after="0" w:line="252" w:lineRule="auto"/>
            </w:pPr>
            <w:r>
              <w:rPr>
                <w:rFonts w:ascii="Calibri" w:hAnsi="Calibri"/>
                <w:color w:val="111827"/>
                <w:sz w:val="16"/>
              </w:rPr>
              <w:t>Adequate marketplace coverage</w:t>
            </w:r>
          </w:p>
        </w:tc>
      </w:tr>
      <w:tr>
        <w:trPr>
          <w:cantSplit/>
        </w:trPr>
        <w:tc>
          <w:tcPr>
            <w:tcW w:type="dxa" w:w="1650"/>
            <w:tcMar>
              <w:top w:w="80" w:type="dxa"/>
              <w:start w:w="120" w:type="dxa"/>
              <w:bottom w:w="80" w:type="dxa"/>
              <w:end w:w="120" w:type="dxa"/>
            </w:tcMar>
            <w:vAlign w:val="center"/>
          </w:tcPr>
          <w:p>
            <w:pPr>
              <w:spacing w:after="0" w:line="252" w:lineRule="auto"/>
            </w:pPr>
            <w:r>
              <w:rPr>
                <w:rFonts w:ascii="Calibri" w:hAnsi="Calibri"/>
                <w:color w:val="111827"/>
                <w:sz w:val="16"/>
              </w:rPr>
              <w:t>Unit Economics</w:t>
            </w:r>
          </w:p>
        </w:tc>
        <w:tc>
          <w:tcPr>
            <w:tcW w:type="dxa" w:w="5600"/>
            <w:tcMar>
              <w:top w:w="80" w:type="dxa"/>
              <w:start w:w="120" w:type="dxa"/>
              <w:bottom w:w="80" w:type="dxa"/>
              <w:end w:w="120" w:type="dxa"/>
            </w:tcMar>
            <w:vAlign w:val="center"/>
          </w:tcPr>
          <w:p>
            <w:pPr>
              <w:spacing w:after="0" w:line="252" w:lineRule="auto"/>
            </w:pPr>
            <w:r>
              <w:rPr>
                <w:rFonts w:ascii="Calibri" w:hAnsi="Calibri"/>
                <w:color w:val="111827"/>
                <w:sz w:val="16"/>
              </w:rPr>
              <w:t>40% base contribution margin + 25% downside margin + 20% cash efficiency + 15% break-even CAC headroom</w:t>
            </w:r>
          </w:p>
        </w:tc>
        <w:tc>
          <w:tcPr>
            <w:tcW w:type="dxa" w:w="2110"/>
            <w:tcMar>
              <w:top w:w="80" w:type="dxa"/>
              <w:start w:w="120" w:type="dxa"/>
              <w:bottom w:w="80" w:type="dxa"/>
              <w:end w:w="120" w:type="dxa"/>
            </w:tcMar>
            <w:vAlign w:val="center"/>
          </w:tcPr>
          <w:p>
            <w:pPr>
              <w:spacing w:after="0" w:line="252" w:lineRule="auto"/>
            </w:pPr>
            <w:r>
              <w:rPr>
                <w:rFonts w:ascii="Calibri" w:hAnsi="Calibri"/>
                <w:color w:val="111827"/>
                <w:sz w:val="16"/>
              </w:rPr>
              <w:t>Editable quote, fees, freight, and target price</w:t>
            </w:r>
          </w:p>
        </w:tc>
      </w:tr>
      <w:tr>
        <w:trPr>
          <w:cantSplit/>
        </w:trPr>
        <w:tc>
          <w:tcPr>
            <w:tcW w:type="dxa" w:w="1650"/>
            <w:tcMar>
              <w:top w:w="80" w:type="dxa"/>
              <w:start w:w="120" w:type="dxa"/>
              <w:bottom w:w="80" w:type="dxa"/>
              <w:end w:w="120" w:type="dxa"/>
            </w:tcMar>
            <w:vAlign w:val="center"/>
          </w:tcPr>
          <w:p>
            <w:pPr>
              <w:spacing w:after="0" w:line="252" w:lineRule="auto"/>
            </w:pPr>
            <w:r>
              <w:rPr>
                <w:rFonts w:ascii="Calibri" w:hAnsi="Calibri"/>
                <w:color w:val="111827"/>
                <w:sz w:val="16"/>
              </w:rPr>
              <w:t>Local Market Fit</w:t>
            </w:r>
          </w:p>
        </w:tc>
        <w:tc>
          <w:tcPr>
            <w:tcW w:type="dxa" w:w="5600"/>
            <w:tcMar>
              <w:top w:w="80" w:type="dxa"/>
              <w:start w:w="120" w:type="dxa"/>
              <w:bottom w:w="80" w:type="dxa"/>
              <w:end w:w="120" w:type="dxa"/>
            </w:tcMar>
            <w:vAlign w:val="center"/>
          </w:tcPr>
          <w:p>
            <w:pPr>
              <w:spacing w:after="0" w:line="252" w:lineRule="auto"/>
            </w:pPr>
            <w:r>
              <w:rPr>
                <w:rFonts w:ascii="Calibri" w:hAnsi="Calibri"/>
                <w:color w:val="111827"/>
                <w:sz w:val="16"/>
              </w:rPr>
              <w:t>35% local interest + 25% affordability + 20% channel access + 20% regulatory/logistics readiness</w:t>
            </w:r>
          </w:p>
        </w:tc>
        <w:tc>
          <w:tcPr>
            <w:tcW w:type="dxa" w:w="2110"/>
            <w:tcMar>
              <w:top w:w="80" w:type="dxa"/>
              <w:start w:w="120" w:type="dxa"/>
              <w:bottom w:w="80" w:type="dxa"/>
              <w:end w:w="120" w:type="dxa"/>
            </w:tcMar>
            <w:vAlign w:val="center"/>
          </w:tcPr>
          <w:p>
            <w:pPr>
              <w:spacing w:after="0" w:line="252" w:lineRule="auto"/>
            </w:pPr>
            <w:r>
              <w:rPr>
                <w:rFonts w:ascii="Calibri" w:hAnsi="Calibri"/>
                <w:color w:val="111827"/>
                <w:sz w:val="16"/>
              </w:rPr>
              <w:t>Destination evidence</w:t>
            </w:r>
          </w:p>
        </w:tc>
      </w:tr>
      <w:tr>
        <w:trPr>
          <w:cantSplit/>
        </w:trPr>
        <w:tc>
          <w:tcPr>
            <w:tcW w:type="dxa" w:w="1650"/>
            <w:tcMar>
              <w:top w:w="80" w:type="dxa"/>
              <w:start w:w="120" w:type="dxa"/>
              <w:bottom w:w="80" w:type="dxa"/>
              <w:end w:w="120" w:type="dxa"/>
            </w:tcMar>
            <w:vAlign w:val="center"/>
          </w:tcPr>
          <w:p>
            <w:pPr>
              <w:spacing w:after="0" w:line="252" w:lineRule="auto"/>
            </w:pPr>
            <w:r>
              <w:rPr>
                <w:rFonts w:ascii="Calibri" w:hAnsi="Calibri"/>
                <w:color w:val="111827"/>
                <w:sz w:val="16"/>
              </w:rPr>
              <w:t>Evidence Confidence</w:t>
            </w:r>
          </w:p>
        </w:tc>
        <w:tc>
          <w:tcPr>
            <w:tcW w:type="dxa" w:w="5600"/>
            <w:tcMar>
              <w:top w:w="80" w:type="dxa"/>
              <w:start w:w="120" w:type="dxa"/>
              <w:bottom w:w="80" w:type="dxa"/>
              <w:end w:w="120" w:type="dxa"/>
            </w:tcMar>
            <w:vAlign w:val="center"/>
          </w:tcPr>
          <w:p>
            <w:pPr>
              <w:spacing w:after="0" w:line="252" w:lineRule="auto"/>
            </w:pPr>
            <w:r>
              <w:rPr>
                <w:rFonts w:ascii="Calibri" w:hAnsi="Calibri"/>
                <w:color w:val="111827"/>
                <w:sz w:val="16"/>
              </w:rPr>
              <w:t>30% recency + 30% source quality + 25% coverage + 15% cross-source agreement</w:t>
            </w:r>
          </w:p>
        </w:tc>
        <w:tc>
          <w:tcPr>
            <w:tcW w:type="dxa" w:w="2110"/>
            <w:tcMar>
              <w:top w:w="80" w:type="dxa"/>
              <w:start w:w="120" w:type="dxa"/>
              <w:bottom w:w="80" w:type="dxa"/>
              <w:end w:w="120" w:type="dxa"/>
            </w:tcMar>
            <w:vAlign w:val="center"/>
          </w:tcPr>
          <w:p>
            <w:pPr>
              <w:spacing w:after="0" w:line="252" w:lineRule="auto"/>
            </w:pPr>
            <w:r>
              <w:rPr>
                <w:rFonts w:ascii="Calibri" w:hAnsi="Calibri"/>
                <w:color w:val="111827"/>
                <w:sz w:val="16"/>
              </w:rPr>
              <w:t>Always calculated</w:t>
            </w:r>
          </w:p>
        </w:tc>
      </w:tr>
      <w:tr>
        <w:trPr>
          <w:cantSplit/>
        </w:trPr>
        <w:tc>
          <w:tcPr>
            <w:tcW w:type="dxa" w:w="1650"/>
            <w:tcMar>
              <w:top w:w="80" w:type="dxa"/>
              <w:start w:w="120" w:type="dxa"/>
              <w:bottom w:w="80" w:type="dxa"/>
              <w:end w:w="120" w:type="dxa"/>
            </w:tcMar>
            <w:vAlign w:val="center"/>
          </w:tcPr>
          <w:p>
            <w:pPr>
              <w:spacing w:after="0" w:line="252" w:lineRule="auto"/>
            </w:pPr>
            <w:r>
              <w:rPr>
                <w:rFonts w:ascii="Calibri" w:hAnsi="Calibri"/>
                <w:color w:val="111827"/>
                <w:sz w:val="16"/>
              </w:rPr>
              <w:t>Overall Opportunity</w:t>
            </w:r>
          </w:p>
        </w:tc>
        <w:tc>
          <w:tcPr>
            <w:tcW w:type="dxa" w:w="5600"/>
            <w:tcMar>
              <w:top w:w="80" w:type="dxa"/>
              <w:start w:w="120" w:type="dxa"/>
              <w:bottom w:w="80" w:type="dxa"/>
              <w:end w:w="120" w:type="dxa"/>
            </w:tcMar>
            <w:vAlign w:val="center"/>
          </w:tcPr>
          <w:p>
            <w:pPr>
              <w:spacing w:after="0" w:line="252" w:lineRule="auto"/>
            </w:pPr>
            <w:r>
              <w:rPr>
                <w:rFonts w:ascii="Calibri" w:hAnsi="Calibri"/>
                <w:color w:val="111827"/>
                <w:sz w:val="16"/>
              </w:rPr>
              <w:t>30% Demand + 20% Headroom + 25% Economics + 15% Local Fit + 10% Confidence - explicit risk penalties</w:t>
            </w:r>
          </w:p>
        </w:tc>
        <w:tc>
          <w:tcPr>
            <w:tcW w:type="dxa" w:w="2110"/>
            <w:tcMar>
              <w:top w:w="80" w:type="dxa"/>
              <w:start w:w="120" w:type="dxa"/>
              <w:bottom w:w="80" w:type="dxa"/>
              <w:end w:w="120" w:type="dxa"/>
            </w:tcMar>
            <w:vAlign w:val="center"/>
          </w:tcPr>
          <w:p>
            <w:pPr>
              <w:spacing w:after="0" w:line="252" w:lineRule="auto"/>
            </w:pPr>
            <w:r>
              <w:rPr>
                <w:rFonts w:ascii="Calibri" w:hAnsi="Calibri"/>
                <w:color w:val="111827"/>
                <w:sz w:val="16"/>
              </w:rPr>
              <w:t>All mandatory gates met</w:t>
            </w:r>
          </w:p>
        </w:tc>
      </w:tr>
    </w:tbl>
    <w:p>
      <w:pPr>
        <w:spacing w:after="60"/>
      </w:pPr>
    </w:p>
    <w:p>
      <w:pPr>
        <w:pStyle w:val="Heading2"/>
        <w:keepNext/>
        <w:keepLines/>
      </w:pPr>
      <w:r>
        <w:t>5.5 Decision thresholds</w:t>
      </w:r>
    </w:p>
    <w:tbl>
      <w:tblPr>
        <w:tblStyle w:val="TableGrid"/>
        <w:tblW w:type="dxa" w:w="9360"/>
        <w:tblLayout w:type="fixed"/>
        <w:tblLook w:firstColumn="1" w:firstRow="1" w:lastColumn="0" w:lastRow="0" w:noHBand="0" w:noVBand="1" w:val="04A0"/>
        <w:tblInd w:w="120" w:type="dxa"/>
      </w:tblPr>
      <w:tblGrid>
        <w:gridCol w:w="1700"/>
        <w:gridCol w:w="5200"/>
        <w:gridCol w:w="2460"/>
      </w:tblGrid>
      <w:tr>
        <w:trPr>
          <w:tblHeader w:val="true"/>
          <w:cantSplit/>
        </w:trPr>
        <w:tc>
          <w:tcPr>
            <w:tcW w:type="dxa" w:w="1700"/>
            <w:tcMar>
              <w:top w:w="80" w:type="dxa"/>
              <w:start w:w="120" w:type="dxa"/>
              <w:bottom w:w="80" w:type="dxa"/>
              <w:end w:w="120" w:type="dxa"/>
            </w:tcMar>
            <w:vAlign w:val="center"/>
            <w:shd w:fill="E8EEF5"/>
          </w:tcPr>
          <w:p>
            <w:pPr>
              <w:spacing w:after="0"/>
              <w:jc w:val="left"/>
            </w:pPr>
            <w:r>
              <w:rPr>
                <w:rFonts w:ascii="Calibri" w:hAnsi="Calibri"/>
                <w:b/>
                <w:color w:val="0B2545"/>
                <w:sz w:val="17"/>
              </w:rPr>
              <w:t>Decision</w:t>
            </w:r>
          </w:p>
        </w:tc>
        <w:tc>
          <w:tcPr>
            <w:tcW w:type="dxa" w:w="5200"/>
            <w:tcMar>
              <w:top w:w="80" w:type="dxa"/>
              <w:start w:w="120" w:type="dxa"/>
              <w:bottom w:w="80" w:type="dxa"/>
              <w:end w:w="120" w:type="dxa"/>
            </w:tcMar>
            <w:vAlign w:val="center"/>
            <w:shd w:fill="E8EEF5"/>
          </w:tcPr>
          <w:p>
            <w:pPr>
              <w:spacing w:after="0"/>
              <w:jc w:val="left"/>
            </w:pPr>
            <w:r>
              <w:rPr>
                <w:rFonts w:ascii="Calibri" w:hAnsi="Calibri"/>
                <w:b/>
                <w:color w:val="0B2545"/>
                <w:sz w:val="17"/>
              </w:rPr>
              <w:t>Initial planning rule</w:t>
            </w:r>
          </w:p>
        </w:tc>
        <w:tc>
          <w:tcPr>
            <w:tcW w:type="dxa" w:w="2460"/>
            <w:tcMar>
              <w:top w:w="80" w:type="dxa"/>
              <w:start w:w="120" w:type="dxa"/>
              <w:bottom w:w="80" w:type="dxa"/>
              <w:end w:w="120" w:type="dxa"/>
            </w:tcMar>
            <w:vAlign w:val="center"/>
            <w:shd w:fill="E8EEF5"/>
          </w:tcPr>
          <w:p>
            <w:pPr>
              <w:spacing w:after="0"/>
              <w:jc w:val="left"/>
            </w:pPr>
            <w:r>
              <w:rPr>
                <w:rFonts w:ascii="Calibri" w:hAnsi="Calibri"/>
                <w:b/>
                <w:color w:val="0B2545"/>
                <w:sz w:val="17"/>
              </w:rPr>
              <w:t>Meaning</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111827"/>
                <w:sz w:val="17"/>
              </w:rPr>
              <w:t>GO</w:t>
            </w:r>
          </w:p>
        </w:tc>
        <w:tc>
          <w:tcPr>
            <w:tcW w:type="dxa" w:w="5200"/>
            <w:tcMar>
              <w:top w:w="80" w:type="dxa"/>
              <w:start w:w="120" w:type="dxa"/>
              <w:bottom w:w="80" w:type="dxa"/>
              <w:end w:w="120" w:type="dxa"/>
            </w:tcMar>
            <w:vAlign w:val="center"/>
          </w:tcPr>
          <w:p>
            <w:pPr>
              <w:spacing w:after="0" w:line="252" w:lineRule="auto"/>
            </w:pPr>
            <w:r>
              <w:rPr>
                <w:rFonts w:ascii="Calibri" w:hAnsi="Calibri"/>
                <w:color w:val="111827"/>
                <w:sz w:val="17"/>
              </w:rPr>
              <w:t>Overall &gt;= 75; confidence &gt;= 70; base margin &gt;= 25%; downside margin &gt;= 10%; no unresolved prohibited status</w:t>
            </w:r>
          </w:p>
        </w:tc>
        <w:tc>
          <w:tcPr>
            <w:tcW w:type="dxa" w:w="2460"/>
            <w:tcMar>
              <w:top w:w="80" w:type="dxa"/>
              <w:start w:w="120" w:type="dxa"/>
              <w:bottom w:w="80" w:type="dxa"/>
              <w:end w:w="120" w:type="dxa"/>
            </w:tcMar>
            <w:vAlign w:val="center"/>
          </w:tcPr>
          <w:p>
            <w:pPr>
              <w:spacing w:after="0" w:line="252" w:lineRule="auto"/>
            </w:pPr>
            <w:r>
              <w:rPr>
                <w:rFonts w:ascii="Calibri" w:hAnsi="Calibri"/>
                <w:color w:val="111827"/>
                <w:sz w:val="17"/>
              </w:rPr>
              <w:t>Proceed to quote/sample/test with stated controls</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111827"/>
                <w:sz w:val="17"/>
              </w:rPr>
              <w:t>WATCH</w:t>
            </w:r>
          </w:p>
        </w:tc>
        <w:tc>
          <w:tcPr>
            <w:tcW w:type="dxa" w:w="5200"/>
            <w:tcMar>
              <w:top w:w="80" w:type="dxa"/>
              <w:start w:w="120" w:type="dxa"/>
              <w:bottom w:w="80" w:type="dxa"/>
              <w:end w:w="120" w:type="dxa"/>
            </w:tcMar>
            <w:vAlign w:val="center"/>
          </w:tcPr>
          <w:p>
            <w:pPr>
              <w:spacing w:after="0" w:line="252" w:lineRule="auto"/>
            </w:pPr>
            <w:r>
              <w:rPr>
                <w:rFonts w:ascii="Calibri" w:hAnsi="Calibri"/>
                <w:color w:val="111827"/>
                <w:sz w:val="17"/>
              </w:rPr>
              <w:t>Overall 55-74, confidence 40-69, or one material unresolved input</w:t>
            </w:r>
          </w:p>
        </w:tc>
        <w:tc>
          <w:tcPr>
            <w:tcW w:type="dxa" w:w="2460"/>
            <w:tcMar>
              <w:top w:w="80" w:type="dxa"/>
              <w:start w:w="120" w:type="dxa"/>
              <w:bottom w:w="80" w:type="dxa"/>
              <w:end w:w="120" w:type="dxa"/>
            </w:tcMar>
            <w:vAlign w:val="center"/>
          </w:tcPr>
          <w:p>
            <w:pPr>
              <w:spacing w:after="0" w:line="252" w:lineRule="auto"/>
            </w:pPr>
            <w:r>
              <w:rPr>
                <w:rFonts w:ascii="Calibri" w:hAnsi="Calibri"/>
                <w:color w:val="111827"/>
                <w:sz w:val="17"/>
              </w:rPr>
              <w:t>Collect named evidence or wait for threshold</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111827"/>
                <w:sz w:val="17"/>
              </w:rPr>
              <w:t>NO-GO</w:t>
            </w:r>
          </w:p>
        </w:tc>
        <w:tc>
          <w:tcPr>
            <w:tcW w:type="dxa" w:w="5200"/>
            <w:tcMar>
              <w:top w:w="80" w:type="dxa"/>
              <w:start w:w="120" w:type="dxa"/>
              <w:bottom w:w="80" w:type="dxa"/>
              <w:end w:w="120" w:type="dxa"/>
            </w:tcMar>
            <w:vAlign w:val="center"/>
          </w:tcPr>
          <w:p>
            <w:pPr>
              <w:spacing w:after="0" w:line="252" w:lineRule="auto"/>
            </w:pPr>
            <w:r>
              <w:rPr>
                <w:rFonts w:ascii="Calibri" w:hAnsi="Calibri"/>
                <w:color w:val="111827"/>
                <w:sz w:val="17"/>
              </w:rPr>
              <w:t>Overall &lt; 55, base margin &lt; 15%, prohibited/restricted gate fails, or downside exceeds user risk limit</w:t>
            </w:r>
          </w:p>
        </w:tc>
        <w:tc>
          <w:tcPr>
            <w:tcW w:type="dxa" w:w="2460"/>
            <w:tcMar>
              <w:top w:w="80" w:type="dxa"/>
              <w:start w:w="120" w:type="dxa"/>
              <w:bottom w:w="80" w:type="dxa"/>
              <w:end w:w="120" w:type="dxa"/>
            </w:tcMar>
            <w:vAlign w:val="center"/>
          </w:tcPr>
          <w:p>
            <w:pPr>
              <w:spacing w:after="0" w:line="252" w:lineRule="auto"/>
            </w:pPr>
            <w:r>
              <w:rPr>
                <w:rFonts w:ascii="Calibri" w:hAnsi="Calibri"/>
                <w:color w:val="111827"/>
                <w:sz w:val="17"/>
              </w:rPr>
              <w:t>Do not commit inventory under current assumptions</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color w:val="111827"/>
                <w:sz w:val="17"/>
              </w:rPr>
              <w:t>INSUFFICIENT EVIDENCE</w:t>
            </w:r>
          </w:p>
        </w:tc>
        <w:tc>
          <w:tcPr>
            <w:tcW w:type="dxa" w:w="5200"/>
            <w:tcMar>
              <w:top w:w="80" w:type="dxa"/>
              <w:start w:w="120" w:type="dxa"/>
              <w:bottom w:w="80" w:type="dxa"/>
              <w:end w:w="120" w:type="dxa"/>
            </w:tcMar>
            <w:vAlign w:val="center"/>
          </w:tcPr>
          <w:p>
            <w:pPr>
              <w:spacing w:after="0" w:line="252" w:lineRule="auto"/>
            </w:pPr>
            <w:r>
              <w:rPr>
                <w:rFonts w:ascii="Calibri" w:hAnsi="Calibri"/>
                <w:color w:val="111827"/>
                <w:sz w:val="17"/>
              </w:rPr>
              <w:t>Confidence &lt; 40 or required market coverage missing</w:t>
            </w:r>
          </w:p>
        </w:tc>
        <w:tc>
          <w:tcPr>
            <w:tcW w:type="dxa" w:w="2460"/>
            <w:tcMar>
              <w:top w:w="80" w:type="dxa"/>
              <w:start w:w="120" w:type="dxa"/>
              <w:bottom w:w="80" w:type="dxa"/>
              <w:end w:w="120" w:type="dxa"/>
            </w:tcMar>
            <w:vAlign w:val="center"/>
          </w:tcPr>
          <w:p>
            <w:pPr>
              <w:spacing w:after="0" w:line="252" w:lineRule="auto"/>
            </w:pPr>
            <w:r>
              <w:rPr>
                <w:rFonts w:ascii="Calibri" w:hAnsi="Calibri"/>
                <w:color w:val="111827"/>
                <w:sz w:val="17"/>
              </w:rPr>
              <w:t>TrendSell refuses to pretend it knows</w:t>
            </w:r>
          </w:p>
        </w:tc>
      </w:tr>
    </w:tbl>
    <w:p>
      <w:pPr>
        <w:spacing w:after="60"/>
      </w:pPr>
    </w:p>
    <w:p>
      <w:pPr>
        <w:pStyle w:val="Heading2"/>
        <w:keepNext/>
        <w:keepLines/>
      </w:pPr>
      <w:r>
        <w:t>5.6 Worked illustrative example</w:t>
      </w:r>
    </w:p>
    <w:tbl>
      <w:tblPr>
        <w:tblStyle w:val="TableGrid"/>
        <w:tblW w:type="dxa" w:w="9360"/>
        <w:tblLayout w:type="fixed"/>
        <w:tblLook w:firstColumn="1" w:firstRow="1" w:lastColumn="0" w:lastRow="0" w:noHBand="0" w:noVBand="1" w:val="04A0"/>
        <w:tblInd w:w="120" w:type="dxa"/>
      </w:tblPr>
      <w:tblGrid>
        <w:gridCol w:w="2250"/>
        <w:gridCol w:w="2050"/>
        <w:gridCol w:w="5060"/>
      </w:tblGrid>
      <w:tr>
        <w:trPr>
          <w:tblHeader w:val="true"/>
          <w:cantSplit/>
        </w:trPr>
        <w:tc>
          <w:tcPr>
            <w:tcW w:type="dxa" w:w="2250"/>
            <w:tcMar>
              <w:top w:w="80" w:type="dxa"/>
              <w:start w:w="120" w:type="dxa"/>
              <w:bottom w:w="80" w:type="dxa"/>
              <w:end w:w="120" w:type="dxa"/>
            </w:tcMar>
            <w:vAlign w:val="center"/>
            <w:shd w:fill="FFF7E6"/>
          </w:tcPr>
          <w:p>
            <w:pPr>
              <w:spacing w:after="0"/>
              <w:jc w:val="left"/>
            </w:pPr>
            <w:r>
              <w:rPr>
                <w:rFonts w:ascii="Calibri" w:hAnsi="Calibri"/>
                <w:b/>
                <w:color w:val="0B2545"/>
                <w:sz w:val="17"/>
              </w:rPr>
              <w:t>Input/output</w:t>
            </w:r>
          </w:p>
        </w:tc>
        <w:tc>
          <w:tcPr>
            <w:tcW w:type="dxa" w:w="2050"/>
            <w:tcMar>
              <w:top w:w="80" w:type="dxa"/>
              <w:start w:w="120" w:type="dxa"/>
              <w:bottom w:w="80" w:type="dxa"/>
              <w:end w:w="120" w:type="dxa"/>
            </w:tcMar>
            <w:vAlign w:val="center"/>
            <w:shd w:fill="FFF7E6"/>
          </w:tcPr>
          <w:p>
            <w:pPr>
              <w:spacing w:after="0"/>
              <w:jc w:val="left"/>
            </w:pPr>
            <w:r>
              <w:rPr>
                <w:rFonts w:ascii="Calibri" w:hAnsi="Calibri"/>
                <w:b/>
                <w:color w:val="0B2545"/>
                <w:sz w:val="17"/>
              </w:rPr>
              <w:t>Illustrative value</w:t>
            </w:r>
          </w:p>
        </w:tc>
        <w:tc>
          <w:tcPr>
            <w:tcW w:type="dxa" w:w="5060"/>
            <w:tcMar>
              <w:top w:w="80" w:type="dxa"/>
              <w:start w:w="120" w:type="dxa"/>
              <w:bottom w:w="80" w:type="dxa"/>
              <w:end w:w="120" w:type="dxa"/>
            </w:tcMar>
            <w:vAlign w:val="center"/>
            <w:shd w:fill="FFF7E6"/>
          </w:tcPr>
          <w:p>
            <w:pPr>
              <w:spacing w:after="0"/>
              <w:jc w:val="left"/>
            </w:pPr>
            <w:r>
              <w:rPr>
                <w:rFonts w:ascii="Calibri" w:hAnsi="Calibri"/>
                <w:b/>
                <w:color w:val="0B2545"/>
                <w:sz w:val="17"/>
              </w:rPr>
              <w:t>Truth label</w:t>
            </w:r>
          </w:p>
        </w:tc>
      </w:tr>
      <w:tr>
        <w:trPr>
          <w:cantSplit/>
        </w:trPr>
        <w:tc>
          <w:tcPr>
            <w:tcW w:type="dxa" w:w="2250"/>
            <w:tcMar>
              <w:top w:w="80" w:type="dxa"/>
              <w:start w:w="120" w:type="dxa"/>
              <w:bottom w:w="80" w:type="dxa"/>
              <w:end w:w="120" w:type="dxa"/>
            </w:tcMar>
            <w:vAlign w:val="center"/>
          </w:tcPr>
          <w:p>
            <w:pPr>
              <w:spacing w:after="0" w:line="252" w:lineRule="auto"/>
            </w:pPr>
            <w:r>
              <w:rPr>
                <w:rFonts w:ascii="Calibri" w:hAnsi="Calibri"/>
                <w:color w:val="111827"/>
                <w:sz w:val="17"/>
              </w:rPr>
              <w:t>Supplier quote</w:t>
            </w:r>
          </w:p>
        </w:tc>
        <w:tc>
          <w:tcPr>
            <w:tcW w:type="dxa" w:w="2050"/>
            <w:tcMar>
              <w:top w:w="80" w:type="dxa"/>
              <w:start w:w="120" w:type="dxa"/>
              <w:bottom w:w="80" w:type="dxa"/>
              <w:end w:w="120" w:type="dxa"/>
            </w:tcMar>
            <w:vAlign w:val="center"/>
          </w:tcPr>
          <w:p>
            <w:pPr>
              <w:spacing w:after="0" w:line="252" w:lineRule="auto"/>
            </w:pPr>
            <w:r>
              <w:rPr>
                <w:rFonts w:ascii="Calibri" w:hAnsi="Calibri"/>
                <w:color w:val="111827"/>
                <w:sz w:val="17"/>
              </w:rPr>
              <w:t>$8.40 per unit</w:t>
            </w:r>
          </w:p>
        </w:tc>
        <w:tc>
          <w:tcPr>
            <w:tcW w:type="dxa" w:w="5060"/>
            <w:tcMar>
              <w:top w:w="80" w:type="dxa"/>
              <w:start w:w="120" w:type="dxa"/>
              <w:bottom w:w="80" w:type="dxa"/>
              <w:end w:w="120" w:type="dxa"/>
            </w:tcMar>
            <w:vAlign w:val="center"/>
          </w:tcPr>
          <w:p>
            <w:pPr>
              <w:spacing w:after="0" w:line="252" w:lineRule="auto"/>
            </w:pPr>
            <w:r>
              <w:rPr>
                <w:rFonts w:ascii="Calibri" w:hAnsi="Calibri"/>
                <w:color w:val="111827"/>
                <w:sz w:val="17"/>
              </w:rPr>
              <w:t>User-provided quote</w:t>
            </w:r>
          </w:p>
        </w:tc>
      </w:tr>
      <w:tr>
        <w:trPr>
          <w:cantSplit/>
        </w:trPr>
        <w:tc>
          <w:tcPr>
            <w:tcW w:type="dxa" w:w="2250"/>
            <w:tcMar>
              <w:top w:w="80" w:type="dxa"/>
              <w:start w:w="120" w:type="dxa"/>
              <w:bottom w:w="80" w:type="dxa"/>
              <w:end w:w="120" w:type="dxa"/>
            </w:tcMar>
            <w:vAlign w:val="center"/>
          </w:tcPr>
          <w:p>
            <w:pPr>
              <w:spacing w:after="0" w:line="252" w:lineRule="auto"/>
            </w:pPr>
            <w:r>
              <w:rPr>
                <w:rFonts w:ascii="Calibri" w:hAnsi="Calibri"/>
                <w:color w:val="111827"/>
                <w:sz w:val="17"/>
              </w:rPr>
              <w:t>Order quantity</w:t>
            </w:r>
          </w:p>
        </w:tc>
        <w:tc>
          <w:tcPr>
            <w:tcW w:type="dxa" w:w="2050"/>
            <w:tcMar>
              <w:top w:w="80" w:type="dxa"/>
              <w:start w:w="120" w:type="dxa"/>
              <w:bottom w:w="80" w:type="dxa"/>
              <w:end w:w="120" w:type="dxa"/>
            </w:tcMar>
            <w:vAlign w:val="center"/>
          </w:tcPr>
          <w:p>
            <w:pPr>
              <w:spacing w:after="0" w:line="252" w:lineRule="auto"/>
            </w:pPr>
            <w:r>
              <w:rPr>
                <w:rFonts w:ascii="Calibri" w:hAnsi="Calibri"/>
                <w:color w:val="111827"/>
                <w:sz w:val="17"/>
              </w:rPr>
              <w:t>300 units</w:t>
            </w:r>
          </w:p>
        </w:tc>
        <w:tc>
          <w:tcPr>
            <w:tcW w:type="dxa" w:w="5060"/>
            <w:tcMar>
              <w:top w:w="80" w:type="dxa"/>
              <w:start w:w="120" w:type="dxa"/>
              <w:bottom w:w="80" w:type="dxa"/>
              <w:end w:w="120" w:type="dxa"/>
            </w:tcMar>
            <w:vAlign w:val="center"/>
          </w:tcPr>
          <w:p>
            <w:pPr>
              <w:spacing w:after="0" w:line="252" w:lineRule="auto"/>
            </w:pPr>
            <w:r>
              <w:rPr>
                <w:rFonts w:ascii="Calibri" w:hAnsi="Calibri"/>
                <w:color w:val="111827"/>
                <w:sz w:val="17"/>
              </w:rPr>
              <w:t>User input</w:t>
            </w:r>
          </w:p>
        </w:tc>
      </w:tr>
      <w:tr>
        <w:trPr>
          <w:cantSplit/>
        </w:trPr>
        <w:tc>
          <w:tcPr>
            <w:tcW w:type="dxa" w:w="2250"/>
            <w:tcMar>
              <w:top w:w="80" w:type="dxa"/>
              <w:start w:w="120" w:type="dxa"/>
              <w:bottom w:w="80" w:type="dxa"/>
              <w:end w:w="120" w:type="dxa"/>
            </w:tcMar>
            <w:vAlign w:val="center"/>
          </w:tcPr>
          <w:p>
            <w:pPr>
              <w:spacing w:after="0" w:line="252" w:lineRule="auto"/>
            </w:pPr>
            <w:r>
              <w:rPr>
                <w:rFonts w:ascii="Calibri" w:hAnsi="Calibri"/>
                <w:color w:val="111827"/>
                <w:sz w:val="17"/>
              </w:rPr>
              <w:t>Freight + import allocation</w:t>
            </w:r>
          </w:p>
        </w:tc>
        <w:tc>
          <w:tcPr>
            <w:tcW w:type="dxa" w:w="2050"/>
            <w:tcMar>
              <w:top w:w="80" w:type="dxa"/>
              <w:start w:w="120" w:type="dxa"/>
              <w:bottom w:w="80" w:type="dxa"/>
              <w:end w:w="120" w:type="dxa"/>
            </w:tcMar>
            <w:vAlign w:val="center"/>
          </w:tcPr>
          <w:p>
            <w:pPr>
              <w:spacing w:after="0" w:line="252" w:lineRule="auto"/>
            </w:pPr>
            <w:r>
              <w:rPr>
                <w:rFonts w:ascii="Calibri" w:hAnsi="Calibri"/>
                <w:color w:val="111827"/>
                <w:sz w:val="17"/>
              </w:rPr>
              <w:t>$4.10 per unit</w:t>
            </w:r>
          </w:p>
        </w:tc>
        <w:tc>
          <w:tcPr>
            <w:tcW w:type="dxa" w:w="5060"/>
            <w:tcMar>
              <w:top w:w="80" w:type="dxa"/>
              <w:start w:w="120" w:type="dxa"/>
              <w:bottom w:w="80" w:type="dxa"/>
              <w:end w:w="120" w:type="dxa"/>
            </w:tcMar>
            <w:vAlign w:val="center"/>
          </w:tcPr>
          <w:p>
            <w:pPr>
              <w:spacing w:after="0" w:line="252" w:lineRule="auto"/>
            </w:pPr>
            <w:r>
              <w:rPr>
                <w:rFonts w:ascii="Calibri" w:hAnsi="Calibri"/>
                <w:color w:val="111827"/>
                <w:sz w:val="17"/>
              </w:rPr>
              <w:t>Calculated from a dated quote and tariff inputs</w:t>
            </w:r>
          </w:p>
        </w:tc>
      </w:tr>
      <w:tr>
        <w:trPr>
          <w:cantSplit/>
        </w:trPr>
        <w:tc>
          <w:tcPr>
            <w:tcW w:type="dxa" w:w="2250"/>
            <w:tcMar>
              <w:top w:w="80" w:type="dxa"/>
              <w:start w:w="120" w:type="dxa"/>
              <w:bottom w:w="80" w:type="dxa"/>
              <w:end w:w="120" w:type="dxa"/>
            </w:tcMar>
            <w:vAlign w:val="center"/>
          </w:tcPr>
          <w:p>
            <w:pPr>
              <w:spacing w:after="0" w:line="252" w:lineRule="auto"/>
            </w:pPr>
            <w:r>
              <w:rPr>
                <w:rFonts w:ascii="Calibri" w:hAnsi="Calibri"/>
                <w:color w:val="111827"/>
                <w:sz w:val="17"/>
              </w:rPr>
              <w:t>Channel/payment/returns</w:t>
            </w:r>
          </w:p>
        </w:tc>
        <w:tc>
          <w:tcPr>
            <w:tcW w:type="dxa" w:w="2050"/>
            <w:tcMar>
              <w:top w:w="80" w:type="dxa"/>
              <w:start w:w="120" w:type="dxa"/>
              <w:bottom w:w="80" w:type="dxa"/>
              <w:end w:w="120" w:type="dxa"/>
            </w:tcMar>
            <w:vAlign w:val="center"/>
          </w:tcPr>
          <w:p>
            <w:pPr>
              <w:spacing w:after="0" w:line="252" w:lineRule="auto"/>
            </w:pPr>
            <w:r>
              <w:rPr>
                <w:rFonts w:ascii="Calibri" w:hAnsi="Calibri"/>
                <w:color w:val="111827"/>
                <w:sz w:val="17"/>
              </w:rPr>
              <w:t>$6.30 per unit</w:t>
            </w:r>
          </w:p>
        </w:tc>
        <w:tc>
          <w:tcPr>
            <w:tcW w:type="dxa" w:w="5060"/>
            <w:tcMar>
              <w:top w:w="80" w:type="dxa"/>
              <w:start w:w="120" w:type="dxa"/>
              <w:bottom w:w="80" w:type="dxa"/>
              <w:end w:w="120" w:type="dxa"/>
            </w:tcMar>
            <w:vAlign w:val="center"/>
          </w:tcPr>
          <w:p>
            <w:pPr>
              <w:spacing w:after="0" w:line="252" w:lineRule="auto"/>
            </w:pPr>
            <w:r>
              <w:rPr>
                <w:rFonts w:ascii="Calibri" w:hAnsi="Calibri"/>
                <w:color w:val="111827"/>
                <w:sz w:val="17"/>
              </w:rPr>
              <w:t>Calculated scenario</w:t>
            </w:r>
          </w:p>
        </w:tc>
      </w:tr>
      <w:tr>
        <w:trPr>
          <w:cantSplit/>
        </w:trPr>
        <w:tc>
          <w:tcPr>
            <w:tcW w:type="dxa" w:w="2250"/>
            <w:tcMar>
              <w:top w:w="80" w:type="dxa"/>
              <w:start w:w="120" w:type="dxa"/>
              <w:bottom w:w="80" w:type="dxa"/>
              <w:end w:w="120" w:type="dxa"/>
            </w:tcMar>
            <w:vAlign w:val="center"/>
          </w:tcPr>
          <w:p>
            <w:pPr>
              <w:spacing w:after="0" w:line="252" w:lineRule="auto"/>
            </w:pPr>
            <w:r>
              <w:rPr>
                <w:rFonts w:ascii="Calibri" w:hAnsi="Calibri"/>
                <w:color w:val="111827"/>
                <w:sz w:val="17"/>
              </w:rPr>
              <w:t>Target selling price</w:t>
            </w:r>
          </w:p>
        </w:tc>
        <w:tc>
          <w:tcPr>
            <w:tcW w:type="dxa" w:w="2050"/>
            <w:tcMar>
              <w:top w:w="80" w:type="dxa"/>
              <w:start w:w="120" w:type="dxa"/>
              <w:bottom w:w="80" w:type="dxa"/>
              <w:end w:w="120" w:type="dxa"/>
            </w:tcMar>
            <w:vAlign w:val="center"/>
          </w:tcPr>
          <w:p>
            <w:pPr>
              <w:spacing w:after="0" w:line="252" w:lineRule="auto"/>
            </w:pPr>
            <w:r>
              <w:rPr>
                <w:rFonts w:ascii="Calibri" w:hAnsi="Calibri"/>
                <w:color w:val="111827"/>
                <w:sz w:val="17"/>
              </w:rPr>
              <w:t>$31.00 equivalent</w:t>
            </w:r>
          </w:p>
        </w:tc>
        <w:tc>
          <w:tcPr>
            <w:tcW w:type="dxa" w:w="5060"/>
            <w:tcMar>
              <w:top w:w="80" w:type="dxa"/>
              <w:start w:w="120" w:type="dxa"/>
              <w:bottom w:w="80" w:type="dxa"/>
              <w:end w:w="120" w:type="dxa"/>
            </w:tcMar>
            <w:vAlign w:val="center"/>
          </w:tcPr>
          <w:p>
            <w:pPr>
              <w:spacing w:after="0" w:line="252" w:lineRule="auto"/>
            </w:pPr>
            <w:r>
              <w:rPr>
                <w:rFonts w:ascii="Calibri" w:hAnsi="Calibri"/>
                <w:color w:val="111827"/>
                <w:sz w:val="17"/>
              </w:rPr>
              <w:t>User input</w:t>
            </w:r>
          </w:p>
        </w:tc>
      </w:tr>
      <w:tr>
        <w:trPr>
          <w:cantSplit/>
        </w:trPr>
        <w:tc>
          <w:tcPr>
            <w:tcW w:type="dxa" w:w="2250"/>
            <w:tcMar>
              <w:top w:w="80" w:type="dxa"/>
              <w:start w:w="120" w:type="dxa"/>
              <w:bottom w:w="80" w:type="dxa"/>
              <w:end w:w="120" w:type="dxa"/>
            </w:tcMar>
            <w:vAlign w:val="center"/>
          </w:tcPr>
          <w:p>
            <w:pPr>
              <w:spacing w:after="0" w:line="252" w:lineRule="auto"/>
            </w:pPr>
            <w:r>
              <w:rPr>
                <w:rFonts w:ascii="Calibri" w:hAnsi="Calibri"/>
                <w:color w:val="111827"/>
                <w:sz w:val="17"/>
              </w:rPr>
              <w:t>Base contribution</w:t>
            </w:r>
          </w:p>
        </w:tc>
        <w:tc>
          <w:tcPr>
            <w:tcW w:type="dxa" w:w="2050"/>
            <w:tcMar>
              <w:top w:w="80" w:type="dxa"/>
              <w:start w:w="120" w:type="dxa"/>
              <w:bottom w:w="80" w:type="dxa"/>
              <w:end w:w="120" w:type="dxa"/>
            </w:tcMar>
            <w:vAlign w:val="center"/>
          </w:tcPr>
          <w:p>
            <w:pPr>
              <w:spacing w:after="0" w:line="252" w:lineRule="auto"/>
            </w:pPr>
            <w:r>
              <w:rPr>
                <w:rFonts w:ascii="Calibri" w:hAnsi="Calibri"/>
                <w:color w:val="111827"/>
                <w:sz w:val="17"/>
              </w:rPr>
              <w:t>$12.20 / 39.4%</w:t>
            </w:r>
          </w:p>
        </w:tc>
        <w:tc>
          <w:tcPr>
            <w:tcW w:type="dxa" w:w="5060"/>
            <w:tcMar>
              <w:top w:w="80" w:type="dxa"/>
              <w:start w:w="120" w:type="dxa"/>
              <w:bottom w:w="80" w:type="dxa"/>
              <w:end w:w="120" w:type="dxa"/>
            </w:tcMar>
            <w:vAlign w:val="center"/>
          </w:tcPr>
          <w:p>
            <w:pPr>
              <w:spacing w:after="0" w:line="252" w:lineRule="auto"/>
            </w:pPr>
            <w:r>
              <w:rPr>
                <w:rFonts w:ascii="Calibri" w:hAnsi="Calibri"/>
                <w:color w:val="111827"/>
                <w:sz w:val="17"/>
              </w:rPr>
              <w:t>Calculated; before fixed overhead and tax</w:t>
            </w:r>
          </w:p>
        </w:tc>
      </w:tr>
      <w:tr>
        <w:trPr>
          <w:cantSplit/>
        </w:trPr>
        <w:tc>
          <w:tcPr>
            <w:tcW w:type="dxa" w:w="2250"/>
            <w:tcMar>
              <w:top w:w="80" w:type="dxa"/>
              <w:start w:w="120" w:type="dxa"/>
              <w:bottom w:w="80" w:type="dxa"/>
              <w:end w:w="120" w:type="dxa"/>
            </w:tcMar>
            <w:vAlign w:val="center"/>
          </w:tcPr>
          <w:p>
            <w:pPr>
              <w:spacing w:after="0" w:line="252" w:lineRule="auto"/>
            </w:pPr>
            <w:r>
              <w:rPr>
                <w:rFonts w:ascii="Calibri" w:hAnsi="Calibri"/>
                <w:color w:val="111827"/>
                <w:sz w:val="17"/>
              </w:rPr>
              <w:t>Evidence confidence</w:t>
            </w:r>
          </w:p>
        </w:tc>
        <w:tc>
          <w:tcPr>
            <w:tcW w:type="dxa" w:w="2050"/>
            <w:tcMar>
              <w:top w:w="80" w:type="dxa"/>
              <w:start w:w="120" w:type="dxa"/>
              <w:bottom w:w="80" w:type="dxa"/>
              <w:end w:w="120" w:type="dxa"/>
            </w:tcMar>
            <w:vAlign w:val="center"/>
          </w:tcPr>
          <w:p>
            <w:pPr>
              <w:spacing w:after="0" w:line="252" w:lineRule="auto"/>
            </w:pPr>
            <w:r>
              <w:rPr>
                <w:rFonts w:ascii="Calibri" w:hAnsi="Calibri"/>
                <w:color w:val="111827"/>
                <w:sz w:val="17"/>
              </w:rPr>
              <w:t>64/100</w:t>
            </w:r>
          </w:p>
        </w:tc>
        <w:tc>
          <w:tcPr>
            <w:tcW w:type="dxa" w:w="5060"/>
            <w:tcMar>
              <w:top w:w="80" w:type="dxa"/>
              <w:start w:w="120" w:type="dxa"/>
              <w:bottom w:w="80" w:type="dxa"/>
              <w:end w:w="120" w:type="dxa"/>
            </w:tcMar>
            <w:vAlign w:val="center"/>
          </w:tcPr>
          <w:p>
            <w:pPr>
              <w:spacing w:after="0" w:line="252" w:lineRule="auto"/>
            </w:pPr>
            <w:r>
              <w:rPr>
                <w:rFonts w:ascii="Calibri" w:hAnsi="Calibri"/>
                <w:color w:val="111827"/>
                <w:sz w:val="17"/>
              </w:rPr>
              <w:t>One compliance document unresolved</w:t>
            </w:r>
          </w:p>
        </w:tc>
      </w:tr>
      <w:tr>
        <w:trPr>
          <w:cantSplit/>
        </w:trPr>
        <w:tc>
          <w:tcPr>
            <w:tcW w:type="dxa" w:w="2250"/>
            <w:tcMar>
              <w:top w:w="80" w:type="dxa"/>
              <w:start w:w="120" w:type="dxa"/>
              <w:bottom w:w="80" w:type="dxa"/>
              <w:end w:w="120" w:type="dxa"/>
            </w:tcMar>
            <w:vAlign w:val="center"/>
          </w:tcPr>
          <w:p>
            <w:pPr>
              <w:spacing w:after="0" w:line="252" w:lineRule="auto"/>
            </w:pPr>
            <w:r>
              <w:rPr>
                <w:rFonts w:ascii="Calibri" w:hAnsi="Calibri"/>
                <w:color w:val="111827"/>
                <w:sz w:val="17"/>
              </w:rPr>
              <w:t>Decision</w:t>
            </w:r>
          </w:p>
        </w:tc>
        <w:tc>
          <w:tcPr>
            <w:tcW w:type="dxa" w:w="2050"/>
            <w:tcMar>
              <w:top w:w="80" w:type="dxa"/>
              <w:start w:w="120" w:type="dxa"/>
              <w:bottom w:w="80" w:type="dxa"/>
              <w:end w:w="120" w:type="dxa"/>
            </w:tcMar>
            <w:vAlign w:val="center"/>
          </w:tcPr>
          <w:p>
            <w:pPr>
              <w:spacing w:after="0" w:line="252" w:lineRule="auto"/>
            </w:pPr>
            <w:r>
              <w:rPr>
                <w:rFonts w:ascii="Calibri" w:hAnsi="Calibri"/>
                <w:color w:val="111827"/>
                <w:sz w:val="17"/>
              </w:rPr>
              <w:t>WATCH</w:t>
            </w:r>
          </w:p>
        </w:tc>
        <w:tc>
          <w:tcPr>
            <w:tcW w:type="dxa" w:w="5060"/>
            <w:tcMar>
              <w:top w:w="80" w:type="dxa"/>
              <w:start w:w="120" w:type="dxa"/>
              <w:bottom w:w="80" w:type="dxa"/>
              <w:end w:w="120" w:type="dxa"/>
            </w:tcMar>
            <w:vAlign w:val="center"/>
          </w:tcPr>
          <w:p>
            <w:pPr>
              <w:spacing w:after="0" w:line="252" w:lineRule="auto"/>
            </w:pPr>
            <w:r>
              <w:rPr>
                <w:rFonts w:ascii="Calibri" w:hAnsi="Calibri"/>
                <w:color w:val="111827"/>
                <w:sz w:val="17"/>
              </w:rPr>
              <w:t>Economics are attractive, but the confidence gate blocks GO</w:t>
            </w:r>
          </w:p>
        </w:tc>
      </w:tr>
    </w:tbl>
    <w:p>
      <w:pPr>
        <w:spacing w:after="60"/>
      </w:pPr>
    </w:p>
    <w:p>
      <w:pPr>
        <w:spacing w:after="120" w:line="264" w:lineRule="auto"/>
      </w:pPr>
      <w:r>
        <w:rPr>
          <w:rFonts w:ascii="Calibri" w:hAnsi="Calibri"/>
          <w:i/>
          <w:color w:val="9A6700"/>
          <w:sz w:val="22"/>
        </w:rPr>
        <w:t>The numbers above are deliberately illustrative. The production application must never display them for a real product unless the user or a named source supplied the inputs.</w:t>
      </w:r>
    </w:p>
    <w:p>
      <w:pPr>
        <w:pStyle w:val="Heading2"/>
        <w:keepNext/>
        <w:keepLines/>
      </w:pPr>
      <w:r>
        <w:t>5.7 AI operating policy</w:t>
      </w:r>
    </w:p>
    <w:p>
      <w:pPr>
        <w:keepLines/>
        <w:numPr>
          <w:ilvl w:val="0"/>
          <w:numId w:val="10"/>
        </w:numPr>
        <w:spacing w:after="160" w:line="280" w:lineRule="auto"/>
      </w:pPr>
      <w:r>
        <w:rPr>
          <w:rFonts w:ascii="Calibri" w:hAnsi="Calibri"/>
          <w:color w:val="111827"/>
          <w:sz w:val="22"/>
        </w:rPr>
        <w:t>Allowed: summarize evidence; cluster creative themes; extract structured fields from documents; draft RFQs; explain a deterministic decision; propose questions to resolve missing evidence.</w:t>
      </w:r>
    </w:p>
    <w:p>
      <w:pPr>
        <w:keepLines/>
        <w:numPr>
          <w:ilvl w:val="0"/>
          <w:numId w:val="10"/>
        </w:numPr>
        <w:spacing w:after="160" w:line="280" w:lineRule="auto"/>
      </w:pPr>
      <w:r>
        <w:rPr>
          <w:rFonts w:ascii="Calibri" w:hAnsi="Calibri"/>
          <w:color w:val="111827"/>
          <w:sz w:val="22"/>
        </w:rPr>
        <w:t>Disallowed: invent sales, revenue, ROAS, views, suppliers, regulations, freight, prices, competitor strength, trend scores, or sources.</w:t>
      </w:r>
    </w:p>
    <w:p>
      <w:pPr>
        <w:keepLines/>
        <w:numPr>
          <w:ilvl w:val="0"/>
          <w:numId w:val="10"/>
        </w:numPr>
        <w:spacing w:after="160" w:line="280" w:lineRule="auto"/>
      </w:pPr>
      <w:r>
        <w:rPr>
          <w:rFonts w:ascii="Calibri" w:hAnsi="Calibri"/>
          <w:color w:val="111827"/>
          <w:sz w:val="22"/>
        </w:rPr>
        <w:t>Every generated claim must cite observation IDs or be labeled a hypothesis, suggestion, or user-editable draft.</w:t>
      </w:r>
    </w:p>
    <w:p>
      <w:pPr>
        <w:keepLines/>
        <w:numPr>
          <w:ilvl w:val="0"/>
          <w:numId w:val="10"/>
        </w:numPr>
        <w:spacing w:after="160" w:line="280" w:lineRule="auto"/>
      </w:pPr>
      <w:r>
        <w:rPr>
          <w:rFonts w:ascii="Calibri" w:hAnsi="Calibri"/>
          <w:color w:val="111827"/>
          <w:sz w:val="22"/>
        </w:rPr>
        <w:t>Structured output must pass a schema validator; citations must resolve to records accessible within the same workspace.</w:t>
      </w:r>
    </w:p>
    <w:p>
      <w:pPr>
        <w:keepLines/>
        <w:numPr>
          <w:ilvl w:val="0"/>
          <w:numId w:val="10"/>
        </w:numPr>
        <w:spacing w:after="160" w:line="280" w:lineRule="auto"/>
      </w:pPr>
      <w:r>
        <w:rPr>
          <w:rFonts w:ascii="Calibri" w:hAnsi="Calibri"/>
          <w:color w:val="111827"/>
          <w:sz w:val="22"/>
        </w:rPr>
        <w:t>Prompts, model, temperature, schema, and generated output are versioned. Sensitive data is excluded unless the workspace explicitly authorizes the use case.</w:t>
      </w:r>
    </w:p>
    <w:p>
      <w:pPr>
        <w:keepLines/>
        <w:numPr>
          <w:ilvl w:val="0"/>
          <w:numId w:val="10"/>
        </w:numPr>
        <w:spacing w:after="160" w:line="280" w:lineRule="auto"/>
      </w:pPr>
      <w:r>
        <w:rPr>
          <w:rFonts w:ascii="Calibri" w:hAnsi="Calibri"/>
          <w:color w:val="111827"/>
          <w:sz w:val="22"/>
        </w:rPr>
        <w:t>If supporting evidence is insufficient, the model response must say 'Insufficient evidence' and list the missing inputs.</w:t>
      </w:r>
    </w:p>
    <w:p>
      <w:r>
        <w:br w:type="page"/>
      </w:r>
    </w:p>
    <w:p>
      <w:pPr>
        <w:pStyle w:val="Heading1"/>
        <w:keepNext/>
        <w:keepLines/>
      </w:pPr>
      <w:r>
        <w:t>6. Target technical architecture</w:t>
      </w:r>
    </w:p>
    <w:p>
      <w:pPr>
        <w:jc w:val="center"/>
      </w:pPr>
      <w:r>
        <w:drawing>
          <wp:inline xmlns:a="http://schemas.openxmlformats.org/drawingml/2006/main" xmlns:pic="http://schemas.openxmlformats.org/drawingml/2006/picture">
            <wp:extent cx="5806440" cy="3290316"/>
            <wp:docPr id="1" name="Picture 1" descr="Architecture diagram showing evidence sources and authorized inputs flowing through collection, normalization, decision engine, product APIs, and user experiences."/>
            <wp:cNvGraphicFramePr>
              <a:graphicFrameLocks noChangeAspect="1"/>
            </wp:cNvGraphicFramePr>
            <a:graphic>
              <a:graphicData uri="http://schemas.openxmlformats.org/drawingml/2006/picture">
                <pic:pic>
                  <pic:nvPicPr>
                    <pic:cNvPr id="0" name="trendsell_architecture.png"/>
                    <pic:cNvPicPr/>
                  </pic:nvPicPr>
                  <pic:blipFill>
                    <a:blip r:embed="rId11"/>
                    <a:stretch>
                      <a:fillRect/>
                    </a:stretch>
                  </pic:blipFill>
                  <pic:spPr>
                    <a:xfrm>
                      <a:off x="0" y="0"/>
                      <a:ext cx="5806440" cy="3290316"/>
                    </a:xfrm>
                    <a:prstGeom prst="rect"/>
                  </pic:spPr>
                </pic:pic>
              </a:graphicData>
            </a:graphic>
          </wp:inline>
        </w:drawing>
      </w:r>
    </w:p>
    <w:p>
      <w:pPr>
        <w:jc w:val="center"/>
      </w:pPr>
      <w:r>
        <w:rPr>
          <w:rFonts w:ascii="Calibri" w:hAnsi="Calibri"/>
          <w:i/>
          <w:color w:val="64748B"/>
          <w:sz w:val="18"/>
        </w:rPr>
        <w:t>Figure 1. Evidence-to-decision architecture</w:t>
      </w:r>
    </w:p>
    <w:p>
      <w:pPr>
        <w:pStyle w:val="Heading2"/>
        <w:keepNext/>
        <w:keepLines/>
      </w:pPr>
      <w:r>
        <w:t>6.1 Recommended stack</w:t>
      </w:r>
    </w:p>
    <w:tbl>
      <w:tblPr>
        <w:tblStyle w:val="TableGrid"/>
        <w:tblW w:type="dxa" w:w="9360"/>
        <w:tblLayout w:type="fixed"/>
        <w:tblLook w:firstColumn="1" w:firstRow="1" w:lastColumn="0" w:lastRow="0" w:noHBand="0" w:noVBand="1" w:val="04A0"/>
        <w:tblInd w:w="120" w:type="dxa"/>
      </w:tblPr>
      <w:tblGrid>
        <w:gridCol w:w="1400"/>
        <w:gridCol w:w="3350"/>
        <w:gridCol w:w="4610"/>
      </w:tblGrid>
      <w:tr>
        <w:trPr>
          <w:tblHeader w:val="true"/>
          <w:cantSplit/>
        </w:trPr>
        <w:tc>
          <w:tcPr>
            <w:tcW w:type="dxa" w:w="1400"/>
            <w:tcMar>
              <w:top w:w="80" w:type="dxa"/>
              <w:start w:w="120" w:type="dxa"/>
              <w:bottom w:w="80" w:type="dxa"/>
              <w:end w:w="120" w:type="dxa"/>
            </w:tcMar>
            <w:vAlign w:val="center"/>
            <w:shd w:fill="E8EEF5"/>
          </w:tcPr>
          <w:p>
            <w:pPr>
              <w:spacing w:after="0"/>
              <w:jc w:val="left"/>
            </w:pPr>
            <w:r>
              <w:rPr>
                <w:rFonts w:ascii="Calibri" w:hAnsi="Calibri"/>
                <w:b/>
                <w:color w:val="0B2545"/>
                <w:sz w:val="16"/>
              </w:rPr>
              <w:t>Layer</w:t>
            </w:r>
          </w:p>
        </w:tc>
        <w:tc>
          <w:tcPr>
            <w:tcW w:type="dxa" w:w="3350"/>
            <w:tcMar>
              <w:top w:w="80" w:type="dxa"/>
              <w:start w:w="120" w:type="dxa"/>
              <w:bottom w:w="80" w:type="dxa"/>
              <w:end w:w="120" w:type="dxa"/>
            </w:tcMar>
            <w:vAlign w:val="center"/>
            <w:shd w:fill="E8EEF5"/>
          </w:tcPr>
          <w:p>
            <w:pPr>
              <w:spacing w:after="0"/>
              <w:jc w:val="left"/>
            </w:pPr>
            <w:r>
              <w:rPr>
                <w:rFonts w:ascii="Calibri" w:hAnsi="Calibri"/>
                <w:b/>
                <w:color w:val="0B2545"/>
                <w:sz w:val="16"/>
              </w:rPr>
              <w:t>Choice</w:t>
            </w:r>
          </w:p>
        </w:tc>
        <w:tc>
          <w:tcPr>
            <w:tcW w:type="dxa" w:w="4610"/>
            <w:tcMar>
              <w:top w:w="80" w:type="dxa"/>
              <w:start w:w="120" w:type="dxa"/>
              <w:bottom w:w="80" w:type="dxa"/>
              <w:end w:w="120" w:type="dxa"/>
            </w:tcMar>
            <w:vAlign w:val="center"/>
            <w:shd w:fill="E8EEF5"/>
          </w:tcPr>
          <w:p>
            <w:pPr>
              <w:spacing w:after="0"/>
              <w:jc w:val="left"/>
            </w:pPr>
            <w:r>
              <w:rPr>
                <w:rFonts w:ascii="Calibri" w:hAnsi="Calibri"/>
                <w:b/>
                <w:color w:val="0B2545"/>
                <w:sz w:val="16"/>
              </w:rPr>
              <w:t>Rationale</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Frontend</w:t>
            </w:r>
          </w:p>
        </w:tc>
        <w:tc>
          <w:tcPr>
            <w:tcW w:type="dxa" w:w="3350"/>
            <w:tcMar>
              <w:top w:w="80" w:type="dxa"/>
              <w:start w:w="120" w:type="dxa"/>
              <w:bottom w:w="80" w:type="dxa"/>
              <w:end w:w="120" w:type="dxa"/>
            </w:tcMar>
            <w:vAlign w:val="center"/>
          </w:tcPr>
          <w:p>
            <w:pPr>
              <w:spacing w:after="0" w:line="252" w:lineRule="auto"/>
            </w:pPr>
            <w:r>
              <w:rPr>
                <w:rFonts w:ascii="Calibri" w:hAnsi="Calibri"/>
                <w:color w:val="111827"/>
                <w:sz w:val="16"/>
              </w:rPr>
              <w:t>React 19 + TypeScript + Vite + Tailwind + TanStack Query + Recharts</w:t>
            </w:r>
          </w:p>
        </w:tc>
        <w:tc>
          <w:tcPr>
            <w:tcW w:type="dxa" w:w="4610"/>
            <w:tcMar>
              <w:top w:w="80" w:type="dxa"/>
              <w:start w:w="120" w:type="dxa"/>
              <w:bottom w:w="80" w:type="dxa"/>
              <w:end w:w="120" w:type="dxa"/>
            </w:tcMar>
            <w:vAlign w:val="center"/>
          </w:tcPr>
          <w:p>
            <w:pPr>
              <w:spacing w:after="0" w:line="252" w:lineRule="auto"/>
            </w:pPr>
            <w:r>
              <w:rPr>
                <w:rFonts w:ascii="Calibri" w:hAnsi="Calibri"/>
                <w:color w:val="111827"/>
                <w:sz w:val="16"/>
              </w:rPr>
              <w:t>Move off CRA/craco; keep strong existing components; add typed generated API client</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API</w:t>
            </w:r>
          </w:p>
        </w:tc>
        <w:tc>
          <w:tcPr>
            <w:tcW w:type="dxa" w:w="3350"/>
            <w:tcMar>
              <w:top w:w="80" w:type="dxa"/>
              <w:start w:w="120" w:type="dxa"/>
              <w:bottom w:w="80" w:type="dxa"/>
              <w:end w:w="120" w:type="dxa"/>
            </w:tcMar>
            <w:vAlign w:val="center"/>
          </w:tcPr>
          <w:p>
            <w:pPr>
              <w:spacing w:after="0" w:line="252" w:lineRule="auto"/>
            </w:pPr>
            <w:r>
              <w:rPr>
                <w:rFonts w:ascii="Calibri" w:hAnsi="Calibri"/>
                <w:color w:val="111827"/>
                <w:sz w:val="16"/>
              </w:rPr>
              <w:t>FastAPI + Pydantic v2 + SQLAlchemy 2 async</w:t>
            </w:r>
          </w:p>
        </w:tc>
        <w:tc>
          <w:tcPr>
            <w:tcW w:type="dxa" w:w="4610"/>
            <w:tcMar>
              <w:top w:w="80" w:type="dxa"/>
              <w:start w:w="120" w:type="dxa"/>
              <w:bottom w:w="80" w:type="dxa"/>
              <w:end w:w="120" w:type="dxa"/>
            </w:tcMar>
            <w:vAlign w:val="center"/>
          </w:tcPr>
          <w:p>
            <w:pPr>
              <w:spacing w:after="0" w:line="252" w:lineRule="auto"/>
            </w:pPr>
            <w:r>
              <w:rPr>
                <w:rFonts w:ascii="Calibri" w:hAnsi="Calibri"/>
                <w:color w:val="111827"/>
                <w:sz w:val="16"/>
              </w:rPr>
              <w:t>Split monolith by domain; OpenAPI is the frontend contract</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Canonical database</w:t>
            </w:r>
          </w:p>
        </w:tc>
        <w:tc>
          <w:tcPr>
            <w:tcW w:type="dxa" w:w="3350"/>
            <w:tcMar>
              <w:top w:w="80" w:type="dxa"/>
              <w:start w:w="120" w:type="dxa"/>
              <w:bottom w:w="80" w:type="dxa"/>
              <w:end w:w="120" w:type="dxa"/>
            </w:tcMar>
            <w:vAlign w:val="center"/>
          </w:tcPr>
          <w:p>
            <w:pPr>
              <w:spacing w:after="0" w:line="252" w:lineRule="auto"/>
            </w:pPr>
            <w:r>
              <w:rPr>
                <w:rFonts w:ascii="Calibri" w:hAnsi="Calibri"/>
                <w:color w:val="111827"/>
                <w:sz w:val="16"/>
              </w:rPr>
              <w:t>PostgreSQL 16 + JSONB + Alembic</w:t>
            </w:r>
          </w:p>
        </w:tc>
        <w:tc>
          <w:tcPr>
            <w:tcW w:type="dxa" w:w="4610"/>
            <w:tcMar>
              <w:top w:w="80" w:type="dxa"/>
              <w:start w:w="120" w:type="dxa"/>
              <w:bottom w:w="80" w:type="dxa"/>
              <w:end w:w="120" w:type="dxa"/>
            </w:tcMar>
            <w:vAlign w:val="center"/>
          </w:tcPr>
          <w:p>
            <w:pPr>
              <w:spacing w:after="0" w:line="252" w:lineRule="auto"/>
            </w:pPr>
            <w:r>
              <w:rPr>
                <w:rFonts w:ascii="Calibri" w:hAnsi="Calibri"/>
                <w:color w:val="111827"/>
                <w:sz w:val="16"/>
              </w:rPr>
              <w:t>Relational lineage, tenants, decisions, quotes, effective dates, and auditability</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Queue/cache</w:t>
            </w:r>
          </w:p>
        </w:tc>
        <w:tc>
          <w:tcPr>
            <w:tcW w:type="dxa" w:w="3350"/>
            <w:tcMar>
              <w:top w:w="80" w:type="dxa"/>
              <w:start w:w="120" w:type="dxa"/>
              <w:bottom w:w="80" w:type="dxa"/>
              <w:end w:w="120" w:type="dxa"/>
            </w:tcMar>
            <w:vAlign w:val="center"/>
          </w:tcPr>
          <w:p>
            <w:pPr>
              <w:spacing w:after="0" w:line="252" w:lineRule="auto"/>
            </w:pPr>
            <w:r>
              <w:rPr>
                <w:rFonts w:ascii="Calibri" w:hAnsi="Calibri"/>
                <w:color w:val="111827"/>
                <w:sz w:val="16"/>
              </w:rPr>
              <w:t>Redis + Celery workers and beat</w:t>
            </w:r>
          </w:p>
        </w:tc>
        <w:tc>
          <w:tcPr>
            <w:tcW w:type="dxa" w:w="4610"/>
            <w:tcMar>
              <w:top w:w="80" w:type="dxa"/>
              <w:start w:w="120" w:type="dxa"/>
              <w:bottom w:w="80" w:type="dxa"/>
              <w:end w:w="120" w:type="dxa"/>
            </w:tcMar>
            <w:vAlign w:val="center"/>
          </w:tcPr>
          <w:p>
            <w:pPr>
              <w:spacing w:after="0" w:line="252" w:lineRule="auto"/>
            </w:pPr>
            <w:r>
              <w:rPr>
                <w:rFonts w:ascii="Calibri" w:hAnsi="Calibri"/>
                <w:color w:val="111827"/>
                <w:sz w:val="16"/>
              </w:rPr>
              <w:t>Long-running collectors, retries, rate limits, scheduled refresh, alert evaluation</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Object storage</w:t>
            </w:r>
          </w:p>
        </w:tc>
        <w:tc>
          <w:tcPr>
            <w:tcW w:type="dxa" w:w="3350"/>
            <w:tcMar>
              <w:top w:w="80" w:type="dxa"/>
              <w:start w:w="120" w:type="dxa"/>
              <w:bottom w:w="80" w:type="dxa"/>
              <w:end w:w="120" w:type="dxa"/>
            </w:tcMar>
            <w:vAlign w:val="center"/>
          </w:tcPr>
          <w:p>
            <w:pPr>
              <w:spacing w:after="0" w:line="252" w:lineRule="auto"/>
            </w:pPr>
            <w:r>
              <w:rPr>
                <w:rFonts w:ascii="Calibri" w:hAnsi="Calibri"/>
                <w:color w:val="111827"/>
                <w:sz w:val="16"/>
              </w:rPr>
              <w:t>S3-compatible storage</w:t>
            </w:r>
          </w:p>
        </w:tc>
        <w:tc>
          <w:tcPr>
            <w:tcW w:type="dxa" w:w="4610"/>
            <w:tcMar>
              <w:top w:w="80" w:type="dxa"/>
              <w:start w:w="120" w:type="dxa"/>
              <w:bottom w:w="80" w:type="dxa"/>
              <w:end w:w="120" w:type="dxa"/>
            </w:tcMar>
            <w:vAlign w:val="center"/>
          </w:tcPr>
          <w:p>
            <w:pPr>
              <w:spacing w:after="0" w:line="252" w:lineRule="auto"/>
            </w:pPr>
            <w:r>
              <w:rPr>
                <w:rFonts w:ascii="Calibri" w:hAnsi="Calibri"/>
                <w:color w:val="111827"/>
                <w:sz w:val="16"/>
              </w:rPr>
              <w:t>Raw responses, quote files, thumbnails, reports, and immutable evidence artifacts</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Search</w:t>
            </w:r>
          </w:p>
        </w:tc>
        <w:tc>
          <w:tcPr>
            <w:tcW w:type="dxa" w:w="3350"/>
            <w:tcMar>
              <w:top w:w="80" w:type="dxa"/>
              <w:start w:w="120" w:type="dxa"/>
              <w:bottom w:w="80" w:type="dxa"/>
              <w:end w:w="120" w:type="dxa"/>
            </w:tcMar>
            <w:vAlign w:val="center"/>
          </w:tcPr>
          <w:p>
            <w:pPr>
              <w:spacing w:after="0" w:line="252" w:lineRule="auto"/>
            </w:pPr>
            <w:r>
              <w:rPr>
                <w:rFonts w:ascii="Calibri" w:hAnsi="Calibri"/>
                <w:color w:val="111827"/>
                <w:sz w:val="16"/>
              </w:rPr>
              <w:t>PostgreSQL full-text and pgvector initially</w:t>
            </w:r>
          </w:p>
        </w:tc>
        <w:tc>
          <w:tcPr>
            <w:tcW w:type="dxa" w:w="4610"/>
            <w:tcMar>
              <w:top w:w="80" w:type="dxa"/>
              <w:start w:w="120" w:type="dxa"/>
              <w:bottom w:w="80" w:type="dxa"/>
              <w:end w:w="120" w:type="dxa"/>
            </w:tcMar>
            <w:vAlign w:val="center"/>
          </w:tcPr>
          <w:p>
            <w:pPr>
              <w:spacing w:after="0" w:line="252" w:lineRule="auto"/>
            </w:pPr>
            <w:r>
              <w:rPr>
                <w:rFonts w:ascii="Calibri" w:hAnsi="Calibri"/>
                <w:color w:val="111827"/>
                <w:sz w:val="16"/>
              </w:rPr>
              <w:t>Avoid OpenSearch operational overhead until scale or query need is proven</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Observability</w:t>
            </w:r>
          </w:p>
        </w:tc>
        <w:tc>
          <w:tcPr>
            <w:tcW w:type="dxa" w:w="3350"/>
            <w:tcMar>
              <w:top w:w="80" w:type="dxa"/>
              <w:start w:w="120" w:type="dxa"/>
              <w:bottom w:w="80" w:type="dxa"/>
              <w:end w:w="120" w:type="dxa"/>
            </w:tcMar>
            <w:vAlign w:val="center"/>
          </w:tcPr>
          <w:p>
            <w:pPr>
              <w:spacing w:after="0" w:line="252" w:lineRule="auto"/>
            </w:pPr>
            <w:r>
              <w:rPr>
                <w:rFonts w:ascii="Calibri" w:hAnsi="Calibri"/>
                <w:color w:val="111827"/>
                <w:sz w:val="16"/>
              </w:rPr>
              <w:t>OpenTelemetry + Prometheus-compatible metrics + centralized logs + error tracking</w:t>
            </w:r>
          </w:p>
        </w:tc>
        <w:tc>
          <w:tcPr>
            <w:tcW w:type="dxa" w:w="4610"/>
            <w:tcMar>
              <w:top w:w="80" w:type="dxa"/>
              <w:start w:w="120" w:type="dxa"/>
              <w:bottom w:w="80" w:type="dxa"/>
              <w:end w:w="120" w:type="dxa"/>
            </w:tcMar>
            <w:vAlign w:val="center"/>
          </w:tcPr>
          <w:p>
            <w:pPr>
              <w:spacing w:after="0" w:line="252" w:lineRule="auto"/>
            </w:pPr>
            <w:r>
              <w:rPr>
                <w:rFonts w:ascii="Calibri" w:hAnsi="Calibri"/>
                <w:color w:val="111827"/>
                <w:sz w:val="16"/>
              </w:rPr>
              <w:t>Trace source calls and score lineage; alert on freshness and cost</w:t>
            </w:r>
          </w:p>
        </w:tc>
      </w:tr>
    </w:tbl>
    <w:p>
      <w:pPr>
        <w:spacing w:after="60"/>
      </w:pP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EEF5"/>
          </w:tcPr>
          <w:p>
            <w:pPr>
              <w:spacing w:after="0" w:line="264" w:lineRule="auto"/>
            </w:pPr>
            <w:r>
              <w:rPr>
                <w:rFonts w:ascii="Calibri" w:hAnsi="Calibri"/>
                <w:b/>
                <w:color w:val="2E74B5"/>
                <w:sz w:val="22"/>
              </w:rPr>
              <w:t xml:space="preserve">Why PostgreSQL: </w:t>
            </w:r>
            <w:r>
              <w:rPr>
                <w:rFonts w:ascii="Calibri" w:hAnsi="Calibri"/>
                <w:color w:val="111827"/>
                <w:sz w:val="22"/>
              </w:rPr>
              <w:t>MongoDB can store the data, but the redesigned product depends on strict relationships among observations, source snapshots, formula versions, market rules, user scenarios, quotes, and audit events. PostgreSQL with JSONB keeps flexible raw payloads while making lineage, constraints, migrations, and reproducible decisions easier.</w:t>
            </w:r>
          </w:p>
        </w:tc>
      </w:tr>
    </w:tbl>
    <w:p>
      <w:pPr>
        <w:spacing w:after="40"/>
      </w:pPr>
    </w:p>
    <w:p>
      <w:pPr>
        <w:pStyle w:val="Heading2"/>
        <w:keepNext/>
        <w:keepLines/>
      </w:pPr>
      <w:r>
        <w:t>6.2 Proposed backend package structure</w:t>
      </w:r>
    </w:p>
    <w:p>
      <w:pPr>
        <w:keepLines/>
        <w:numPr>
          <w:ilvl w:val="0"/>
          <w:numId w:val="10"/>
        </w:numPr>
        <w:spacing w:after="160" w:line="280" w:lineRule="auto"/>
      </w:pPr>
      <w:r>
        <w:rPr>
          <w:rFonts w:ascii="Calibri" w:hAnsi="Calibri"/>
          <w:color w:val="111827"/>
          <w:sz w:val="22"/>
        </w:rPr>
        <w:t>app/main.py - application factory, middleware, health, and router registration</w:t>
      </w:r>
    </w:p>
    <w:p>
      <w:pPr>
        <w:keepLines/>
        <w:numPr>
          <w:ilvl w:val="0"/>
          <w:numId w:val="10"/>
        </w:numPr>
        <w:spacing w:after="160" w:line="280" w:lineRule="auto"/>
      </w:pPr>
      <w:r>
        <w:rPr>
          <w:rFonts w:ascii="Calibri" w:hAnsi="Calibri"/>
          <w:color w:val="111827"/>
          <w:sz w:val="22"/>
        </w:rPr>
        <w:t>app/core/ - settings, security, rate limits, logging, telemetry, feature flags</w:t>
      </w:r>
    </w:p>
    <w:p>
      <w:pPr>
        <w:keepLines/>
        <w:numPr>
          <w:ilvl w:val="0"/>
          <w:numId w:val="10"/>
        </w:numPr>
        <w:spacing w:after="160" w:line="280" w:lineRule="auto"/>
      </w:pPr>
      <w:r>
        <w:rPr>
          <w:rFonts w:ascii="Calibri" w:hAnsi="Calibri"/>
          <w:color w:val="111827"/>
          <w:sz w:val="22"/>
        </w:rPr>
        <w:t>app/db/ - SQLAlchemy sessions, models, migrations, repositories</w:t>
      </w:r>
    </w:p>
    <w:p>
      <w:pPr>
        <w:keepLines/>
        <w:numPr>
          <w:ilvl w:val="0"/>
          <w:numId w:val="10"/>
        </w:numPr>
        <w:spacing w:after="160" w:line="280" w:lineRule="auto"/>
      </w:pPr>
      <w:r>
        <w:rPr>
          <w:rFonts w:ascii="Calibri" w:hAnsi="Calibri"/>
          <w:color w:val="111827"/>
          <w:sz w:val="22"/>
        </w:rPr>
        <w:t>app/api/ - versioned routers: auth, products, evidence, research, decisions, suppliers, watchlists, admin</w:t>
      </w:r>
    </w:p>
    <w:p>
      <w:pPr>
        <w:keepLines/>
        <w:numPr>
          <w:ilvl w:val="0"/>
          <w:numId w:val="10"/>
        </w:numPr>
        <w:spacing w:after="160" w:line="280" w:lineRule="auto"/>
      </w:pPr>
      <w:r>
        <w:rPr>
          <w:rFonts w:ascii="Calibri" w:hAnsi="Calibri"/>
          <w:color w:val="111827"/>
          <w:sz w:val="22"/>
        </w:rPr>
        <w:t>app/domain/ - product identity, observations, scoring, landed cost, compliance, alerts</w:t>
      </w:r>
    </w:p>
    <w:p>
      <w:pPr>
        <w:keepLines/>
        <w:numPr>
          <w:ilvl w:val="0"/>
          <w:numId w:val="10"/>
        </w:numPr>
        <w:spacing w:after="160" w:line="280" w:lineRule="auto"/>
      </w:pPr>
      <w:r>
        <w:rPr>
          <w:rFonts w:ascii="Calibri" w:hAnsi="Calibri"/>
          <w:color w:val="111827"/>
          <w:sz w:val="22"/>
        </w:rPr>
        <w:t>app/connectors/ - one adapter per external source using a common connector contract</w:t>
      </w:r>
    </w:p>
    <w:p>
      <w:pPr>
        <w:keepLines/>
        <w:numPr>
          <w:ilvl w:val="0"/>
          <w:numId w:val="10"/>
        </w:numPr>
        <w:spacing w:after="160" w:line="280" w:lineRule="auto"/>
      </w:pPr>
      <w:r>
        <w:rPr>
          <w:rFonts w:ascii="Calibri" w:hAnsi="Calibri"/>
          <w:color w:val="111827"/>
          <w:sz w:val="22"/>
        </w:rPr>
        <w:t>app/workers/ - collection, parsing, matching, scoring, alerting, exports, retention</w:t>
      </w:r>
    </w:p>
    <w:p>
      <w:pPr>
        <w:keepLines/>
        <w:numPr>
          <w:ilvl w:val="0"/>
          <w:numId w:val="10"/>
        </w:numPr>
        <w:spacing w:after="160" w:line="280" w:lineRule="auto"/>
      </w:pPr>
      <w:r>
        <w:rPr>
          <w:rFonts w:ascii="Calibri" w:hAnsi="Calibri"/>
          <w:color w:val="111827"/>
          <w:sz w:val="22"/>
        </w:rPr>
        <w:t>app/ai/ - evidence-bound extraction and summarization; no direct database mutation</w:t>
      </w:r>
    </w:p>
    <w:p>
      <w:pPr>
        <w:keepLines/>
        <w:numPr>
          <w:ilvl w:val="0"/>
          <w:numId w:val="10"/>
        </w:numPr>
        <w:spacing w:after="160" w:line="280" w:lineRule="auto"/>
      </w:pPr>
      <w:r>
        <w:rPr>
          <w:rFonts w:ascii="Calibri" w:hAnsi="Calibri"/>
          <w:color w:val="111827"/>
          <w:sz w:val="22"/>
        </w:rPr>
        <w:t>tests/ - unit, connector contract, integration, API, security, and golden-fixture suites</w:t>
      </w:r>
    </w:p>
    <w:p>
      <w:pPr>
        <w:pStyle w:val="Heading2"/>
        <w:keepNext/>
        <w:keepLines/>
      </w:pPr>
      <w:r>
        <w:t>6.3 Connector contract</w:t>
      </w:r>
    </w:p>
    <w:tbl>
      <w:tblPr>
        <w:tblStyle w:val="TableGrid"/>
        <w:tblW w:type="dxa" w:w="9360"/>
        <w:tblLayout w:type="fixed"/>
        <w:tblLook w:firstColumn="1" w:firstRow="1" w:lastColumn="0" w:lastRow="0" w:noHBand="0" w:noVBand="1" w:val="04A0"/>
        <w:tblInd w:w="120" w:type="dxa"/>
      </w:tblPr>
      <w:tblGrid>
        <w:gridCol w:w="1800"/>
        <w:gridCol w:w="4400"/>
        <w:gridCol w:w="3160"/>
      </w:tblGrid>
      <w:tr>
        <w:trPr>
          <w:tblHeader w:val="true"/>
          <w:cantSplit/>
        </w:trPr>
        <w:tc>
          <w:tcPr>
            <w:tcW w:type="dxa" w:w="1800"/>
            <w:tcMar>
              <w:top w:w="80" w:type="dxa"/>
              <w:start w:w="120" w:type="dxa"/>
              <w:bottom w:w="80" w:type="dxa"/>
              <w:end w:w="120" w:type="dxa"/>
            </w:tcMar>
            <w:vAlign w:val="center"/>
            <w:shd w:fill="E8EEF5"/>
          </w:tcPr>
          <w:p>
            <w:pPr>
              <w:spacing w:after="0"/>
              <w:jc w:val="left"/>
            </w:pPr>
            <w:r>
              <w:rPr>
                <w:rFonts w:ascii="Calibri" w:hAnsi="Calibri"/>
                <w:b/>
                <w:color w:val="0B2545"/>
                <w:sz w:val="17"/>
              </w:rPr>
              <w:t>Method</w:t>
            </w:r>
          </w:p>
        </w:tc>
        <w:tc>
          <w:tcPr>
            <w:tcW w:type="dxa" w:w="4400"/>
            <w:tcMar>
              <w:top w:w="80" w:type="dxa"/>
              <w:start w:w="120" w:type="dxa"/>
              <w:bottom w:w="80" w:type="dxa"/>
              <w:end w:w="120" w:type="dxa"/>
            </w:tcMar>
            <w:vAlign w:val="center"/>
            <w:shd w:fill="E8EEF5"/>
          </w:tcPr>
          <w:p>
            <w:pPr>
              <w:spacing w:after="0"/>
              <w:jc w:val="left"/>
            </w:pPr>
            <w:r>
              <w:rPr>
                <w:rFonts w:ascii="Calibri" w:hAnsi="Calibri"/>
                <w:b/>
                <w:color w:val="0B2545"/>
                <w:sz w:val="17"/>
              </w:rPr>
              <w:t>Responsibility</w:t>
            </w:r>
          </w:p>
        </w:tc>
        <w:tc>
          <w:tcPr>
            <w:tcW w:type="dxa" w:w="3160"/>
            <w:tcMar>
              <w:top w:w="80" w:type="dxa"/>
              <w:start w:w="120" w:type="dxa"/>
              <w:bottom w:w="80" w:type="dxa"/>
              <w:end w:w="120" w:type="dxa"/>
            </w:tcMar>
            <w:vAlign w:val="center"/>
            <w:shd w:fill="E8EEF5"/>
          </w:tcPr>
          <w:p>
            <w:pPr>
              <w:spacing w:after="0"/>
              <w:jc w:val="left"/>
            </w:pPr>
            <w:r>
              <w:rPr>
                <w:rFonts w:ascii="Calibri" w:hAnsi="Calibri"/>
                <w:b/>
                <w:color w:val="0B2545"/>
                <w:sz w:val="17"/>
              </w:rPr>
              <w:t>Output</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11827"/>
                <w:sz w:val="17"/>
              </w:rPr>
              <w:t>discover(request)</w:t>
            </w:r>
          </w:p>
        </w:tc>
        <w:tc>
          <w:tcPr>
            <w:tcW w:type="dxa" w:w="4400"/>
            <w:tcMar>
              <w:top w:w="80" w:type="dxa"/>
              <w:start w:w="120" w:type="dxa"/>
              <w:bottom w:w="80" w:type="dxa"/>
              <w:end w:w="120" w:type="dxa"/>
            </w:tcMar>
            <w:vAlign w:val="center"/>
          </w:tcPr>
          <w:p>
            <w:pPr>
              <w:spacing w:after="0" w:line="252" w:lineRule="auto"/>
            </w:pPr>
            <w:r>
              <w:rPr>
                <w:rFonts w:ascii="Calibri" w:hAnsi="Calibri"/>
                <w:color w:val="111827"/>
                <w:sz w:val="17"/>
              </w:rPr>
              <w:t>Find external candidates from permitted query parameters</w:t>
            </w:r>
          </w:p>
        </w:tc>
        <w:tc>
          <w:tcPr>
            <w:tcW w:type="dxa" w:w="3160"/>
            <w:tcMar>
              <w:top w:w="80" w:type="dxa"/>
              <w:start w:w="120" w:type="dxa"/>
              <w:bottom w:w="80" w:type="dxa"/>
              <w:end w:w="120" w:type="dxa"/>
            </w:tcMar>
            <w:vAlign w:val="center"/>
          </w:tcPr>
          <w:p>
            <w:pPr>
              <w:spacing w:after="0" w:line="252" w:lineRule="auto"/>
            </w:pPr>
            <w:r>
              <w:rPr>
                <w:rFonts w:ascii="Calibri" w:hAnsi="Calibri"/>
                <w:color w:val="111827"/>
                <w:sz w:val="17"/>
              </w:rPr>
              <w:t>Candidate identifiers and source metadata</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11827"/>
                <w:sz w:val="17"/>
              </w:rPr>
              <w:t>fetch(target)</w:t>
            </w:r>
          </w:p>
        </w:tc>
        <w:tc>
          <w:tcPr>
            <w:tcW w:type="dxa" w:w="4400"/>
            <w:tcMar>
              <w:top w:w="80" w:type="dxa"/>
              <w:start w:w="120" w:type="dxa"/>
              <w:bottom w:w="80" w:type="dxa"/>
              <w:end w:w="120" w:type="dxa"/>
            </w:tcMar>
            <w:vAlign w:val="center"/>
          </w:tcPr>
          <w:p>
            <w:pPr>
              <w:spacing w:after="0" w:line="252" w:lineRule="auto"/>
            </w:pPr>
            <w:r>
              <w:rPr>
                <w:rFonts w:ascii="Calibri" w:hAnsi="Calibri"/>
                <w:color w:val="111827"/>
                <w:sz w:val="17"/>
              </w:rPr>
              <w:t>Retrieve source payload with timeout, rate limit, retry, and cache</w:t>
            </w:r>
          </w:p>
        </w:tc>
        <w:tc>
          <w:tcPr>
            <w:tcW w:type="dxa" w:w="3160"/>
            <w:tcMar>
              <w:top w:w="80" w:type="dxa"/>
              <w:start w:w="120" w:type="dxa"/>
              <w:bottom w:w="80" w:type="dxa"/>
              <w:end w:w="120" w:type="dxa"/>
            </w:tcMar>
            <w:vAlign w:val="center"/>
          </w:tcPr>
          <w:p>
            <w:pPr>
              <w:spacing w:after="0" w:line="252" w:lineRule="auto"/>
            </w:pPr>
            <w:r>
              <w:rPr>
                <w:rFonts w:ascii="Calibri" w:hAnsi="Calibri"/>
                <w:color w:val="111827"/>
                <w:sz w:val="17"/>
              </w:rPr>
              <w:t>Raw snapshot plus HTTP/source telemetry</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11827"/>
                <w:sz w:val="17"/>
              </w:rPr>
              <w:t>parse(snapshot)</w:t>
            </w:r>
          </w:p>
        </w:tc>
        <w:tc>
          <w:tcPr>
            <w:tcW w:type="dxa" w:w="4400"/>
            <w:tcMar>
              <w:top w:w="80" w:type="dxa"/>
              <w:start w:w="120" w:type="dxa"/>
              <w:bottom w:w="80" w:type="dxa"/>
              <w:end w:w="120" w:type="dxa"/>
            </w:tcMar>
            <w:vAlign w:val="center"/>
          </w:tcPr>
          <w:p>
            <w:pPr>
              <w:spacing w:after="0" w:line="252" w:lineRule="auto"/>
            </w:pPr>
            <w:r>
              <w:rPr>
                <w:rFonts w:ascii="Calibri" w:hAnsi="Calibri"/>
                <w:color w:val="111827"/>
                <w:sz w:val="17"/>
              </w:rPr>
              <w:t>Convert source-specific payload to normalized observations</w:t>
            </w:r>
          </w:p>
        </w:tc>
        <w:tc>
          <w:tcPr>
            <w:tcW w:type="dxa" w:w="3160"/>
            <w:tcMar>
              <w:top w:w="80" w:type="dxa"/>
              <w:start w:w="120" w:type="dxa"/>
              <w:bottom w:w="80" w:type="dxa"/>
              <w:end w:w="120" w:type="dxa"/>
            </w:tcMar>
            <w:vAlign w:val="center"/>
          </w:tcPr>
          <w:p>
            <w:pPr>
              <w:spacing w:after="0" w:line="252" w:lineRule="auto"/>
            </w:pPr>
            <w:r>
              <w:rPr>
                <w:rFonts w:ascii="Calibri" w:hAnsi="Calibri"/>
                <w:color w:val="111827"/>
                <w:sz w:val="17"/>
              </w:rPr>
              <w:t>Validated observation batch</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11827"/>
                <w:sz w:val="17"/>
              </w:rPr>
              <w:t>health()</w:t>
            </w:r>
          </w:p>
        </w:tc>
        <w:tc>
          <w:tcPr>
            <w:tcW w:type="dxa" w:w="4400"/>
            <w:tcMar>
              <w:top w:w="80" w:type="dxa"/>
              <w:start w:w="120" w:type="dxa"/>
              <w:bottom w:w="80" w:type="dxa"/>
              <w:end w:w="120" w:type="dxa"/>
            </w:tcMar>
            <w:vAlign w:val="center"/>
          </w:tcPr>
          <w:p>
            <w:pPr>
              <w:spacing w:after="0" w:line="252" w:lineRule="auto"/>
            </w:pPr>
            <w:r>
              <w:rPr>
                <w:rFonts w:ascii="Calibri" w:hAnsi="Calibri"/>
                <w:color w:val="111827"/>
                <w:sz w:val="17"/>
              </w:rPr>
              <w:t>Prove credentials, quota, latest success, and coverage</w:t>
            </w:r>
          </w:p>
        </w:tc>
        <w:tc>
          <w:tcPr>
            <w:tcW w:type="dxa" w:w="3160"/>
            <w:tcMar>
              <w:top w:w="80" w:type="dxa"/>
              <w:start w:w="120" w:type="dxa"/>
              <w:bottom w:w="80" w:type="dxa"/>
              <w:end w:w="120" w:type="dxa"/>
            </w:tcMar>
            <w:vAlign w:val="center"/>
          </w:tcPr>
          <w:p>
            <w:pPr>
              <w:spacing w:after="0" w:line="252" w:lineRule="auto"/>
            </w:pPr>
            <w:r>
              <w:rPr>
                <w:rFonts w:ascii="Calibri" w:hAnsi="Calibri"/>
                <w:color w:val="111827"/>
                <w:sz w:val="17"/>
              </w:rPr>
              <w:t>connected/degraded/unconfigured/error</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11827"/>
                <w:sz w:val="17"/>
              </w:rPr>
              <w:t>rights()</w:t>
            </w:r>
          </w:p>
        </w:tc>
        <w:tc>
          <w:tcPr>
            <w:tcW w:type="dxa" w:w="4400"/>
            <w:tcMar>
              <w:top w:w="80" w:type="dxa"/>
              <w:start w:w="120" w:type="dxa"/>
              <w:bottom w:w="80" w:type="dxa"/>
              <w:end w:w="120" w:type="dxa"/>
            </w:tcMar>
            <w:vAlign w:val="center"/>
          </w:tcPr>
          <w:p>
            <w:pPr>
              <w:spacing w:after="0" w:line="252" w:lineRule="auto"/>
            </w:pPr>
            <w:r>
              <w:rPr>
                <w:rFonts w:ascii="Calibri" w:hAnsi="Calibri"/>
                <w:color w:val="111827"/>
                <w:sz w:val="17"/>
              </w:rPr>
              <w:t>Declare allowed storage, display, retention, and redistribution</w:t>
            </w:r>
          </w:p>
        </w:tc>
        <w:tc>
          <w:tcPr>
            <w:tcW w:type="dxa" w:w="3160"/>
            <w:tcMar>
              <w:top w:w="80" w:type="dxa"/>
              <w:start w:w="120" w:type="dxa"/>
              <w:bottom w:w="80" w:type="dxa"/>
              <w:end w:w="120" w:type="dxa"/>
            </w:tcMar>
            <w:vAlign w:val="center"/>
          </w:tcPr>
          <w:p>
            <w:pPr>
              <w:spacing w:after="0" w:line="252" w:lineRule="auto"/>
            </w:pPr>
            <w:r>
              <w:rPr>
                <w:rFonts w:ascii="Calibri" w:hAnsi="Calibri"/>
                <w:color w:val="111827"/>
                <w:sz w:val="17"/>
              </w:rPr>
              <w:t>Rights policy used by API and exports</w:t>
            </w:r>
          </w:p>
        </w:tc>
      </w:tr>
    </w:tbl>
    <w:p>
      <w:pPr>
        <w:spacing w:after="60"/>
      </w:pPr>
    </w:p>
    <w:p>
      <w:pPr>
        <w:spacing w:after="120" w:line="264" w:lineRule="auto"/>
      </w:pPr>
      <w:r>
        <w:rPr>
          <w:rFonts w:ascii="Calibri" w:hAnsi="Calibri"/>
          <w:i w:val="0"/>
          <w:color w:val="111827"/>
          <w:sz w:val="22"/>
        </w:rPr>
        <w:t>Replace with_fallback(live_fn, fallback_fn) with collect_with_status(). The new wrapper may return cached evidence or unavailable status, but it must not call a synthetic product-intelligence fallback.</w:t>
      </w:r>
    </w:p>
    <w:p>
      <w:pPr>
        <w:pStyle w:val="Heading2"/>
        <w:keepNext/>
        <w:keepLines/>
      </w:pPr>
      <w:r>
        <w:t>6.4 Job pipeline</w:t>
      </w:r>
    </w:p>
    <w:p>
      <w:pPr>
        <w:keepLines/>
        <w:numPr>
          <w:ilvl w:val="0"/>
          <w:numId w:val="21"/>
        </w:numPr>
        <w:spacing w:after="160" w:line="280" w:lineRule="auto"/>
      </w:pPr>
      <w:r>
        <w:rPr>
          <w:rFonts w:ascii="Calibri" w:hAnsi="Calibri"/>
          <w:color w:val="111827"/>
          <w:sz w:val="22"/>
        </w:rPr>
        <w:t>API validates request, applies quota, and creates a research_job with idempotency key.</w:t>
      </w:r>
    </w:p>
    <w:p>
      <w:pPr>
        <w:keepLines/>
        <w:numPr>
          <w:ilvl w:val="0"/>
          <w:numId w:val="21"/>
        </w:numPr>
        <w:spacing w:after="160" w:line="280" w:lineRule="auto"/>
      </w:pPr>
      <w:r>
        <w:rPr>
          <w:rFonts w:ascii="Calibri" w:hAnsi="Calibri"/>
          <w:color w:val="111827"/>
          <w:sz w:val="22"/>
        </w:rPr>
        <w:t>Orchestrator creates source_tasks according to market, source rights, user plan, and connector health.</w:t>
      </w:r>
    </w:p>
    <w:p>
      <w:pPr>
        <w:keepLines/>
        <w:numPr>
          <w:ilvl w:val="0"/>
          <w:numId w:val="21"/>
        </w:numPr>
        <w:spacing w:after="160" w:line="280" w:lineRule="auto"/>
      </w:pPr>
      <w:r>
        <w:rPr>
          <w:rFonts w:ascii="Calibri" w:hAnsi="Calibri"/>
          <w:color w:val="111827"/>
          <w:sz w:val="22"/>
        </w:rPr>
        <w:t>Workers fetch and archive raw snapshots before parsing.</w:t>
      </w:r>
    </w:p>
    <w:p>
      <w:pPr>
        <w:keepLines/>
        <w:numPr>
          <w:ilvl w:val="0"/>
          <w:numId w:val="21"/>
        </w:numPr>
        <w:spacing w:after="160" w:line="280" w:lineRule="auto"/>
      </w:pPr>
      <w:r>
        <w:rPr>
          <w:rFonts w:ascii="Calibri" w:hAnsi="Calibri"/>
          <w:color w:val="111827"/>
          <w:sz w:val="22"/>
        </w:rPr>
        <w:t>Parsers emit normalized observations with lineage and validation errors.</w:t>
      </w:r>
    </w:p>
    <w:p>
      <w:pPr>
        <w:keepLines/>
        <w:numPr>
          <w:ilvl w:val="0"/>
          <w:numId w:val="21"/>
        </w:numPr>
        <w:spacing w:after="160" w:line="280" w:lineRule="auto"/>
      </w:pPr>
      <w:r>
        <w:rPr>
          <w:rFonts w:ascii="Calibri" w:hAnsi="Calibri"/>
          <w:color w:val="111827"/>
          <w:sz w:val="22"/>
        </w:rPr>
        <w:t>Entity resolver links observations to external listings and canonical products.</w:t>
      </w:r>
    </w:p>
    <w:p>
      <w:pPr>
        <w:keepLines/>
        <w:numPr>
          <w:ilvl w:val="0"/>
          <w:numId w:val="21"/>
        </w:numPr>
        <w:spacing w:after="160" w:line="280" w:lineRule="auto"/>
      </w:pPr>
      <w:r>
        <w:rPr>
          <w:rFonts w:ascii="Calibri" w:hAnsi="Calibri"/>
          <w:color w:val="111827"/>
          <w:sz w:val="22"/>
        </w:rPr>
        <w:t>Scoring worker creates immutable score_version records only when inputs changed.</w:t>
      </w:r>
    </w:p>
    <w:p>
      <w:pPr>
        <w:keepLines/>
        <w:numPr>
          <w:ilvl w:val="0"/>
          <w:numId w:val="21"/>
        </w:numPr>
        <w:spacing w:after="160" w:line="280" w:lineRule="auto"/>
      </w:pPr>
      <w:r>
        <w:rPr>
          <w:rFonts w:ascii="Calibri" w:hAnsi="Calibri"/>
          <w:color w:val="111827"/>
          <w:sz w:val="22"/>
        </w:rPr>
        <w:t>Read-model worker updates dashboard/product projections and evaluates watch rules.</w:t>
      </w:r>
    </w:p>
    <w:p>
      <w:pPr>
        <w:keepLines/>
        <w:numPr>
          <w:ilvl w:val="0"/>
          <w:numId w:val="21"/>
        </w:numPr>
        <w:spacing w:after="160" w:line="280" w:lineRule="auto"/>
      </w:pPr>
      <w:r>
        <w:rPr>
          <w:rFonts w:ascii="Calibri" w:hAnsi="Calibri"/>
          <w:color w:val="111827"/>
          <w:sz w:val="22"/>
        </w:rPr>
        <w:t>WebSocket or Server-Sent Events endpoint streams persisted job events to the UI.</w:t>
      </w:r>
    </w:p>
    <w:p>
      <w:pPr>
        <w:pStyle w:val="Heading2"/>
        <w:keepNext/>
        <w:keepLines/>
      </w:pPr>
      <w:r>
        <w:t>6.5 Core relational entities</w:t>
      </w:r>
    </w:p>
    <w:tbl>
      <w:tblPr>
        <w:tblStyle w:val="TableGrid"/>
        <w:tblW w:type="dxa" w:w="9360"/>
        <w:tblLayout w:type="fixed"/>
        <w:tblLook w:firstColumn="1" w:firstRow="1" w:lastColumn="0" w:lastRow="0" w:noHBand="0" w:noVBand="1" w:val="04A0"/>
        <w:tblInd w:w="120" w:type="dxa"/>
      </w:tblPr>
      <w:tblGrid>
        <w:gridCol w:w="3200"/>
        <w:gridCol w:w="6160"/>
      </w:tblGrid>
      <w:tr>
        <w:trPr>
          <w:tblHeader w:val="true"/>
          <w:cantSplit/>
        </w:trPr>
        <w:tc>
          <w:tcPr>
            <w:tcW w:type="dxa" w:w="3200"/>
            <w:tcMar>
              <w:top w:w="80" w:type="dxa"/>
              <w:start w:w="120" w:type="dxa"/>
              <w:bottom w:w="80" w:type="dxa"/>
              <w:end w:w="120" w:type="dxa"/>
            </w:tcMar>
            <w:vAlign w:val="center"/>
            <w:shd w:fill="E8EEF5"/>
          </w:tcPr>
          <w:p>
            <w:pPr>
              <w:spacing w:after="0"/>
              <w:jc w:val="left"/>
            </w:pPr>
            <w:r>
              <w:rPr>
                <w:rFonts w:ascii="Calibri" w:hAnsi="Calibri"/>
                <w:b/>
                <w:color w:val="0B2545"/>
                <w:sz w:val="17"/>
              </w:rPr>
              <w:t>Entity group</w:t>
            </w:r>
          </w:p>
        </w:tc>
        <w:tc>
          <w:tcPr>
            <w:tcW w:type="dxa" w:w="6160"/>
            <w:tcMar>
              <w:top w:w="80" w:type="dxa"/>
              <w:start w:w="120" w:type="dxa"/>
              <w:bottom w:w="80" w:type="dxa"/>
              <w:end w:w="120" w:type="dxa"/>
            </w:tcMar>
            <w:vAlign w:val="center"/>
            <w:shd w:fill="E8EEF5"/>
          </w:tcPr>
          <w:p>
            <w:pPr>
              <w:spacing w:after="0"/>
              <w:jc w:val="left"/>
            </w:pPr>
            <w:r>
              <w:rPr>
                <w:rFonts w:ascii="Calibri" w:hAnsi="Calibri"/>
                <w:b/>
                <w:color w:val="0B2545"/>
                <w:sz w:val="17"/>
              </w:rPr>
              <w:t>Purpose</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workspaces / users / memberships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Tenant boundary, identity, roles, plan, quotas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connectors / connector_credentials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Workspace or platform integrations; encrypted references, not plaintext secrets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research_jobs / source_tasks / job_events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Asynchronous execution, progress, retry, cost, errors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canonical_products / product_variants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TrendSell identity and stable attributes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external_listings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Marketplace/source identifiers, seller, URL, market, mapping confidence</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source_snapshots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Immutable raw response pointer, checksum, collector version, rights, retention</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observations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Metric values with market, time, unit, provenance, quality, and status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product_matches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Exact/probable/similar relations and user confirmation</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formula_versions / score_versions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Deterministic model definitions, inputs, outputs, confidence</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market_rules / compliance_rules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Jurisdiction, category/HS mapping, status, source, effective dates, reviewer</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cost_scenarios / scenario_inputs / assessments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Versioned unit economics and GO/WATCH/NO-GO decisions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suppliers / supplier_evidence / rfqs / quotes / samples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Sourcing workflow and proprietary outcomes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watchlists / watch_rules / alerts / deliveries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Monitoring, materiality, notification and acknowledgement</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ai_runs / generated_claims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Prompt/model/schema versions and observation citations</w:t>
            </w:r>
          </w:p>
        </w:tc>
      </w:tr>
      <w:tr>
        <w:trPr>
          <w:cantSplit/>
        </w:trPr>
        <w:tc>
          <w:tcPr>
            <w:tcW w:type="dxa" w:w="3200"/>
            <w:tcMar>
              <w:top w:w="80" w:type="dxa"/>
              <w:start w:w="120" w:type="dxa"/>
              <w:bottom w:w="80" w:type="dxa"/>
              <w:end w:w="120" w:type="dxa"/>
            </w:tcMar>
            <w:vAlign w:val="center"/>
          </w:tcPr>
          <w:p>
            <w:pPr>
              <w:spacing w:after="0" w:line="252" w:lineRule="auto"/>
            </w:pPr>
            <w:r>
              <w:rPr>
                <w:rFonts w:ascii="Calibri" w:hAnsi="Calibri"/>
                <w:color w:val="111827"/>
                <w:sz w:val="17"/>
              </w:rPr>
              <w:t>audit_events</w:t>
            </w:r>
          </w:p>
        </w:tc>
        <w:tc>
          <w:tcPr>
            <w:tcW w:type="dxa" w:w="6160"/>
            <w:tcMar>
              <w:top w:w="80" w:type="dxa"/>
              <w:start w:w="120" w:type="dxa"/>
              <w:bottom w:w="80" w:type="dxa"/>
              <w:end w:w="120" w:type="dxa"/>
            </w:tcMar>
            <w:vAlign w:val="center"/>
          </w:tcPr>
          <w:p>
            <w:pPr>
              <w:spacing w:after="0" w:line="252" w:lineRule="auto"/>
            </w:pPr>
            <w:r>
              <w:rPr>
                <w:rFonts w:ascii="Calibri" w:hAnsi="Calibri"/>
                <w:color w:val="111827"/>
                <w:sz w:val="17"/>
              </w:rPr>
              <w:t>Security- and decision-relevant user/system actions</w:t>
            </w:r>
          </w:p>
        </w:tc>
      </w:tr>
    </w:tbl>
    <w:p>
      <w:pPr>
        <w:spacing w:after="60"/>
      </w:pPr>
    </w:p>
    <w:p>
      <w:pPr>
        <w:pStyle w:val="Heading2"/>
        <w:keepNext/>
        <w:keepLines/>
      </w:pPr>
      <w:r>
        <w:t>6.6 API redesign</w:t>
      </w:r>
    </w:p>
    <w:tbl>
      <w:tblPr>
        <w:tblStyle w:val="TableGrid"/>
        <w:tblW w:type="dxa" w:w="9360"/>
        <w:tblLayout w:type="fixed"/>
        <w:tblLook w:firstColumn="1" w:firstRow="1" w:lastColumn="0" w:lastRow="0" w:noHBand="0" w:noVBand="1" w:val="04A0"/>
        <w:tblInd w:w="120" w:type="dxa"/>
      </w:tblPr>
      <w:tblGrid>
        <w:gridCol w:w="3000"/>
        <w:gridCol w:w="3800"/>
        <w:gridCol w:w="2560"/>
      </w:tblGrid>
      <w:tr>
        <w:trPr>
          <w:tblHeader w:val="true"/>
          <w:cantSplit/>
        </w:trPr>
        <w:tc>
          <w:tcPr>
            <w:tcW w:type="dxa" w:w="3000"/>
            <w:tcMar>
              <w:top w:w="80" w:type="dxa"/>
              <w:start w:w="120" w:type="dxa"/>
              <w:bottom w:w="80" w:type="dxa"/>
              <w:end w:w="120" w:type="dxa"/>
            </w:tcMar>
            <w:vAlign w:val="center"/>
            <w:shd w:fill="E8EEF5"/>
          </w:tcPr>
          <w:p>
            <w:pPr>
              <w:spacing w:after="0"/>
              <w:jc w:val="left"/>
            </w:pPr>
            <w:r>
              <w:rPr>
                <w:rFonts w:ascii="Calibri" w:hAnsi="Calibri"/>
                <w:b/>
                <w:color w:val="0B2545"/>
                <w:sz w:val="15"/>
              </w:rPr>
              <w:t>Endpoint</w:t>
            </w:r>
          </w:p>
        </w:tc>
        <w:tc>
          <w:tcPr>
            <w:tcW w:type="dxa" w:w="3800"/>
            <w:tcMar>
              <w:top w:w="80" w:type="dxa"/>
              <w:start w:w="120" w:type="dxa"/>
              <w:bottom w:w="80" w:type="dxa"/>
              <w:end w:w="120" w:type="dxa"/>
            </w:tcMar>
            <w:vAlign w:val="center"/>
            <w:shd w:fill="E8EEF5"/>
          </w:tcPr>
          <w:p>
            <w:pPr>
              <w:spacing w:after="0"/>
              <w:jc w:val="left"/>
            </w:pPr>
            <w:r>
              <w:rPr>
                <w:rFonts w:ascii="Calibri" w:hAnsi="Calibri"/>
                <w:b/>
                <w:color w:val="0B2545"/>
                <w:sz w:val="15"/>
              </w:rPr>
              <w:t>Purpose</w:t>
            </w:r>
          </w:p>
        </w:tc>
        <w:tc>
          <w:tcPr>
            <w:tcW w:type="dxa" w:w="2560"/>
            <w:tcMar>
              <w:top w:w="80" w:type="dxa"/>
              <w:start w:w="120" w:type="dxa"/>
              <w:bottom w:w="80" w:type="dxa"/>
              <w:end w:w="120" w:type="dxa"/>
            </w:tcMar>
            <w:vAlign w:val="center"/>
            <w:shd w:fill="E8EEF5"/>
          </w:tcPr>
          <w:p>
            <w:pPr>
              <w:spacing w:after="0"/>
              <w:jc w:val="left"/>
            </w:pPr>
            <w:r>
              <w:rPr>
                <w:rFonts w:ascii="Calibri" w:hAnsi="Calibri"/>
                <w:b/>
                <w:color w:val="0B2545"/>
                <w:sz w:val="15"/>
              </w:rPr>
              <w:t>Contract notes</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POST /api/v1/xray</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Create URL/image/identifier research job</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Authenticated; idempotency key; quota</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GET /api/v1/research-jobs/{id}</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Job state, source tasks, real progress, costs, errors</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Workspace scoped</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GET /api/v1/research-jobs/{id}/events</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SSE stream of persisted progress events</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Reconnectable cursor</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GET /api/v1/products</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Search canonical products with evidence/market filters</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Cursor pagination</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GET /api/v1/products/{id}</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Product read model for selected market</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No synthetic fields</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GET /api/v1/products/{id}/timeline</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Time-aligned observations and derived changes</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Source/status filters</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GET /api/v1/products/{id}/evidence</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Observation ledger and lineage</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Export-aware rights</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POST /api/v1/products/{id}/refresh</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Queue permitted source collection</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No synchronous LLM scoring</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GET /api/v1/market-gaps</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Rank candidates by market and evidence coverage</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Insufficient-evidence state</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POST /api/v1/decisions</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Calculate and save scenario/assessment</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Formula version + idempotency</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GET /api/v1/decisions/{id}</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Reproduce saved decision and source versions</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Read-only share option</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POST /api/v1/rfqs</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Create structured RFQ draft</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No automatic send</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POST /api/v1/quotes</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Upload/enter supplier quote</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Virus scan + parsing job</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POST /api/v1/watchlists/{id}/items</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Watch product/scenario</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Threshold validation</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GET /api/v1/alerts</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Material changes and decision impact</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Cursor pagination</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color w:val="111827"/>
                <w:sz w:val="15"/>
              </w:rPr>
              <w:t>GET /api/v1/data-health</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5"/>
              </w:rPr>
              <w:t>Coverage, freshness, latency, failures, quota</w:t>
            </w:r>
          </w:p>
        </w:tc>
        <w:tc>
          <w:tcPr>
            <w:tcW w:type="dxa" w:w="2560"/>
            <w:tcMar>
              <w:top w:w="80" w:type="dxa"/>
              <w:start w:w="120" w:type="dxa"/>
              <w:bottom w:w="80" w:type="dxa"/>
              <w:end w:w="120" w:type="dxa"/>
            </w:tcMar>
            <w:vAlign w:val="center"/>
          </w:tcPr>
          <w:p>
            <w:pPr>
              <w:spacing w:after="0" w:line="252" w:lineRule="auto"/>
            </w:pPr>
            <w:r>
              <w:rPr>
                <w:rFonts w:ascii="Calibri" w:hAnsi="Calibri"/>
                <w:color w:val="111827"/>
                <w:sz w:val="15"/>
              </w:rPr>
              <w:t>Admin plus safe user view</w:t>
            </w:r>
          </w:p>
        </w:tc>
      </w:tr>
    </w:tbl>
    <w:p>
      <w:pPr>
        <w:spacing w:after="60"/>
      </w:pPr>
    </w:p>
    <w:p>
      <w:pPr>
        <w:pStyle w:val="Heading2"/>
        <w:keepNext/>
        <w:keepLines/>
      </w:pPr>
      <w:r>
        <w:t>6.7 Frontend module plan</w:t>
      </w:r>
    </w:p>
    <w:p>
      <w:pPr>
        <w:keepLines/>
        <w:numPr>
          <w:ilvl w:val="0"/>
          <w:numId w:val="10"/>
        </w:numPr>
        <w:spacing w:after="160" w:line="280" w:lineRule="auto"/>
      </w:pPr>
      <w:r>
        <w:rPr>
          <w:rFonts w:ascii="Calibri" w:hAnsi="Calibri"/>
          <w:color w:val="111827"/>
          <w:sz w:val="22"/>
        </w:rPr>
        <w:t>features/today - overnight brief, opportunity cards, warnings, next actions</w:t>
      </w:r>
    </w:p>
    <w:p>
      <w:pPr>
        <w:keepLines/>
        <w:numPr>
          <w:ilvl w:val="0"/>
          <w:numId w:val="10"/>
        </w:numPr>
        <w:spacing w:after="160" w:line="280" w:lineRule="auto"/>
      </w:pPr>
      <w:r>
        <w:rPr>
          <w:rFonts w:ascii="Calibri" w:hAnsi="Calibri"/>
          <w:color w:val="111827"/>
          <w:sz w:val="22"/>
        </w:rPr>
        <w:t>features/xray - input, job progress, candidate matches, confirmation</w:t>
      </w:r>
    </w:p>
    <w:p>
      <w:pPr>
        <w:keepLines/>
        <w:numPr>
          <w:ilvl w:val="0"/>
          <w:numId w:val="10"/>
        </w:numPr>
        <w:spacing w:after="160" w:line="280" w:lineRule="auto"/>
      </w:pPr>
      <w:r>
        <w:rPr>
          <w:rFonts w:ascii="Calibri" w:hAnsi="Calibri"/>
          <w:color w:val="111827"/>
          <w:sz w:val="22"/>
        </w:rPr>
        <w:t>features/products - discovery filters, product view, proof timeline, evidence drawer</w:t>
      </w:r>
    </w:p>
    <w:p>
      <w:pPr>
        <w:keepLines/>
        <w:numPr>
          <w:ilvl w:val="0"/>
          <w:numId w:val="10"/>
        </w:numPr>
        <w:spacing w:after="160" w:line="280" w:lineRule="auto"/>
      </w:pPr>
      <w:r>
        <w:rPr>
          <w:rFonts w:ascii="Calibri" w:hAnsi="Calibri"/>
          <w:color w:val="111827"/>
          <w:sz w:val="22"/>
        </w:rPr>
        <w:t>features/markets - gap radar and market coverage</w:t>
      </w:r>
    </w:p>
    <w:p>
      <w:pPr>
        <w:keepLines/>
        <w:numPr>
          <w:ilvl w:val="0"/>
          <w:numId w:val="10"/>
        </w:numPr>
        <w:spacing w:after="160" w:line="280" w:lineRule="auto"/>
      </w:pPr>
      <w:r>
        <w:rPr>
          <w:rFonts w:ascii="Calibri" w:hAnsi="Calibri"/>
          <w:color w:val="111827"/>
          <w:sz w:val="22"/>
        </w:rPr>
        <w:t>features/decisions - scenario form, waterfall, sensitivity, decision header, exports</w:t>
      </w:r>
    </w:p>
    <w:p>
      <w:pPr>
        <w:keepLines/>
        <w:numPr>
          <w:ilvl w:val="0"/>
          <w:numId w:val="10"/>
        </w:numPr>
        <w:spacing w:after="160" w:line="280" w:lineRule="auto"/>
      </w:pPr>
      <w:r>
        <w:rPr>
          <w:rFonts w:ascii="Calibri" w:hAnsi="Calibri"/>
          <w:color w:val="111827"/>
          <w:sz w:val="22"/>
        </w:rPr>
        <w:t>features/creative - evidence gallery and derived Creative DNA</w:t>
      </w:r>
    </w:p>
    <w:p>
      <w:pPr>
        <w:keepLines/>
        <w:numPr>
          <w:ilvl w:val="0"/>
          <w:numId w:val="10"/>
        </w:numPr>
        <w:spacing w:after="160" w:line="280" w:lineRule="auto"/>
      </w:pPr>
      <w:r>
        <w:rPr>
          <w:rFonts w:ascii="Calibri" w:hAnsi="Calibri"/>
          <w:color w:val="111827"/>
          <w:sz w:val="22"/>
        </w:rPr>
        <w:t>features/suppliers - RFQ, quotes, comparison, samples, certificates</w:t>
      </w:r>
    </w:p>
    <w:p>
      <w:pPr>
        <w:keepLines/>
        <w:numPr>
          <w:ilvl w:val="0"/>
          <w:numId w:val="10"/>
        </w:numPr>
        <w:spacing w:after="160" w:line="280" w:lineRule="auto"/>
      </w:pPr>
      <w:r>
        <w:rPr>
          <w:rFonts w:ascii="Calibri" w:hAnsi="Calibri"/>
          <w:color w:val="111827"/>
          <w:sz w:val="22"/>
        </w:rPr>
        <w:t>features/watchtower - watch rules, alert feed, delivery preferences</w:t>
      </w:r>
    </w:p>
    <w:p>
      <w:pPr>
        <w:keepLines/>
        <w:numPr>
          <w:ilvl w:val="0"/>
          <w:numId w:val="10"/>
        </w:numPr>
        <w:spacing w:after="160" w:line="280" w:lineRule="auto"/>
      </w:pPr>
      <w:r>
        <w:rPr>
          <w:rFonts w:ascii="Calibri" w:hAnsi="Calibri"/>
          <w:color w:val="111827"/>
          <w:sz w:val="22"/>
        </w:rPr>
        <w:t>features/data-health - connectors, freshness, limitations, status history</w:t>
      </w:r>
    </w:p>
    <w:p>
      <w:pPr>
        <w:keepLines/>
        <w:numPr>
          <w:ilvl w:val="0"/>
          <w:numId w:val="10"/>
        </w:numPr>
        <w:spacing w:after="160" w:line="280" w:lineRule="auto"/>
      </w:pPr>
      <w:r>
        <w:rPr>
          <w:rFonts w:ascii="Calibri" w:hAnsi="Calibri"/>
          <w:color w:val="111827"/>
          <w:sz w:val="22"/>
        </w:rPr>
        <w:t>shared/api - OpenAPI-generated client, runtime validation, error taxonomy</w:t>
      </w:r>
    </w:p>
    <w:p>
      <w:pPr>
        <w:keepLines/>
        <w:numPr>
          <w:ilvl w:val="0"/>
          <w:numId w:val="10"/>
        </w:numPr>
        <w:spacing w:after="160" w:line="280" w:lineRule="auto"/>
      </w:pPr>
      <w:r>
        <w:rPr>
          <w:rFonts w:ascii="Calibri" w:hAnsi="Calibri"/>
          <w:color w:val="111827"/>
          <w:sz w:val="22"/>
        </w:rPr>
        <w:t>shared/components - SourceChip, TruthBadge, ConfidenceMeter, StaleBanner, EvidenceDrawer, EmptyEvidenceState</w:t>
      </w:r>
    </w:p>
    <w:p>
      <w:r>
        <w:br w:type="page"/>
      </w:r>
    </w:p>
    <w:p>
      <w:pPr>
        <w:pStyle w:val="Heading1"/>
        <w:keepNext/>
        <w:keepLines/>
      </w:pPr>
      <w:r>
        <w:t>7. UX, security, and operational design</w:t>
      </w:r>
    </w:p>
    <w:p>
      <w:pPr>
        <w:pStyle w:val="Heading2"/>
        <w:keepNext/>
        <w:keepLines/>
      </w:pPr>
      <w:r>
        <w:t>7.1 Visual language</w:t>
      </w:r>
    </w:p>
    <w:tbl>
      <w:tblPr>
        <w:tblStyle w:val="TableGrid"/>
        <w:tblW w:type="dxa" w:w="9360"/>
        <w:tblLayout w:type="fixed"/>
        <w:tblLook w:firstColumn="1" w:firstRow="1" w:lastColumn="0" w:lastRow="0" w:noHBand="0" w:noVBand="1" w:val="04A0"/>
        <w:tblInd w:w="120" w:type="dxa"/>
      </w:tblPr>
      <w:tblGrid>
        <w:gridCol w:w="1600"/>
        <w:gridCol w:w="3900"/>
        <w:gridCol w:w="3860"/>
      </w:tblGrid>
      <w:tr>
        <w:trPr>
          <w:tblHeader w:val="true"/>
          <w:cantSplit/>
        </w:trPr>
        <w:tc>
          <w:tcPr>
            <w:tcW w:type="dxa" w:w="1600"/>
            <w:tcMar>
              <w:top w:w="80" w:type="dxa"/>
              <w:start w:w="120" w:type="dxa"/>
              <w:bottom w:w="80" w:type="dxa"/>
              <w:end w:w="120" w:type="dxa"/>
            </w:tcMar>
            <w:vAlign w:val="center"/>
            <w:shd w:fill="E8EEF5"/>
          </w:tcPr>
          <w:p>
            <w:pPr>
              <w:spacing w:after="0"/>
              <w:jc w:val="left"/>
            </w:pPr>
            <w:r>
              <w:rPr>
                <w:rFonts w:ascii="Calibri" w:hAnsi="Calibri"/>
                <w:b/>
                <w:color w:val="0B2545"/>
                <w:sz w:val="17"/>
              </w:rPr>
              <w:t>Element</w:t>
            </w:r>
          </w:p>
        </w:tc>
        <w:tc>
          <w:tcPr>
            <w:tcW w:type="dxa" w:w="3900"/>
            <w:tcMar>
              <w:top w:w="80" w:type="dxa"/>
              <w:start w:w="120" w:type="dxa"/>
              <w:bottom w:w="80" w:type="dxa"/>
              <w:end w:w="120" w:type="dxa"/>
            </w:tcMar>
            <w:vAlign w:val="center"/>
            <w:shd w:fill="E8EEF5"/>
          </w:tcPr>
          <w:p>
            <w:pPr>
              <w:spacing w:after="0"/>
              <w:jc w:val="left"/>
            </w:pPr>
            <w:r>
              <w:rPr>
                <w:rFonts w:ascii="Calibri" w:hAnsi="Calibri"/>
                <w:b/>
                <w:color w:val="0B2545"/>
                <w:sz w:val="17"/>
              </w:rPr>
              <w:t>Standard</w:t>
            </w:r>
          </w:p>
        </w:tc>
        <w:tc>
          <w:tcPr>
            <w:tcW w:type="dxa" w:w="3860"/>
            <w:tcMar>
              <w:top w:w="80" w:type="dxa"/>
              <w:start w:w="120" w:type="dxa"/>
              <w:bottom w:w="80" w:type="dxa"/>
              <w:end w:w="120" w:type="dxa"/>
            </w:tcMar>
            <w:vAlign w:val="center"/>
            <w:shd w:fill="E8EEF5"/>
          </w:tcPr>
          <w:p>
            <w:pPr>
              <w:spacing w:after="0"/>
              <w:jc w:val="left"/>
            </w:pPr>
            <w:r>
              <w:rPr>
                <w:rFonts w:ascii="Calibri" w:hAnsi="Calibri"/>
                <w:b/>
                <w:color w:val="0B2545"/>
                <w:sz w:val="17"/>
              </w:rPr>
              <w:t>Implementation note</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111827"/>
                <w:sz w:val="17"/>
              </w:rPr>
              <w:t>Decision colors</w:t>
            </w:r>
          </w:p>
        </w:tc>
        <w:tc>
          <w:tcPr>
            <w:tcW w:type="dxa" w:w="3900"/>
            <w:tcMar>
              <w:top w:w="80" w:type="dxa"/>
              <w:start w:w="120" w:type="dxa"/>
              <w:bottom w:w="80" w:type="dxa"/>
              <w:end w:w="120" w:type="dxa"/>
            </w:tcMar>
            <w:vAlign w:val="center"/>
          </w:tcPr>
          <w:p>
            <w:pPr>
              <w:spacing w:after="0" w:line="252" w:lineRule="auto"/>
            </w:pPr>
            <w:r>
              <w:rPr>
                <w:rFonts w:ascii="Calibri" w:hAnsi="Calibri"/>
                <w:color w:val="111827"/>
                <w:sz w:val="17"/>
              </w:rPr>
              <w:t>Emerald=GO, amber=WATCH, rose=NO-GO, slate=insufficient evidence</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Never use green for a low-confidence opportunity</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111827"/>
                <w:sz w:val="17"/>
              </w:rPr>
              <w:t>Truth badges</w:t>
            </w:r>
          </w:p>
        </w:tc>
        <w:tc>
          <w:tcPr>
            <w:tcW w:type="dxa" w:w="3900"/>
            <w:tcMar>
              <w:top w:w="80" w:type="dxa"/>
              <w:start w:w="120" w:type="dxa"/>
              <w:bottom w:w="80" w:type="dxa"/>
              <w:end w:w="120" w:type="dxa"/>
            </w:tcMar>
            <w:vAlign w:val="center"/>
          </w:tcPr>
          <w:p>
            <w:pPr>
              <w:spacing w:after="0" w:line="252" w:lineRule="auto"/>
            </w:pPr>
            <w:r>
              <w:rPr>
                <w:rFonts w:ascii="Calibri" w:hAnsi="Calibri"/>
                <w:color w:val="111827"/>
                <w:sz w:val="17"/>
              </w:rPr>
              <w:t>Observed, Calculated, Estimated, User input, Unavailable, Demo</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Appear beside values, in tooltips, and exports</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111827"/>
                <w:sz w:val="17"/>
              </w:rPr>
              <w:t>Freshness</w:t>
            </w:r>
          </w:p>
        </w:tc>
        <w:tc>
          <w:tcPr>
            <w:tcW w:type="dxa" w:w="3900"/>
            <w:tcMar>
              <w:top w:w="80" w:type="dxa"/>
              <w:start w:w="120" w:type="dxa"/>
              <w:bottom w:w="80" w:type="dxa"/>
              <w:end w:w="120" w:type="dxa"/>
            </w:tcMar>
            <w:vAlign w:val="center"/>
          </w:tcPr>
          <w:p>
            <w:pPr>
              <w:spacing w:after="0" w:line="252" w:lineRule="auto"/>
            </w:pPr>
            <w:r>
              <w:rPr>
                <w:rFonts w:ascii="Calibri" w:hAnsi="Calibri"/>
                <w:color w:val="111827"/>
                <w:sz w:val="17"/>
              </w:rPr>
              <w:t>Relative time plus exact UTC/local timestamp</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Stale values use muted treatment and reason</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111827"/>
                <w:sz w:val="17"/>
              </w:rPr>
              <w:t>Confidence</w:t>
            </w:r>
          </w:p>
        </w:tc>
        <w:tc>
          <w:tcPr>
            <w:tcW w:type="dxa" w:w="3900"/>
            <w:tcMar>
              <w:top w:w="80" w:type="dxa"/>
              <w:start w:w="120" w:type="dxa"/>
              <w:bottom w:w="80" w:type="dxa"/>
              <w:end w:w="120" w:type="dxa"/>
            </w:tcMar>
            <w:vAlign w:val="center"/>
          </w:tcPr>
          <w:p>
            <w:pPr>
              <w:spacing w:after="0" w:line="252" w:lineRule="auto"/>
            </w:pPr>
            <w:r>
              <w:rPr>
                <w:rFonts w:ascii="Calibri" w:hAnsi="Calibri"/>
                <w:color w:val="111827"/>
                <w:sz w:val="17"/>
              </w:rPr>
              <w:t>Numeric score plus short explanation</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Avoid decorative gauges without an evidence drill-down</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111827"/>
                <w:sz w:val="17"/>
              </w:rPr>
              <w:t>Unavailable state</w:t>
            </w:r>
          </w:p>
        </w:tc>
        <w:tc>
          <w:tcPr>
            <w:tcW w:type="dxa" w:w="3900"/>
            <w:tcMar>
              <w:top w:w="80" w:type="dxa"/>
              <w:start w:w="120" w:type="dxa"/>
              <w:bottom w:w="80" w:type="dxa"/>
              <w:end w:w="120" w:type="dxa"/>
            </w:tcMar>
            <w:vAlign w:val="center"/>
          </w:tcPr>
          <w:p>
            <w:pPr>
              <w:spacing w:after="0" w:line="252" w:lineRule="auto"/>
            </w:pPr>
            <w:r>
              <w:rPr>
                <w:rFonts w:ascii="Calibri" w:hAnsi="Calibri"/>
                <w:color w:val="111827"/>
                <w:sz w:val="17"/>
              </w:rPr>
              <w:t>Explain source, reason, last success, and next retry</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No empty card that implies zero</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111827"/>
                <w:sz w:val="17"/>
              </w:rPr>
              <w:t>Density</w:t>
            </w:r>
          </w:p>
        </w:tc>
        <w:tc>
          <w:tcPr>
            <w:tcW w:type="dxa" w:w="3900"/>
            <w:tcMar>
              <w:top w:w="80" w:type="dxa"/>
              <w:start w:w="120" w:type="dxa"/>
              <w:bottom w:w="80" w:type="dxa"/>
              <w:end w:w="120" w:type="dxa"/>
            </w:tcMar>
            <w:vAlign w:val="center"/>
          </w:tcPr>
          <w:p>
            <w:pPr>
              <w:spacing w:after="0" w:line="252" w:lineRule="auto"/>
            </w:pPr>
            <w:r>
              <w:rPr>
                <w:rFonts w:ascii="Calibri" w:hAnsi="Calibri"/>
                <w:color w:val="111827"/>
                <w:sz w:val="17"/>
              </w:rPr>
              <w:t>Progressive disclosure with evidence drawer</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Decision first; raw evidence one click away</w:t>
            </w:r>
          </w:p>
        </w:tc>
      </w:tr>
      <w:tr>
        <w:trPr>
          <w:cantSplit/>
        </w:trPr>
        <w:tc>
          <w:tcPr>
            <w:tcW w:type="dxa" w:w="1600"/>
            <w:tcMar>
              <w:top w:w="80" w:type="dxa"/>
              <w:start w:w="120" w:type="dxa"/>
              <w:bottom w:w="80" w:type="dxa"/>
              <w:end w:w="120" w:type="dxa"/>
            </w:tcMar>
            <w:vAlign w:val="center"/>
          </w:tcPr>
          <w:p>
            <w:pPr>
              <w:spacing w:after="0" w:line="252" w:lineRule="auto"/>
            </w:pPr>
            <w:r>
              <w:rPr>
                <w:rFonts w:ascii="Calibri" w:hAnsi="Calibri"/>
                <w:color w:val="111827"/>
                <w:sz w:val="17"/>
              </w:rPr>
              <w:t>Accessibility</w:t>
            </w:r>
          </w:p>
        </w:tc>
        <w:tc>
          <w:tcPr>
            <w:tcW w:type="dxa" w:w="3900"/>
            <w:tcMar>
              <w:top w:w="80" w:type="dxa"/>
              <w:start w:w="120" w:type="dxa"/>
              <w:bottom w:w="80" w:type="dxa"/>
              <w:end w:w="120" w:type="dxa"/>
            </w:tcMar>
            <w:vAlign w:val="center"/>
          </w:tcPr>
          <w:p>
            <w:pPr>
              <w:spacing w:after="0" w:line="252" w:lineRule="auto"/>
            </w:pPr>
            <w:r>
              <w:rPr>
                <w:rFonts w:ascii="Calibri" w:hAnsi="Calibri"/>
                <w:color w:val="111827"/>
                <w:sz w:val="17"/>
              </w:rPr>
              <w:t>Keyboard navigation, visible focus, semantic headings, contrast, chart table alternative</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7"/>
              </w:rPr>
              <w:t>WCAG 2.2 AA target</w:t>
            </w:r>
          </w:p>
        </w:tc>
      </w:tr>
    </w:tbl>
    <w:p>
      <w:pPr>
        <w:spacing w:after="60"/>
      </w:pPr>
    </w:p>
    <w:p>
      <w:pPr>
        <w:pStyle w:val="Heading2"/>
        <w:keepNext/>
        <w:keepLines/>
      </w:pPr>
      <w:r>
        <w:t>7.2 Authentication and tenant model</w:t>
      </w:r>
    </w:p>
    <w:p>
      <w:pPr>
        <w:keepLines/>
        <w:numPr>
          <w:ilvl w:val="0"/>
          <w:numId w:val="10"/>
        </w:numPr>
        <w:spacing w:after="160" w:line="280" w:lineRule="auto"/>
      </w:pPr>
      <w:r>
        <w:rPr>
          <w:rFonts w:ascii="Calibri" w:hAnsi="Calibri"/>
          <w:color w:val="111827"/>
          <w:sz w:val="22"/>
        </w:rPr>
        <w:t>Require accounts before running paid research. Support email/password or managed identity provider; use secure, revocable sessions.</w:t>
      </w:r>
    </w:p>
    <w:p>
      <w:pPr>
        <w:keepLines/>
        <w:numPr>
          <w:ilvl w:val="0"/>
          <w:numId w:val="10"/>
        </w:numPr>
        <w:spacing w:after="160" w:line="280" w:lineRule="auto"/>
      </w:pPr>
      <w:r>
        <w:rPr>
          <w:rFonts w:ascii="Calibri" w:hAnsi="Calibri"/>
          <w:color w:val="111827"/>
          <w:sz w:val="22"/>
        </w:rPr>
        <w:t>Every mutable and paid record carries workspace_id; every repository query enforces workspace scope.</w:t>
      </w:r>
    </w:p>
    <w:p>
      <w:pPr>
        <w:keepLines/>
        <w:numPr>
          <w:ilvl w:val="0"/>
          <w:numId w:val="10"/>
        </w:numPr>
        <w:spacing w:after="160" w:line="280" w:lineRule="auto"/>
      </w:pPr>
      <w:r>
        <w:rPr>
          <w:rFonts w:ascii="Calibri" w:hAnsi="Calibri"/>
          <w:color w:val="111827"/>
          <w:sz w:val="22"/>
        </w:rPr>
        <w:t>Initial roles: Owner, Analyst, and Viewer. Only Owner manages integrations, billing, members, and exports with sensitive first-party data.</w:t>
      </w:r>
    </w:p>
    <w:p>
      <w:pPr>
        <w:keepLines/>
        <w:numPr>
          <w:ilvl w:val="0"/>
          <w:numId w:val="10"/>
        </w:numPr>
        <w:spacing w:after="160" w:line="280" w:lineRule="auto"/>
      </w:pPr>
      <w:r>
        <w:rPr>
          <w:rFonts w:ascii="Calibri" w:hAnsi="Calibri"/>
          <w:color w:val="111827"/>
          <w:sz w:val="22"/>
        </w:rPr>
        <w:t>Share links use scoped, revocable tokens, expiration, export-rights filtering, and no access to raw credentials or private first-party observations.</w:t>
      </w:r>
    </w:p>
    <w:p>
      <w:pPr>
        <w:keepLines/>
        <w:numPr>
          <w:ilvl w:val="0"/>
          <w:numId w:val="10"/>
        </w:numPr>
        <w:spacing w:after="160" w:line="280" w:lineRule="auto"/>
      </w:pPr>
      <w:r>
        <w:rPr>
          <w:rFonts w:ascii="Calibri" w:hAnsi="Calibri"/>
          <w:color w:val="111827"/>
          <w:sz w:val="22"/>
        </w:rPr>
        <w:t>Record audit events for login, connector changes, research jobs, decisions, RFQ sends, quote uploads, exports, and campaign approvals.</w:t>
      </w:r>
    </w:p>
    <w:p>
      <w:pPr>
        <w:pStyle w:val="Heading2"/>
        <w:keepNext/>
        <w:keepLines/>
      </w:pPr>
      <w:r>
        <w:t>7.3 Security controls</w:t>
      </w:r>
    </w:p>
    <w:tbl>
      <w:tblPr>
        <w:tblStyle w:val="TableGrid"/>
        <w:tblW w:type="dxa" w:w="9360"/>
        <w:tblLayout w:type="fixed"/>
        <w:tblLook w:firstColumn="1" w:firstRow="1" w:lastColumn="0" w:lastRow="0" w:noHBand="0" w:noVBand="1" w:val="04A0"/>
        <w:tblInd w:w="120" w:type="dxa"/>
      </w:tblPr>
      <w:tblGrid>
        <w:gridCol w:w="1400"/>
        <w:gridCol w:w="6760"/>
        <w:gridCol w:w="1200"/>
      </w:tblGrid>
      <w:tr>
        <w:trPr>
          <w:tblHeader w:val="true"/>
          <w:cantSplit/>
        </w:trPr>
        <w:tc>
          <w:tcPr>
            <w:tcW w:type="dxa" w:w="1400"/>
            <w:tcMar>
              <w:top w:w="80" w:type="dxa"/>
              <w:start w:w="120" w:type="dxa"/>
              <w:bottom w:w="80" w:type="dxa"/>
              <w:end w:w="120" w:type="dxa"/>
            </w:tcMar>
            <w:vAlign w:val="center"/>
            <w:shd w:fill="FDECEC"/>
          </w:tcPr>
          <w:p>
            <w:pPr>
              <w:spacing w:after="0"/>
              <w:jc w:val="left"/>
            </w:pPr>
            <w:r>
              <w:rPr>
                <w:rFonts w:ascii="Calibri" w:hAnsi="Calibri"/>
                <w:b/>
                <w:color w:val="0B2545"/>
                <w:sz w:val="16"/>
              </w:rPr>
              <w:t>Area</w:t>
            </w:r>
          </w:p>
        </w:tc>
        <w:tc>
          <w:tcPr>
            <w:tcW w:type="dxa" w:w="6760"/>
            <w:tcMar>
              <w:top w:w="80" w:type="dxa"/>
              <w:start w:w="120" w:type="dxa"/>
              <w:bottom w:w="80" w:type="dxa"/>
              <w:end w:w="120" w:type="dxa"/>
            </w:tcMar>
            <w:vAlign w:val="center"/>
            <w:shd w:fill="FDECEC"/>
          </w:tcPr>
          <w:p>
            <w:pPr>
              <w:spacing w:after="0"/>
              <w:jc w:val="left"/>
            </w:pPr>
            <w:r>
              <w:rPr>
                <w:rFonts w:ascii="Calibri" w:hAnsi="Calibri"/>
                <w:b/>
                <w:color w:val="0B2545"/>
                <w:sz w:val="16"/>
              </w:rPr>
              <w:t>Required control</w:t>
            </w:r>
          </w:p>
        </w:tc>
        <w:tc>
          <w:tcPr>
            <w:tcW w:type="dxa" w:w="1200"/>
            <w:tcMar>
              <w:top w:w="80" w:type="dxa"/>
              <w:start w:w="120" w:type="dxa"/>
              <w:bottom w:w="80" w:type="dxa"/>
              <w:end w:w="120" w:type="dxa"/>
            </w:tcMar>
            <w:vAlign w:val="center"/>
            <w:shd w:fill="FDECEC"/>
          </w:tcPr>
          <w:p>
            <w:pPr>
              <w:spacing w:after="0"/>
              <w:jc w:val="left"/>
            </w:pPr>
            <w:r>
              <w:rPr>
                <w:rFonts w:ascii="Calibri" w:hAnsi="Calibri"/>
                <w:b/>
                <w:color w:val="0B2545"/>
                <w:sz w:val="16"/>
              </w:rPr>
              <w:t>Priority</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Secrets</w:t>
            </w:r>
          </w:p>
        </w:tc>
        <w:tc>
          <w:tcPr>
            <w:tcW w:type="dxa" w:w="6760"/>
            <w:tcMar>
              <w:top w:w="80" w:type="dxa"/>
              <w:start w:w="120" w:type="dxa"/>
              <w:bottom w:w="80" w:type="dxa"/>
              <w:end w:w="120" w:type="dxa"/>
            </w:tcMar>
            <w:vAlign w:val="center"/>
          </w:tcPr>
          <w:p>
            <w:pPr>
              <w:spacing w:after="0" w:line="252" w:lineRule="auto"/>
            </w:pPr>
            <w:r>
              <w:rPr>
                <w:rFonts w:ascii="Calibri" w:hAnsi="Calibri"/>
                <w:color w:val="111827"/>
                <w:sz w:val="16"/>
              </w:rPr>
              <w:t>Rotate exposed credentials; use AWS Secrets Manager; no keys in examples, logs, prompts, or client bundles</w:t>
            </w:r>
          </w:p>
        </w:tc>
        <w:tc>
          <w:tcPr>
            <w:tcW w:type="dxa" w:w="1200"/>
            <w:tcMar>
              <w:top w:w="80" w:type="dxa"/>
              <w:start w:w="120" w:type="dxa"/>
              <w:bottom w:w="80" w:type="dxa"/>
              <w:end w:w="120" w:type="dxa"/>
            </w:tcMar>
            <w:vAlign w:val="center"/>
          </w:tcPr>
          <w:p>
            <w:pPr>
              <w:spacing w:after="0" w:line="252" w:lineRule="auto"/>
            </w:pPr>
            <w:r>
              <w:rPr>
                <w:rFonts w:ascii="Calibri" w:hAnsi="Calibri"/>
                <w:color w:val="111827"/>
                <w:sz w:val="16"/>
              </w:rPr>
              <w:t>P0</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SSRF</w:t>
            </w:r>
          </w:p>
        </w:tc>
        <w:tc>
          <w:tcPr>
            <w:tcW w:type="dxa" w:w="6760"/>
            <w:tcMar>
              <w:top w:w="80" w:type="dxa"/>
              <w:start w:w="120" w:type="dxa"/>
              <w:bottom w:w="80" w:type="dxa"/>
              <w:end w:w="120" w:type="dxa"/>
            </w:tcMar>
            <w:vAlign w:val="center"/>
          </w:tcPr>
          <w:p>
            <w:pPr>
              <w:spacing w:after="0" w:line="252" w:lineRule="auto"/>
            </w:pPr>
            <w:r>
              <w:rPr>
                <w:rFonts w:ascii="Calibri" w:hAnsi="Calibri"/>
                <w:color w:val="111827"/>
                <w:sz w:val="16"/>
              </w:rPr>
              <w:t>URL scheme/host allowlist, DNS rebinding defense, redirect validation, private/link-local block, size/MIME limits</w:t>
            </w:r>
          </w:p>
        </w:tc>
        <w:tc>
          <w:tcPr>
            <w:tcW w:type="dxa" w:w="1200"/>
            <w:tcMar>
              <w:top w:w="80" w:type="dxa"/>
              <w:start w:w="120" w:type="dxa"/>
              <w:bottom w:w="80" w:type="dxa"/>
              <w:end w:w="120" w:type="dxa"/>
            </w:tcMar>
            <w:vAlign w:val="center"/>
          </w:tcPr>
          <w:p>
            <w:pPr>
              <w:spacing w:after="0" w:line="252" w:lineRule="auto"/>
            </w:pPr>
            <w:r>
              <w:rPr>
                <w:rFonts w:ascii="Calibri" w:hAnsi="Calibri"/>
                <w:color w:val="111827"/>
                <w:sz w:val="16"/>
              </w:rPr>
              <w:t>P0 for X-Ray</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Uploads</w:t>
            </w:r>
          </w:p>
        </w:tc>
        <w:tc>
          <w:tcPr>
            <w:tcW w:type="dxa" w:w="6760"/>
            <w:tcMar>
              <w:top w:w="80" w:type="dxa"/>
              <w:start w:w="120" w:type="dxa"/>
              <w:bottom w:w="80" w:type="dxa"/>
              <w:end w:w="120" w:type="dxa"/>
            </w:tcMar>
            <w:vAlign w:val="center"/>
          </w:tcPr>
          <w:p>
            <w:pPr>
              <w:spacing w:after="0" w:line="252" w:lineRule="auto"/>
            </w:pPr>
            <w:r>
              <w:rPr>
                <w:rFonts w:ascii="Calibri" w:hAnsi="Calibri"/>
                <w:color w:val="111827"/>
                <w:sz w:val="16"/>
              </w:rPr>
              <w:t>Presigned upload, antivirus scanning, MIME verification, size limits, private bucket, retention</w:t>
            </w:r>
          </w:p>
        </w:tc>
        <w:tc>
          <w:tcPr>
            <w:tcW w:type="dxa" w:w="1200"/>
            <w:tcMar>
              <w:top w:w="80" w:type="dxa"/>
              <w:start w:w="120" w:type="dxa"/>
              <w:bottom w:w="80" w:type="dxa"/>
              <w:end w:w="120" w:type="dxa"/>
            </w:tcMar>
            <w:vAlign w:val="center"/>
          </w:tcPr>
          <w:p>
            <w:pPr>
              <w:spacing w:after="0" w:line="252" w:lineRule="auto"/>
            </w:pPr>
            <w:r>
              <w:rPr>
                <w:rFonts w:ascii="Calibri" w:hAnsi="Calibri"/>
                <w:color w:val="111827"/>
                <w:sz w:val="16"/>
              </w:rPr>
              <w:t>P0 - uploads</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Abuse and cost</w:t>
            </w:r>
          </w:p>
        </w:tc>
        <w:tc>
          <w:tcPr>
            <w:tcW w:type="dxa" w:w="6760"/>
            <w:tcMar>
              <w:top w:w="80" w:type="dxa"/>
              <w:start w:w="120" w:type="dxa"/>
              <w:bottom w:w="80" w:type="dxa"/>
              <w:end w:w="120" w:type="dxa"/>
            </w:tcMar>
            <w:vAlign w:val="center"/>
          </w:tcPr>
          <w:p>
            <w:pPr>
              <w:spacing w:after="0" w:line="252" w:lineRule="auto"/>
            </w:pPr>
            <w:r>
              <w:rPr>
                <w:rFonts w:ascii="Calibri" w:hAnsi="Calibri"/>
                <w:color w:val="111827"/>
                <w:sz w:val="16"/>
              </w:rPr>
              <w:t>Per-user/workspace quotas, rate limits, concurrency caps, daily cost ceiling, idempotency</w:t>
            </w:r>
          </w:p>
        </w:tc>
        <w:tc>
          <w:tcPr>
            <w:tcW w:type="dxa" w:w="1200"/>
            <w:tcMar>
              <w:top w:w="80" w:type="dxa"/>
              <w:start w:w="120" w:type="dxa"/>
              <w:bottom w:w="80" w:type="dxa"/>
              <w:end w:w="120" w:type="dxa"/>
            </w:tcMar>
            <w:vAlign w:val="center"/>
          </w:tcPr>
          <w:p>
            <w:pPr>
              <w:spacing w:after="0" w:line="252" w:lineRule="auto"/>
            </w:pPr>
            <w:r>
              <w:rPr>
                <w:rFonts w:ascii="Calibri" w:hAnsi="Calibri"/>
                <w:color w:val="111827"/>
                <w:sz w:val="16"/>
              </w:rPr>
              <w:t>P0</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Web</w:t>
            </w:r>
          </w:p>
        </w:tc>
        <w:tc>
          <w:tcPr>
            <w:tcW w:type="dxa" w:w="6760"/>
            <w:tcMar>
              <w:top w:w="80" w:type="dxa"/>
              <w:start w:w="120" w:type="dxa"/>
              <w:bottom w:w="80" w:type="dxa"/>
              <w:end w:w="120" w:type="dxa"/>
            </w:tcMar>
            <w:vAlign w:val="center"/>
          </w:tcPr>
          <w:p>
            <w:pPr>
              <w:spacing w:after="0" w:line="252" w:lineRule="auto"/>
            </w:pPr>
            <w:r>
              <w:rPr>
                <w:rFonts w:ascii="Calibri" w:hAnsi="Calibri"/>
                <w:color w:val="111827"/>
                <w:sz w:val="16"/>
              </w:rPr>
              <w:t>Strict CORS allowlist, CSRF protection for cookie auth, CSP, HSTS, secure cookies</w:t>
            </w:r>
          </w:p>
        </w:tc>
        <w:tc>
          <w:tcPr>
            <w:tcW w:type="dxa" w:w="1200"/>
            <w:tcMar>
              <w:top w:w="80" w:type="dxa"/>
              <w:start w:w="120" w:type="dxa"/>
              <w:bottom w:w="80" w:type="dxa"/>
              <w:end w:w="120" w:type="dxa"/>
            </w:tcMar>
            <w:vAlign w:val="center"/>
          </w:tcPr>
          <w:p>
            <w:pPr>
              <w:spacing w:after="0" w:line="252" w:lineRule="auto"/>
            </w:pPr>
            <w:r>
              <w:rPr>
                <w:rFonts w:ascii="Calibri" w:hAnsi="Calibri"/>
                <w:color w:val="111827"/>
                <w:sz w:val="16"/>
              </w:rPr>
              <w:t>P0</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Data</w:t>
            </w:r>
          </w:p>
        </w:tc>
        <w:tc>
          <w:tcPr>
            <w:tcW w:type="dxa" w:w="6760"/>
            <w:tcMar>
              <w:top w:w="80" w:type="dxa"/>
              <w:start w:w="120" w:type="dxa"/>
              <w:bottom w:w="80" w:type="dxa"/>
              <w:end w:w="120" w:type="dxa"/>
            </w:tcMar>
            <w:vAlign w:val="center"/>
          </w:tcPr>
          <w:p>
            <w:pPr>
              <w:spacing w:after="0" w:line="252" w:lineRule="auto"/>
            </w:pPr>
            <w:r>
              <w:rPr>
                <w:rFonts w:ascii="Calibri" w:hAnsi="Calibri"/>
                <w:color w:val="111827"/>
                <w:sz w:val="16"/>
              </w:rPr>
              <w:t>Encryption in transit/at rest, tenant scoping, least-privilege DB roles, encrypted connector credentials</w:t>
            </w:r>
          </w:p>
        </w:tc>
        <w:tc>
          <w:tcPr>
            <w:tcW w:type="dxa" w:w="1200"/>
            <w:tcMar>
              <w:top w:w="80" w:type="dxa"/>
              <w:start w:w="120" w:type="dxa"/>
              <w:bottom w:w="80" w:type="dxa"/>
              <w:end w:w="120" w:type="dxa"/>
            </w:tcMar>
            <w:vAlign w:val="center"/>
          </w:tcPr>
          <w:p>
            <w:pPr>
              <w:spacing w:after="0" w:line="252" w:lineRule="auto"/>
            </w:pPr>
            <w:r>
              <w:rPr>
                <w:rFonts w:ascii="Calibri" w:hAnsi="Calibri"/>
                <w:color w:val="111827"/>
                <w:sz w:val="16"/>
              </w:rPr>
              <w:t>P0</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Supply chain</w:t>
            </w:r>
          </w:p>
        </w:tc>
        <w:tc>
          <w:tcPr>
            <w:tcW w:type="dxa" w:w="6760"/>
            <w:tcMar>
              <w:top w:w="80" w:type="dxa"/>
              <w:start w:w="120" w:type="dxa"/>
              <w:bottom w:w="80" w:type="dxa"/>
              <w:end w:w="120" w:type="dxa"/>
            </w:tcMar>
            <w:vAlign w:val="center"/>
          </w:tcPr>
          <w:p>
            <w:pPr>
              <w:spacing w:after="0" w:line="252" w:lineRule="auto"/>
            </w:pPr>
            <w:r>
              <w:rPr>
                <w:rFonts w:ascii="Calibri" w:hAnsi="Calibri"/>
                <w:color w:val="111827"/>
                <w:sz w:val="16"/>
              </w:rPr>
              <w:t>Pinned dependencies, lockfiles, Dependabot/Renovate, SCA, secret scan, SBOM, signed images</w:t>
            </w:r>
          </w:p>
        </w:tc>
        <w:tc>
          <w:tcPr>
            <w:tcW w:type="dxa" w:w="1200"/>
            <w:tcMar>
              <w:top w:w="80" w:type="dxa"/>
              <w:start w:w="120" w:type="dxa"/>
              <w:bottom w:w="80" w:type="dxa"/>
              <w:end w:w="120" w:type="dxa"/>
            </w:tcMar>
            <w:vAlign w:val="center"/>
          </w:tcPr>
          <w:p>
            <w:pPr>
              <w:spacing w:after="0" w:line="252" w:lineRule="auto"/>
            </w:pPr>
            <w:r>
              <w:rPr>
                <w:rFonts w:ascii="Calibri" w:hAnsi="Calibri"/>
                <w:color w:val="111827"/>
                <w:sz w:val="16"/>
              </w:rPr>
              <w:t>P1</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AI</w:t>
            </w:r>
          </w:p>
        </w:tc>
        <w:tc>
          <w:tcPr>
            <w:tcW w:type="dxa" w:w="6760"/>
            <w:tcMar>
              <w:top w:w="80" w:type="dxa"/>
              <w:start w:w="120" w:type="dxa"/>
              <w:bottom w:w="80" w:type="dxa"/>
              <w:end w:w="120" w:type="dxa"/>
            </w:tcMar>
            <w:vAlign w:val="center"/>
          </w:tcPr>
          <w:p>
            <w:pPr>
              <w:spacing w:after="0" w:line="252" w:lineRule="auto"/>
            </w:pPr>
            <w:r>
              <w:rPr>
                <w:rFonts w:ascii="Calibri" w:hAnsi="Calibri"/>
                <w:color w:val="111827"/>
                <w:sz w:val="16"/>
              </w:rPr>
              <w:t>Prompt-injection isolation, evidence allowlist, schema validation, output encoding, redaction, cost caps</w:t>
            </w:r>
          </w:p>
        </w:tc>
        <w:tc>
          <w:tcPr>
            <w:tcW w:type="dxa" w:w="1200"/>
            <w:tcMar>
              <w:top w:w="80" w:type="dxa"/>
              <w:start w:w="120" w:type="dxa"/>
              <w:bottom w:w="80" w:type="dxa"/>
              <w:end w:w="120" w:type="dxa"/>
            </w:tcMar>
            <w:vAlign w:val="center"/>
          </w:tcPr>
          <w:p>
            <w:pPr>
              <w:spacing w:after="0" w:line="252" w:lineRule="auto"/>
            </w:pPr>
            <w:r>
              <w:rPr>
                <w:rFonts w:ascii="Calibri" w:hAnsi="Calibri"/>
                <w:color w:val="111827"/>
                <w:sz w:val="16"/>
              </w:rPr>
              <w:t>P1</w:t>
            </w:r>
          </w:p>
        </w:tc>
      </w:tr>
    </w:tbl>
    <w:p>
      <w:pPr>
        <w:spacing w:after="60"/>
      </w:pPr>
    </w:p>
    <w:p>
      <w:pPr>
        <w:pStyle w:val="Heading2"/>
        <w:keepNext/>
        <w:keepLines/>
      </w:pPr>
      <w:r>
        <w:t>7.4 AWS deployment recommendation</w:t>
      </w:r>
    </w:p>
    <w:p>
      <w:pPr>
        <w:spacing w:after="120" w:line="264" w:lineRule="auto"/>
      </w:pPr>
      <w:r>
        <w:rPr>
          <w:rFonts w:ascii="Calibri" w:hAnsi="Calibri"/>
          <w:i w:val="0"/>
          <w:color w:val="111827"/>
          <w:sz w:val="22"/>
        </w:rPr>
        <w:t>Use a simple managed architecture for the pilot. EKS is not needed initially even though the team can operate Kubernetes; ECS Fargate reduces cluster administration while the product and data economics are still changing. Revisit EKS when sustained workload, multi-service scale, or organization standards justify it.</w:t>
      </w:r>
    </w:p>
    <w:tbl>
      <w:tblPr>
        <w:tblStyle w:val="TableGrid"/>
        <w:tblW w:type="dxa" w:w="9360"/>
        <w:tblLayout w:type="fixed"/>
        <w:tblLook w:firstColumn="1" w:firstRow="1" w:lastColumn="0" w:lastRow="0" w:noHBand="0" w:noVBand="1" w:val="04A0"/>
        <w:tblInd w:w="120" w:type="dxa"/>
      </w:tblPr>
      <w:tblGrid>
        <w:gridCol w:w="1500"/>
        <w:gridCol w:w="4420"/>
        <w:gridCol w:w="3440"/>
      </w:tblGrid>
      <w:tr>
        <w:trPr>
          <w:tblHeader w:val="true"/>
          <w:cantSplit/>
        </w:trPr>
        <w:tc>
          <w:tcPr>
            <w:tcW w:type="dxa" w:w="1500"/>
            <w:tcMar>
              <w:top w:w="80" w:type="dxa"/>
              <w:start w:w="120" w:type="dxa"/>
              <w:bottom w:w="80" w:type="dxa"/>
              <w:end w:w="120" w:type="dxa"/>
            </w:tcMar>
            <w:vAlign w:val="center"/>
            <w:shd w:fill="E8EEF5"/>
          </w:tcPr>
          <w:p>
            <w:pPr>
              <w:spacing w:after="0"/>
              <w:jc w:val="left"/>
            </w:pPr>
            <w:r>
              <w:rPr>
                <w:rFonts w:ascii="Calibri" w:hAnsi="Calibri"/>
                <w:b/>
                <w:color w:val="0B2545"/>
                <w:sz w:val="17"/>
              </w:rPr>
              <w:t>Layer</w:t>
            </w:r>
          </w:p>
        </w:tc>
        <w:tc>
          <w:tcPr>
            <w:tcW w:type="dxa" w:w="4420"/>
            <w:tcMar>
              <w:top w:w="80" w:type="dxa"/>
              <w:start w:w="120" w:type="dxa"/>
              <w:bottom w:w="80" w:type="dxa"/>
              <w:end w:w="120" w:type="dxa"/>
            </w:tcMar>
            <w:vAlign w:val="center"/>
            <w:shd w:fill="E8EEF5"/>
          </w:tcPr>
          <w:p>
            <w:pPr>
              <w:spacing w:after="0"/>
              <w:jc w:val="left"/>
            </w:pPr>
            <w:r>
              <w:rPr>
                <w:rFonts w:ascii="Calibri" w:hAnsi="Calibri"/>
                <w:b/>
                <w:color w:val="0B2545"/>
                <w:sz w:val="17"/>
              </w:rPr>
              <w:t>AWS choice</w:t>
            </w:r>
          </w:p>
        </w:tc>
        <w:tc>
          <w:tcPr>
            <w:tcW w:type="dxa" w:w="3440"/>
            <w:tcMar>
              <w:top w:w="80" w:type="dxa"/>
              <w:start w:w="120" w:type="dxa"/>
              <w:bottom w:w="80" w:type="dxa"/>
              <w:end w:w="120" w:type="dxa"/>
            </w:tcMar>
            <w:vAlign w:val="center"/>
            <w:shd w:fill="E8EEF5"/>
          </w:tcPr>
          <w:p>
            <w:pPr>
              <w:spacing w:after="0"/>
              <w:jc w:val="left"/>
            </w:pPr>
            <w:r>
              <w:rPr>
                <w:rFonts w:ascii="Calibri" w:hAnsi="Calibri"/>
                <w:b/>
                <w:color w:val="0B2545"/>
                <w:sz w:val="17"/>
              </w:rPr>
              <w:t>Purpose</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DNS and edge</w:t>
            </w:r>
          </w:p>
        </w:tc>
        <w:tc>
          <w:tcPr>
            <w:tcW w:type="dxa" w:w="4420"/>
            <w:tcMar>
              <w:top w:w="80" w:type="dxa"/>
              <w:start w:w="120" w:type="dxa"/>
              <w:bottom w:w="80" w:type="dxa"/>
              <w:end w:w="120" w:type="dxa"/>
            </w:tcMar>
            <w:vAlign w:val="center"/>
          </w:tcPr>
          <w:p>
            <w:pPr>
              <w:spacing w:after="0" w:line="252" w:lineRule="auto"/>
            </w:pPr>
            <w:r>
              <w:rPr>
                <w:rFonts w:ascii="Calibri" w:hAnsi="Calibri"/>
                <w:color w:val="111827"/>
                <w:sz w:val="17"/>
              </w:rPr>
              <w:t>Route 53 -&gt; CloudFront + AWS WAF</w:t>
            </w:r>
          </w:p>
        </w:tc>
        <w:tc>
          <w:tcPr>
            <w:tcW w:type="dxa" w:w="3440"/>
            <w:tcMar>
              <w:top w:w="80" w:type="dxa"/>
              <w:start w:w="120" w:type="dxa"/>
              <w:bottom w:w="80" w:type="dxa"/>
              <w:end w:w="120" w:type="dxa"/>
            </w:tcMar>
            <w:vAlign w:val="center"/>
          </w:tcPr>
          <w:p>
            <w:pPr>
              <w:spacing w:after="0" w:line="252" w:lineRule="auto"/>
            </w:pPr>
            <w:r>
              <w:rPr>
                <w:rFonts w:ascii="Calibri" w:hAnsi="Calibri"/>
                <w:color w:val="111827"/>
                <w:sz w:val="17"/>
              </w:rPr>
              <w:t>TLS, caching, abuse controls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Frontend</w:t>
            </w:r>
          </w:p>
        </w:tc>
        <w:tc>
          <w:tcPr>
            <w:tcW w:type="dxa" w:w="4420"/>
            <w:tcMar>
              <w:top w:w="80" w:type="dxa"/>
              <w:start w:w="120" w:type="dxa"/>
              <w:bottom w:w="80" w:type="dxa"/>
              <w:end w:w="120" w:type="dxa"/>
            </w:tcMar>
            <w:vAlign w:val="center"/>
          </w:tcPr>
          <w:p>
            <w:pPr>
              <w:spacing w:after="0" w:line="252" w:lineRule="auto"/>
            </w:pPr>
            <w:r>
              <w:rPr>
                <w:rFonts w:ascii="Calibri" w:hAnsi="Calibri"/>
                <w:color w:val="111827"/>
                <w:sz w:val="17"/>
              </w:rPr>
              <w:t>Versioned Vite build in private S3 origin</w:t>
            </w:r>
          </w:p>
        </w:tc>
        <w:tc>
          <w:tcPr>
            <w:tcW w:type="dxa" w:w="3440"/>
            <w:tcMar>
              <w:top w:w="80" w:type="dxa"/>
              <w:start w:w="120" w:type="dxa"/>
              <w:bottom w:w="80" w:type="dxa"/>
              <w:end w:w="120" w:type="dxa"/>
            </w:tcMar>
            <w:vAlign w:val="center"/>
          </w:tcPr>
          <w:p>
            <w:pPr>
              <w:spacing w:after="0" w:line="252" w:lineRule="auto"/>
            </w:pPr>
            <w:r>
              <w:rPr>
                <w:rFonts w:ascii="Calibri" w:hAnsi="Calibri"/>
                <w:color w:val="111827"/>
                <w:sz w:val="17"/>
              </w:rPr>
              <w:t>Low cost and reversible releases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API</w:t>
            </w:r>
          </w:p>
        </w:tc>
        <w:tc>
          <w:tcPr>
            <w:tcW w:type="dxa" w:w="4420"/>
            <w:tcMar>
              <w:top w:w="80" w:type="dxa"/>
              <w:start w:w="120" w:type="dxa"/>
              <w:bottom w:w="80" w:type="dxa"/>
              <w:end w:w="120" w:type="dxa"/>
            </w:tcMar>
            <w:vAlign w:val="center"/>
          </w:tcPr>
          <w:p>
            <w:pPr>
              <w:spacing w:after="0" w:line="252" w:lineRule="auto"/>
            </w:pPr>
            <w:r>
              <w:rPr>
                <w:rFonts w:ascii="Calibri" w:hAnsi="Calibri"/>
                <w:color w:val="111827"/>
                <w:sz w:val="17"/>
              </w:rPr>
              <w:t>Application Load Balancer -&gt; ECS Fargate FastAPI service</w:t>
            </w:r>
          </w:p>
        </w:tc>
        <w:tc>
          <w:tcPr>
            <w:tcW w:type="dxa" w:w="3440"/>
            <w:tcMar>
              <w:top w:w="80" w:type="dxa"/>
              <w:start w:w="120" w:type="dxa"/>
              <w:bottom w:w="80" w:type="dxa"/>
              <w:end w:w="120" w:type="dxa"/>
            </w:tcMar>
            <w:vAlign w:val="center"/>
          </w:tcPr>
          <w:p>
            <w:pPr>
              <w:spacing w:after="0" w:line="252" w:lineRule="auto"/>
            </w:pPr>
            <w:r>
              <w:rPr>
                <w:rFonts w:ascii="Calibri" w:hAnsi="Calibri"/>
                <w:color w:val="111827"/>
                <w:sz w:val="17"/>
              </w:rPr>
              <w:t>Autoscaling and health checks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Workers</w:t>
            </w:r>
          </w:p>
        </w:tc>
        <w:tc>
          <w:tcPr>
            <w:tcW w:type="dxa" w:w="4420"/>
            <w:tcMar>
              <w:top w:w="80" w:type="dxa"/>
              <w:start w:w="120" w:type="dxa"/>
              <w:bottom w:w="80" w:type="dxa"/>
              <w:end w:w="120" w:type="dxa"/>
            </w:tcMar>
            <w:vAlign w:val="center"/>
          </w:tcPr>
          <w:p>
            <w:pPr>
              <w:spacing w:after="0" w:line="252" w:lineRule="auto"/>
            </w:pPr>
            <w:r>
              <w:rPr>
                <w:rFonts w:ascii="Calibri" w:hAnsi="Calibri"/>
                <w:color w:val="111827"/>
                <w:sz w:val="17"/>
              </w:rPr>
              <w:t>Separate ECS Fargate worker and scheduler services</w:t>
            </w:r>
          </w:p>
        </w:tc>
        <w:tc>
          <w:tcPr>
            <w:tcW w:type="dxa" w:w="3440"/>
            <w:tcMar>
              <w:top w:w="80" w:type="dxa"/>
              <w:start w:w="120" w:type="dxa"/>
              <w:bottom w:w="80" w:type="dxa"/>
              <w:end w:w="120" w:type="dxa"/>
            </w:tcMar>
            <w:vAlign w:val="center"/>
          </w:tcPr>
          <w:p>
            <w:pPr>
              <w:spacing w:after="0" w:line="252" w:lineRule="auto"/>
            </w:pPr>
            <w:r>
              <w:rPr>
                <w:rFonts w:ascii="Calibri" w:hAnsi="Calibri"/>
                <w:color w:val="111827"/>
                <w:sz w:val="17"/>
              </w:rPr>
              <w:t>Independent scaling and deployment</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Database</w:t>
            </w:r>
          </w:p>
        </w:tc>
        <w:tc>
          <w:tcPr>
            <w:tcW w:type="dxa" w:w="4420"/>
            <w:tcMar>
              <w:top w:w="80" w:type="dxa"/>
              <w:start w:w="120" w:type="dxa"/>
              <w:bottom w:w="80" w:type="dxa"/>
              <w:end w:w="120" w:type="dxa"/>
            </w:tcMar>
            <w:vAlign w:val="center"/>
          </w:tcPr>
          <w:p>
            <w:pPr>
              <w:spacing w:after="0" w:line="252" w:lineRule="auto"/>
            </w:pPr>
            <w:r>
              <w:rPr>
                <w:rFonts w:ascii="Calibri" w:hAnsi="Calibri"/>
                <w:color w:val="111827"/>
                <w:sz w:val="17"/>
              </w:rPr>
              <w:t>RDS PostgreSQL Multi-AZ when paid pilot begins</w:t>
            </w:r>
          </w:p>
        </w:tc>
        <w:tc>
          <w:tcPr>
            <w:tcW w:type="dxa" w:w="3440"/>
            <w:tcMar>
              <w:top w:w="80" w:type="dxa"/>
              <w:start w:w="120" w:type="dxa"/>
              <w:bottom w:w="80" w:type="dxa"/>
              <w:end w:w="120" w:type="dxa"/>
            </w:tcMar>
            <w:vAlign w:val="center"/>
          </w:tcPr>
          <w:p>
            <w:pPr>
              <w:spacing w:after="0" w:line="252" w:lineRule="auto"/>
            </w:pPr>
            <w:r>
              <w:rPr>
                <w:rFonts w:ascii="Calibri" w:hAnsi="Calibri"/>
                <w:color w:val="111827"/>
                <w:sz w:val="17"/>
              </w:rPr>
              <w:t>Backups, PITR, encryption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Queue/cache</w:t>
            </w:r>
          </w:p>
        </w:tc>
        <w:tc>
          <w:tcPr>
            <w:tcW w:type="dxa" w:w="4420"/>
            <w:tcMar>
              <w:top w:w="80" w:type="dxa"/>
              <w:start w:w="120" w:type="dxa"/>
              <w:bottom w:w="80" w:type="dxa"/>
              <w:end w:w="120" w:type="dxa"/>
            </w:tcMar>
            <w:vAlign w:val="center"/>
          </w:tcPr>
          <w:p>
            <w:pPr>
              <w:spacing w:after="0" w:line="252" w:lineRule="auto"/>
            </w:pPr>
            <w:r>
              <w:rPr>
                <w:rFonts w:ascii="Calibri" w:hAnsi="Calibri"/>
                <w:color w:val="111827"/>
                <w:sz w:val="17"/>
              </w:rPr>
              <w:t>ElastiCache Redis</w:t>
            </w:r>
          </w:p>
        </w:tc>
        <w:tc>
          <w:tcPr>
            <w:tcW w:type="dxa" w:w="3440"/>
            <w:tcMar>
              <w:top w:w="80" w:type="dxa"/>
              <w:start w:w="120" w:type="dxa"/>
              <w:bottom w:w="80" w:type="dxa"/>
              <w:end w:w="120" w:type="dxa"/>
            </w:tcMar>
            <w:vAlign w:val="center"/>
          </w:tcPr>
          <w:p>
            <w:pPr>
              <w:spacing w:after="0" w:line="252" w:lineRule="auto"/>
            </w:pPr>
            <w:r>
              <w:rPr>
                <w:rFonts w:ascii="Calibri" w:hAnsi="Calibri"/>
                <w:color w:val="111827"/>
                <w:sz w:val="17"/>
              </w:rPr>
              <w:t>Jobs, rate limiting, ephemeral cache</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Evidence files</w:t>
            </w:r>
          </w:p>
        </w:tc>
        <w:tc>
          <w:tcPr>
            <w:tcW w:type="dxa" w:w="4420"/>
            <w:tcMar>
              <w:top w:w="80" w:type="dxa"/>
              <w:start w:w="120" w:type="dxa"/>
              <w:bottom w:w="80" w:type="dxa"/>
              <w:end w:w="120" w:type="dxa"/>
            </w:tcMar>
            <w:vAlign w:val="center"/>
          </w:tcPr>
          <w:p>
            <w:pPr>
              <w:spacing w:after="0" w:line="252" w:lineRule="auto"/>
            </w:pPr>
            <w:r>
              <w:rPr>
                <w:rFonts w:ascii="Calibri" w:hAnsi="Calibri"/>
                <w:color w:val="111827"/>
                <w:sz w:val="17"/>
              </w:rPr>
              <w:t>S3 versioning + lifecycle + object lock where justified</w:t>
            </w:r>
          </w:p>
        </w:tc>
        <w:tc>
          <w:tcPr>
            <w:tcW w:type="dxa" w:w="3440"/>
            <w:tcMar>
              <w:top w:w="80" w:type="dxa"/>
              <w:start w:w="120" w:type="dxa"/>
              <w:bottom w:w="80" w:type="dxa"/>
              <w:end w:w="120" w:type="dxa"/>
            </w:tcMar>
            <w:vAlign w:val="center"/>
          </w:tcPr>
          <w:p>
            <w:pPr>
              <w:spacing w:after="0" w:line="252" w:lineRule="auto"/>
            </w:pPr>
            <w:r>
              <w:rPr>
                <w:rFonts w:ascii="Calibri" w:hAnsi="Calibri"/>
                <w:color w:val="111827"/>
                <w:sz w:val="17"/>
              </w:rPr>
              <w:t>Raw snapshots and quote artifacts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Secrets</w:t>
            </w:r>
          </w:p>
        </w:tc>
        <w:tc>
          <w:tcPr>
            <w:tcW w:type="dxa" w:w="4420"/>
            <w:tcMar>
              <w:top w:w="80" w:type="dxa"/>
              <w:start w:w="120" w:type="dxa"/>
              <w:bottom w:w="80" w:type="dxa"/>
              <w:end w:w="120" w:type="dxa"/>
            </w:tcMar>
            <w:vAlign w:val="center"/>
          </w:tcPr>
          <w:p>
            <w:pPr>
              <w:spacing w:after="0" w:line="252" w:lineRule="auto"/>
            </w:pPr>
            <w:r>
              <w:rPr>
                <w:rFonts w:ascii="Calibri" w:hAnsi="Calibri"/>
                <w:color w:val="111827"/>
                <w:sz w:val="17"/>
              </w:rPr>
              <w:t>Secrets Manager + task roles</w:t>
            </w:r>
          </w:p>
        </w:tc>
        <w:tc>
          <w:tcPr>
            <w:tcW w:type="dxa" w:w="3440"/>
            <w:tcMar>
              <w:top w:w="80" w:type="dxa"/>
              <w:start w:w="120" w:type="dxa"/>
              <w:bottom w:w="80" w:type="dxa"/>
              <w:end w:w="120" w:type="dxa"/>
            </w:tcMar>
            <w:vAlign w:val="center"/>
          </w:tcPr>
          <w:p>
            <w:pPr>
              <w:spacing w:after="0" w:line="252" w:lineRule="auto"/>
            </w:pPr>
            <w:r>
              <w:rPr>
                <w:rFonts w:ascii="Calibri" w:hAnsi="Calibri"/>
                <w:color w:val="111827"/>
                <w:sz w:val="17"/>
              </w:rPr>
              <w:t>No long-lived credentials in images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olor w:val="111827"/>
                <w:sz w:val="17"/>
              </w:rPr>
              <w:t>Telemetry</w:t>
            </w:r>
          </w:p>
        </w:tc>
        <w:tc>
          <w:tcPr>
            <w:tcW w:type="dxa" w:w="4420"/>
            <w:tcMar>
              <w:top w:w="80" w:type="dxa"/>
              <w:start w:w="120" w:type="dxa"/>
              <w:bottom w:w="80" w:type="dxa"/>
              <w:end w:w="120" w:type="dxa"/>
            </w:tcMar>
            <w:vAlign w:val="center"/>
          </w:tcPr>
          <w:p>
            <w:pPr>
              <w:spacing w:after="0" w:line="252" w:lineRule="auto"/>
            </w:pPr>
            <w:r>
              <w:rPr>
                <w:rFonts w:ascii="Calibri" w:hAnsi="Calibri"/>
                <w:color w:val="111827"/>
                <w:sz w:val="17"/>
              </w:rPr>
              <w:t>CloudWatch plus OpenTelemetry export</w:t>
            </w:r>
          </w:p>
        </w:tc>
        <w:tc>
          <w:tcPr>
            <w:tcW w:type="dxa" w:w="3440"/>
            <w:tcMar>
              <w:top w:w="80" w:type="dxa"/>
              <w:start w:w="120" w:type="dxa"/>
              <w:bottom w:w="80" w:type="dxa"/>
              <w:end w:w="120" w:type="dxa"/>
            </w:tcMar>
            <w:vAlign w:val="center"/>
          </w:tcPr>
          <w:p>
            <w:pPr>
              <w:spacing w:after="0" w:line="252" w:lineRule="auto"/>
            </w:pPr>
            <w:r>
              <w:rPr>
                <w:rFonts w:ascii="Calibri" w:hAnsi="Calibri"/>
                <w:color w:val="111827"/>
                <w:sz w:val="17"/>
              </w:rPr>
              <w:t>Application, source, cost, and freshness monitoring</w:t>
            </w:r>
          </w:p>
        </w:tc>
      </w:tr>
    </w:tbl>
    <w:p>
      <w:pPr>
        <w:spacing w:after="60"/>
      </w:pPr>
    </w:p>
    <w:p>
      <w:pPr>
        <w:pStyle w:val="Heading2"/>
        <w:keepNext/>
        <w:keepLines/>
      </w:pPr>
      <w:r>
        <w:t>7.5 Environments and release flow</w:t>
      </w:r>
    </w:p>
    <w:p>
      <w:pPr>
        <w:keepLines/>
        <w:numPr>
          <w:ilvl w:val="0"/>
          <w:numId w:val="22"/>
        </w:numPr>
        <w:spacing w:after="160" w:line="280" w:lineRule="auto"/>
      </w:pPr>
      <w:r>
        <w:rPr>
          <w:rFonts w:ascii="Calibri" w:hAnsi="Calibri"/>
          <w:color w:val="111827"/>
          <w:sz w:val="22"/>
        </w:rPr>
        <w:t>Pull request: lint, type-check, unit tests, migration checks, connector contract tests, dependency scan, secret scan, and build.</w:t>
      </w:r>
    </w:p>
    <w:p>
      <w:pPr>
        <w:keepLines/>
        <w:numPr>
          <w:ilvl w:val="0"/>
          <w:numId w:val="22"/>
        </w:numPr>
        <w:spacing w:after="160" w:line="280" w:lineRule="auto"/>
      </w:pPr>
      <w:r>
        <w:rPr>
          <w:rFonts w:ascii="Calibri" w:hAnsi="Calibri"/>
          <w:color w:val="111827"/>
          <w:sz w:val="22"/>
        </w:rPr>
        <w:t>Ephemeral test environment: API + PostgreSQL + Redis + mocked connectors; run integration and Playwright tests.</w:t>
      </w:r>
    </w:p>
    <w:p>
      <w:pPr>
        <w:keepLines/>
        <w:numPr>
          <w:ilvl w:val="0"/>
          <w:numId w:val="22"/>
        </w:numPr>
        <w:spacing w:after="160" w:line="280" w:lineRule="auto"/>
      </w:pPr>
      <w:r>
        <w:rPr>
          <w:rFonts w:ascii="Calibri" w:hAnsi="Calibri"/>
          <w:color w:val="111827"/>
          <w:sz w:val="22"/>
        </w:rPr>
        <w:t>Merge to main: build one immutable image and frontend artifact; generate SBOM; sign and store artifacts.</w:t>
      </w:r>
    </w:p>
    <w:p>
      <w:pPr>
        <w:keepLines/>
        <w:numPr>
          <w:ilvl w:val="0"/>
          <w:numId w:val="22"/>
        </w:numPr>
        <w:spacing w:after="160" w:line="280" w:lineRule="auto"/>
      </w:pPr>
      <w:r>
        <w:rPr>
          <w:rFonts w:ascii="Calibri" w:hAnsi="Calibri"/>
          <w:color w:val="111827"/>
          <w:sz w:val="22"/>
        </w:rPr>
        <w:t>Deploy staging: apply Alembic migrations, run smoke tests, execute synthetic research job against safe fixtures, and verify dashboards.</w:t>
      </w:r>
    </w:p>
    <w:p>
      <w:pPr>
        <w:keepLines/>
        <w:numPr>
          <w:ilvl w:val="0"/>
          <w:numId w:val="22"/>
        </w:numPr>
        <w:spacing w:after="160" w:line="280" w:lineRule="auto"/>
      </w:pPr>
      <w:r>
        <w:rPr>
          <w:rFonts w:ascii="Calibri" w:hAnsi="Calibri"/>
          <w:color w:val="111827"/>
          <w:sz w:val="22"/>
        </w:rPr>
        <w:t>Manual production approval: validate data-source health, budget ceiling, migration backup, and rollback target.</w:t>
      </w:r>
    </w:p>
    <w:p>
      <w:pPr>
        <w:keepLines/>
        <w:numPr>
          <w:ilvl w:val="0"/>
          <w:numId w:val="22"/>
        </w:numPr>
        <w:spacing w:after="160" w:line="280" w:lineRule="auto"/>
      </w:pPr>
      <w:r>
        <w:rPr>
          <w:rFonts w:ascii="Calibri" w:hAnsi="Calibri"/>
          <w:color w:val="111827"/>
          <w:sz w:val="22"/>
        </w:rPr>
        <w:t>Progressive release: deploy API/worker first behind feature flags, then frontend; monitor errors, source latency, and score volume.</w:t>
      </w:r>
    </w:p>
    <w:p>
      <w:pPr>
        <w:keepLines/>
        <w:numPr>
          <w:ilvl w:val="0"/>
          <w:numId w:val="22"/>
        </w:numPr>
        <w:spacing w:after="160" w:line="280" w:lineRule="auto"/>
      </w:pPr>
      <w:r>
        <w:rPr>
          <w:rFonts w:ascii="Calibri" w:hAnsi="Calibri"/>
          <w:color w:val="111827"/>
          <w:sz w:val="22"/>
        </w:rPr>
        <w:t>Rollback: revert application version; use forward-compatible migrations and expand/migrate/contract database changes.</w:t>
      </w:r>
    </w:p>
    <w:p>
      <w:pPr>
        <w:pStyle w:val="Heading2"/>
        <w:keepNext/>
        <w:keepLines/>
      </w:pPr>
      <w:r>
        <w:t>7.6 Operational signals</w:t>
      </w:r>
    </w:p>
    <w:tbl>
      <w:tblPr>
        <w:tblStyle w:val="TableGrid"/>
        <w:tblW w:type="dxa" w:w="9360"/>
        <w:tblLayout w:type="fixed"/>
        <w:tblLook w:firstColumn="1" w:firstRow="1" w:lastColumn="0" w:lastRow="0" w:noHBand="0" w:noVBand="1" w:val="04A0"/>
        <w:tblInd w:w="120" w:type="dxa"/>
      </w:tblPr>
      <w:tblGrid>
        <w:gridCol w:w="1300"/>
        <w:gridCol w:w="5140"/>
        <w:gridCol w:w="2920"/>
      </w:tblGrid>
      <w:tr>
        <w:trPr>
          <w:tblHeader w:val="true"/>
          <w:cantSplit/>
        </w:trPr>
        <w:tc>
          <w:tcPr>
            <w:tcW w:type="dxa" w:w="1300"/>
            <w:tcMar>
              <w:top w:w="80" w:type="dxa"/>
              <w:start w:w="120" w:type="dxa"/>
              <w:bottom w:w="80" w:type="dxa"/>
              <w:end w:w="120" w:type="dxa"/>
            </w:tcMar>
            <w:vAlign w:val="center"/>
            <w:shd w:fill="E8EEF5"/>
          </w:tcPr>
          <w:p>
            <w:pPr>
              <w:spacing w:after="0"/>
              <w:jc w:val="left"/>
            </w:pPr>
            <w:r>
              <w:rPr>
                <w:rFonts w:ascii="Calibri" w:hAnsi="Calibri"/>
                <w:b/>
                <w:color w:val="0B2545"/>
                <w:sz w:val="16"/>
              </w:rPr>
              <w:t>Domain</w:t>
            </w:r>
          </w:p>
        </w:tc>
        <w:tc>
          <w:tcPr>
            <w:tcW w:type="dxa" w:w="5140"/>
            <w:tcMar>
              <w:top w:w="80" w:type="dxa"/>
              <w:start w:w="120" w:type="dxa"/>
              <w:bottom w:w="80" w:type="dxa"/>
              <w:end w:w="120" w:type="dxa"/>
            </w:tcMar>
            <w:vAlign w:val="center"/>
            <w:shd w:fill="E8EEF5"/>
          </w:tcPr>
          <w:p>
            <w:pPr>
              <w:spacing w:after="0"/>
              <w:jc w:val="left"/>
            </w:pPr>
            <w:r>
              <w:rPr>
                <w:rFonts w:ascii="Calibri" w:hAnsi="Calibri"/>
                <w:b/>
                <w:color w:val="0B2545"/>
                <w:sz w:val="16"/>
              </w:rPr>
              <w:t>Metrics</w:t>
            </w:r>
          </w:p>
        </w:tc>
        <w:tc>
          <w:tcPr>
            <w:tcW w:type="dxa" w:w="2920"/>
            <w:tcMar>
              <w:top w:w="80" w:type="dxa"/>
              <w:start w:w="120" w:type="dxa"/>
              <w:bottom w:w="80" w:type="dxa"/>
              <w:end w:w="120" w:type="dxa"/>
            </w:tcMar>
            <w:vAlign w:val="center"/>
            <w:shd w:fill="E8EEF5"/>
          </w:tcPr>
          <w:p>
            <w:pPr>
              <w:spacing w:after="0"/>
              <w:jc w:val="left"/>
            </w:pPr>
            <w:r>
              <w:rPr>
                <w:rFonts w:ascii="Calibri" w:hAnsi="Calibri"/>
                <w:b/>
                <w:color w:val="0B2545"/>
                <w:sz w:val="16"/>
              </w:rPr>
              <w:t>Operational response</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API</w:t>
            </w:r>
          </w:p>
        </w:tc>
        <w:tc>
          <w:tcPr>
            <w:tcW w:type="dxa" w:w="5140"/>
            <w:tcMar>
              <w:top w:w="80" w:type="dxa"/>
              <w:start w:w="120" w:type="dxa"/>
              <w:bottom w:w="80" w:type="dxa"/>
              <w:end w:w="120" w:type="dxa"/>
            </w:tcMar>
            <w:vAlign w:val="center"/>
          </w:tcPr>
          <w:p>
            <w:pPr>
              <w:spacing w:after="0" w:line="252" w:lineRule="auto"/>
            </w:pPr>
            <w:r>
              <w:rPr>
                <w:rFonts w:ascii="Calibri" w:hAnsi="Calibri"/>
                <w:color w:val="111827"/>
                <w:sz w:val="16"/>
              </w:rPr>
              <w:t>Availability, p95 latency, 4xx/5xx, tenant-scope denials</w:t>
            </w:r>
          </w:p>
        </w:tc>
        <w:tc>
          <w:tcPr>
            <w:tcW w:type="dxa" w:w="2920"/>
            <w:tcMar>
              <w:top w:w="80" w:type="dxa"/>
              <w:start w:w="120" w:type="dxa"/>
              <w:bottom w:w="80" w:type="dxa"/>
              <w:end w:w="120" w:type="dxa"/>
            </w:tcMar>
            <w:vAlign w:val="center"/>
          </w:tcPr>
          <w:p>
            <w:pPr>
              <w:spacing w:after="0" w:line="252" w:lineRule="auto"/>
            </w:pPr>
            <w:r>
              <w:rPr>
                <w:rFonts w:ascii="Calibri" w:hAnsi="Calibri"/>
                <w:color w:val="111827"/>
                <w:sz w:val="16"/>
              </w:rPr>
              <w:t>Page on sustained errors, not one request</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Jobs</w:t>
            </w:r>
          </w:p>
        </w:tc>
        <w:tc>
          <w:tcPr>
            <w:tcW w:type="dxa" w:w="5140"/>
            <w:tcMar>
              <w:top w:w="80" w:type="dxa"/>
              <w:start w:w="120" w:type="dxa"/>
              <w:bottom w:w="80" w:type="dxa"/>
              <w:end w:w="120" w:type="dxa"/>
            </w:tcMar>
            <w:vAlign w:val="center"/>
          </w:tcPr>
          <w:p>
            <w:pPr>
              <w:spacing w:after="0" w:line="252" w:lineRule="auto"/>
            </w:pPr>
            <w:r>
              <w:rPr>
                <w:rFonts w:ascii="Calibri" w:hAnsi="Calibri"/>
                <w:color w:val="111827"/>
                <w:sz w:val="16"/>
              </w:rPr>
              <w:t>Queue depth, age, success, retry, dead-letter count, per-source duration</w:t>
            </w:r>
          </w:p>
        </w:tc>
        <w:tc>
          <w:tcPr>
            <w:tcW w:type="dxa" w:w="2920"/>
            <w:tcMar>
              <w:top w:w="80" w:type="dxa"/>
              <w:start w:w="120" w:type="dxa"/>
              <w:bottom w:w="80" w:type="dxa"/>
              <w:end w:w="120" w:type="dxa"/>
            </w:tcMar>
            <w:vAlign w:val="center"/>
          </w:tcPr>
          <w:p>
            <w:pPr>
              <w:spacing w:after="0" w:line="252" w:lineRule="auto"/>
            </w:pPr>
            <w:r>
              <w:rPr>
                <w:rFonts w:ascii="Calibri" w:hAnsi="Calibri"/>
                <w:color w:val="111827"/>
                <w:sz w:val="16"/>
              </w:rPr>
              <w:t>Alert before freshness SLO fails</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Sources</w:t>
            </w:r>
          </w:p>
        </w:tc>
        <w:tc>
          <w:tcPr>
            <w:tcW w:type="dxa" w:w="5140"/>
            <w:tcMar>
              <w:top w:w="80" w:type="dxa"/>
              <w:start w:w="120" w:type="dxa"/>
              <w:bottom w:w="80" w:type="dxa"/>
              <w:end w:w="120" w:type="dxa"/>
            </w:tcMar>
            <w:vAlign w:val="center"/>
          </w:tcPr>
          <w:p>
            <w:pPr>
              <w:spacing w:after="0" w:line="252" w:lineRule="auto"/>
            </w:pPr>
            <w:r>
              <w:rPr>
                <w:rFonts w:ascii="Calibri" w:hAnsi="Calibri"/>
                <w:color w:val="111827"/>
                <w:sz w:val="16"/>
              </w:rPr>
              <w:t>Last success, freshness, quota, auth expiry, parser error, schema drift</w:t>
            </w:r>
          </w:p>
        </w:tc>
        <w:tc>
          <w:tcPr>
            <w:tcW w:type="dxa" w:w="2920"/>
            <w:tcMar>
              <w:top w:w="80" w:type="dxa"/>
              <w:start w:w="120" w:type="dxa"/>
              <w:bottom w:w="80" w:type="dxa"/>
              <w:end w:w="120" w:type="dxa"/>
            </w:tcMar>
            <w:vAlign w:val="center"/>
          </w:tcPr>
          <w:p>
            <w:pPr>
              <w:spacing w:after="0" w:line="252" w:lineRule="auto"/>
            </w:pPr>
            <w:r>
              <w:rPr>
                <w:rFonts w:ascii="Calibri" w:hAnsi="Calibri"/>
                <w:color w:val="111827"/>
                <w:sz w:val="16"/>
              </w:rPr>
              <w:t>Source-specific runbook</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Data quality</w:t>
            </w:r>
          </w:p>
        </w:tc>
        <w:tc>
          <w:tcPr>
            <w:tcW w:type="dxa" w:w="5140"/>
            <w:tcMar>
              <w:top w:w="80" w:type="dxa"/>
              <w:start w:w="120" w:type="dxa"/>
              <w:bottom w:w="80" w:type="dxa"/>
              <w:end w:w="120" w:type="dxa"/>
            </w:tcMar>
            <w:vAlign w:val="center"/>
          </w:tcPr>
          <w:p>
            <w:pPr>
              <w:spacing w:after="0" w:line="252" w:lineRule="auto"/>
            </w:pPr>
            <w:r>
              <w:rPr>
                <w:rFonts w:ascii="Calibri" w:hAnsi="Calibri"/>
                <w:color w:val="111827"/>
                <w:sz w:val="16"/>
              </w:rPr>
              <w:t>Observation completeness, duplicate rate, match-confidence distribution, score suppression</w:t>
            </w:r>
          </w:p>
        </w:tc>
        <w:tc>
          <w:tcPr>
            <w:tcW w:type="dxa" w:w="2920"/>
            <w:tcMar>
              <w:top w:w="80" w:type="dxa"/>
              <w:start w:w="120" w:type="dxa"/>
              <w:bottom w:w="80" w:type="dxa"/>
              <w:end w:w="120" w:type="dxa"/>
            </w:tcMar>
            <w:vAlign w:val="center"/>
          </w:tcPr>
          <w:p>
            <w:pPr>
              <w:spacing w:after="0" w:line="252" w:lineRule="auto"/>
            </w:pPr>
            <w:r>
              <w:rPr>
                <w:rFonts w:ascii="Calibri" w:hAnsi="Calibri"/>
                <w:color w:val="111827"/>
                <w:sz w:val="16"/>
              </w:rPr>
              <w:t>Daily quality dashboard</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Cost</w:t>
            </w:r>
          </w:p>
        </w:tc>
        <w:tc>
          <w:tcPr>
            <w:tcW w:type="dxa" w:w="5140"/>
            <w:tcMar>
              <w:top w:w="80" w:type="dxa"/>
              <w:start w:w="120" w:type="dxa"/>
              <w:bottom w:w="80" w:type="dxa"/>
              <w:end w:w="120" w:type="dxa"/>
            </w:tcMar>
            <w:vAlign w:val="center"/>
          </w:tcPr>
          <w:p>
            <w:pPr>
              <w:spacing w:after="0" w:line="252" w:lineRule="auto"/>
            </w:pPr>
            <w:r>
              <w:rPr>
                <w:rFonts w:ascii="Calibri" w:hAnsi="Calibri"/>
                <w:color w:val="111827"/>
                <w:sz w:val="16"/>
              </w:rPr>
              <w:t>API/vendor/model cost per research job and per active workspace</w:t>
            </w:r>
          </w:p>
        </w:tc>
        <w:tc>
          <w:tcPr>
            <w:tcW w:type="dxa" w:w="2920"/>
            <w:tcMar>
              <w:top w:w="80" w:type="dxa"/>
              <w:start w:w="120" w:type="dxa"/>
              <w:bottom w:w="80" w:type="dxa"/>
              <w:end w:w="120" w:type="dxa"/>
            </w:tcMar>
            <w:vAlign w:val="center"/>
          </w:tcPr>
          <w:p>
            <w:pPr>
              <w:spacing w:after="0" w:line="252" w:lineRule="auto"/>
            </w:pPr>
            <w:r>
              <w:rPr>
                <w:rFonts w:ascii="Calibri" w:hAnsi="Calibri"/>
                <w:color w:val="111827"/>
                <w:sz w:val="16"/>
              </w:rPr>
              <w:t>Hard budget ceilings</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Product</w:t>
            </w:r>
          </w:p>
        </w:tc>
        <w:tc>
          <w:tcPr>
            <w:tcW w:type="dxa" w:w="5140"/>
            <w:tcMar>
              <w:top w:w="80" w:type="dxa"/>
              <w:start w:w="120" w:type="dxa"/>
              <w:bottom w:w="80" w:type="dxa"/>
              <w:end w:w="120" w:type="dxa"/>
            </w:tcMar>
            <w:vAlign w:val="center"/>
          </w:tcPr>
          <w:p>
            <w:pPr>
              <w:spacing w:after="0" w:line="252" w:lineRule="auto"/>
            </w:pPr>
            <w:r>
              <w:rPr>
                <w:rFonts w:ascii="Calibri" w:hAnsi="Calibri"/>
                <w:color w:val="111827"/>
                <w:sz w:val="16"/>
              </w:rPr>
              <w:t>X-Ray completion, evidence drawer usage, saved decisions, watches, quote imports</w:t>
            </w:r>
          </w:p>
        </w:tc>
        <w:tc>
          <w:tcPr>
            <w:tcW w:type="dxa" w:w="2920"/>
            <w:tcMar>
              <w:top w:w="80" w:type="dxa"/>
              <w:start w:w="120" w:type="dxa"/>
              <w:bottom w:w="80" w:type="dxa"/>
              <w:end w:w="120" w:type="dxa"/>
            </w:tcMar>
            <w:vAlign w:val="center"/>
          </w:tcPr>
          <w:p>
            <w:pPr>
              <w:spacing w:after="0" w:line="252" w:lineRule="auto"/>
            </w:pPr>
            <w:r>
              <w:rPr>
                <w:rFonts w:ascii="Calibri" w:hAnsi="Calibri"/>
                <w:color w:val="111827"/>
                <w:sz w:val="16"/>
              </w:rPr>
              <w:t>Measure delivered decisions, not page views</w:t>
            </w:r>
          </w:p>
        </w:tc>
      </w:tr>
    </w:tbl>
    <w:p>
      <w:pPr>
        <w:spacing w:after="60"/>
      </w:pPr>
    </w:p>
    <w:p>
      <w:pPr>
        <w:pStyle w:val="Heading2"/>
        <w:keepNext/>
        <w:keepLines/>
      </w:pPr>
      <w:r>
        <w:t>7.7 Initial service objectives</w:t>
      </w:r>
    </w:p>
    <w:tbl>
      <w:tblPr>
        <w:tblStyle w:val="TableGrid"/>
        <w:tblW w:type="dxa" w:w="9360"/>
        <w:tblLayout w:type="fixed"/>
        <w:tblLook w:firstColumn="1" w:firstRow="1" w:lastColumn="0" w:lastRow="0" w:noHBand="0" w:noVBand="1" w:val="04A0"/>
        <w:tblInd w:w="120" w:type="dxa"/>
      </w:tblPr>
      <w:tblGrid>
        <w:gridCol w:w="1800"/>
        <w:gridCol w:w="3700"/>
        <w:gridCol w:w="3860"/>
      </w:tblGrid>
      <w:tr>
        <w:trPr>
          <w:tblHeader w:val="true"/>
          <w:cantSplit/>
        </w:trPr>
        <w:tc>
          <w:tcPr>
            <w:tcW w:type="dxa" w:w="1800"/>
            <w:tcMar>
              <w:top w:w="80" w:type="dxa"/>
              <w:start w:w="120" w:type="dxa"/>
              <w:bottom w:w="80" w:type="dxa"/>
              <w:end w:w="120" w:type="dxa"/>
            </w:tcMar>
            <w:vAlign w:val="center"/>
            <w:shd w:fill="E8EEF5"/>
          </w:tcPr>
          <w:p>
            <w:pPr>
              <w:spacing w:after="0"/>
              <w:jc w:val="left"/>
            </w:pPr>
            <w:r>
              <w:rPr>
                <w:rFonts w:ascii="Calibri" w:hAnsi="Calibri"/>
                <w:b/>
                <w:color w:val="0B2545"/>
                <w:sz w:val="16"/>
              </w:rPr>
              <w:t>Capability</w:t>
            </w:r>
          </w:p>
        </w:tc>
        <w:tc>
          <w:tcPr>
            <w:tcW w:type="dxa" w:w="3700"/>
            <w:tcMar>
              <w:top w:w="80" w:type="dxa"/>
              <w:start w:w="120" w:type="dxa"/>
              <w:bottom w:w="80" w:type="dxa"/>
              <w:end w:w="120" w:type="dxa"/>
            </w:tcMar>
            <w:vAlign w:val="center"/>
            <w:shd w:fill="E8EEF5"/>
          </w:tcPr>
          <w:p>
            <w:pPr>
              <w:spacing w:after="0"/>
              <w:jc w:val="left"/>
            </w:pPr>
            <w:r>
              <w:rPr>
                <w:rFonts w:ascii="Calibri" w:hAnsi="Calibri"/>
                <w:b/>
                <w:color w:val="0B2545"/>
                <w:sz w:val="16"/>
              </w:rPr>
              <w:t>Planning objective</w:t>
            </w:r>
          </w:p>
        </w:tc>
        <w:tc>
          <w:tcPr>
            <w:tcW w:type="dxa" w:w="3860"/>
            <w:tcMar>
              <w:top w:w="80" w:type="dxa"/>
              <w:start w:w="120" w:type="dxa"/>
              <w:bottom w:w="80" w:type="dxa"/>
              <w:end w:w="120" w:type="dxa"/>
            </w:tcMar>
            <w:vAlign w:val="center"/>
            <w:shd w:fill="E8EEF5"/>
          </w:tcPr>
          <w:p>
            <w:pPr>
              <w:spacing w:after="0"/>
              <w:jc w:val="left"/>
            </w:pPr>
            <w:r>
              <w:rPr>
                <w:rFonts w:ascii="Calibri" w:hAnsi="Calibri"/>
                <w:b/>
                <w:color w:val="0B2545"/>
                <w:sz w:val="16"/>
              </w:rPr>
              <w:t>Notes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Core read API</w:t>
            </w:r>
          </w:p>
        </w:tc>
        <w:tc>
          <w:tcPr>
            <w:tcW w:type="dxa" w:w="3700"/>
            <w:tcMar>
              <w:top w:w="80" w:type="dxa"/>
              <w:start w:w="120" w:type="dxa"/>
              <w:bottom w:w="80" w:type="dxa"/>
              <w:end w:w="120" w:type="dxa"/>
            </w:tcMar>
            <w:vAlign w:val="center"/>
          </w:tcPr>
          <w:p>
            <w:pPr>
              <w:spacing w:after="0" w:line="252" w:lineRule="auto"/>
            </w:pPr>
            <w:r>
              <w:rPr>
                <w:rFonts w:ascii="Calibri" w:hAnsi="Calibri"/>
                <w:color w:val="111827"/>
                <w:sz w:val="16"/>
              </w:rPr>
              <w:t>99.9% monthly availability after paid launch</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6"/>
              </w:rPr>
              <w:t>Excludes documented third-party outages; stale evidence remains labeled</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X-Ray job</w:t>
            </w:r>
          </w:p>
        </w:tc>
        <w:tc>
          <w:tcPr>
            <w:tcW w:type="dxa" w:w="3700"/>
            <w:tcMar>
              <w:top w:w="80" w:type="dxa"/>
              <w:start w:w="120" w:type="dxa"/>
              <w:bottom w:w="80" w:type="dxa"/>
              <w:end w:w="120" w:type="dxa"/>
            </w:tcMar>
            <w:vAlign w:val="center"/>
          </w:tcPr>
          <w:p>
            <w:pPr>
              <w:spacing w:after="0" w:line="252" w:lineRule="auto"/>
            </w:pPr>
            <w:r>
              <w:rPr>
                <w:rFonts w:ascii="Calibri" w:hAnsi="Calibri"/>
                <w:color w:val="111827"/>
                <w:sz w:val="16"/>
              </w:rPr>
              <w:t>90% of supported jobs finish or return partial evidence within 60 seconds</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6"/>
              </w:rPr>
              <w:t>No fake completion animation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Evidence freshness</w:t>
            </w:r>
          </w:p>
        </w:tc>
        <w:tc>
          <w:tcPr>
            <w:tcW w:type="dxa" w:w="3700"/>
            <w:tcMar>
              <w:top w:w="80" w:type="dxa"/>
              <w:start w:w="120" w:type="dxa"/>
              <w:bottom w:w="80" w:type="dxa"/>
              <w:end w:w="120" w:type="dxa"/>
            </w:tcMar>
            <w:vAlign w:val="center"/>
          </w:tcPr>
          <w:p>
            <w:pPr>
              <w:spacing w:after="0" w:line="252" w:lineRule="auto"/>
            </w:pPr>
            <w:r>
              <w:rPr>
                <w:rFonts w:ascii="Calibri" w:hAnsi="Calibri"/>
                <w:color w:val="111827"/>
                <w:sz w:val="16"/>
              </w:rPr>
              <w:t>Google demand &lt;= 24 hours; marketplace observations &lt;= 24 hours; compliance based on source publication cadence</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6"/>
              </w:rPr>
              <w:t>Source-specific policies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Decision reproducibility</w:t>
            </w:r>
          </w:p>
        </w:tc>
        <w:tc>
          <w:tcPr>
            <w:tcW w:type="dxa" w:w="3700"/>
            <w:tcMar>
              <w:top w:w="80" w:type="dxa"/>
              <w:start w:w="120" w:type="dxa"/>
              <w:bottom w:w="80" w:type="dxa"/>
              <w:end w:w="120" w:type="dxa"/>
            </w:tcMar>
            <w:vAlign w:val="center"/>
          </w:tcPr>
          <w:p>
            <w:pPr>
              <w:spacing w:after="0" w:line="252" w:lineRule="auto"/>
            </w:pPr>
            <w:r>
              <w:rPr>
                <w:rFonts w:ascii="Calibri" w:hAnsi="Calibri"/>
                <w:color w:val="111827"/>
                <w:sz w:val="16"/>
              </w:rPr>
              <w:t>100% of saved decisions reproducible from stored inputs and versions</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6"/>
              </w:rPr>
              <w:t>Release-blocking invariant</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color w:val="111827"/>
                <w:sz w:val="16"/>
              </w:rPr>
              <w:t>Tenant isolation</w:t>
            </w:r>
          </w:p>
        </w:tc>
        <w:tc>
          <w:tcPr>
            <w:tcW w:type="dxa" w:w="3700"/>
            <w:tcMar>
              <w:top w:w="80" w:type="dxa"/>
              <w:start w:w="120" w:type="dxa"/>
              <w:bottom w:w="80" w:type="dxa"/>
              <w:end w:w="120" w:type="dxa"/>
            </w:tcMar>
            <w:vAlign w:val="center"/>
          </w:tcPr>
          <w:p>
            <w:pPr>
              <w:spacing w:after="0" w:line="252" w:lineRule="auto"/>
            </w:pPr>
            <w:r>
              <w:rPr>
                <w:rFonts w:ascii="Calibri" w:hAnsi="Calibri"/>
                <w:color w:val="111827"/>
                <w:sz w:val="16"/>
              </w:rPr>
              <w:t>Zero cross-workspace disclosure</w:t>
            </w:r>
          </w:p>
        </w:tc>
        <w:tc>
          <w:tcPr>
            <w:tcW w:type="dxa" w:w="3860"/>
            <w:tcMar>
              <w:top w:w="80" w:type="dxa"/>
              <w:start w:w="120" w:type="dxa"/>
              <w:bottom w:w="80" w:type="dxa"/>
              <w:end w:w="120" w:type="dxa"/>
            </w:tcMar>
            <w:vAlign w:val="center"/>
          </w:tcPr>
          <w:p>
            <w:pPr>
              <w:spacing w:after="0" w:line="252" w:lineRule="auto"/>
            </w:pPr>
            <w:r>
              <w:rPr>
                <w:rFonts w:ascii="Calibri" w:hAnsi="Calibri"/>
                <w:color w:val="111827"/>
                <w:sz w:val="16"/>
              </w:rPr>
              <w:t>Security test and incident threshold</w:t>
            </w:r>
          </w:p>
        </w:tc>
      </w:tr>
    </w:tbl>
    <w:p>
      <w:pPr>
        <w:spacing w:after="60"/>
      </w:pPr>
    </w:p>
    <w:p>
      <w:r>
        <w:br w:type="page"/>
      </w:r>
    </w:p>
    <w:p>
      <w:pPr>
        <w:pStyle w:val="Heading1"/>
        <w:keepNext/>
        <w:keepLines/>
      </w:pPr>
      <w:r>
        <w:t>8. Delivery plan and backlog</w:t>
      </w:r>
    </w:p>
    <w:p>
      <w:pPr>
        <w:spacing w:after="120" w:line="264" w:lineRule="auto"/>
      </w:pPr>
      <w:r>
        <w:rPr>
          <w:rFonts w:ascii="Calibri" w:hAnsi="Calibri"/>
          <w:i w:val="0"/>
          <w:color w:val="111827"/>
          <w:sz w:val="22"/>
        </w:rPr>
        <w:t>The schedule below assumes one senior full-stack developer, one data/backend engineer, a part-time product/designer, and part-time DevOps support. It is a planning baseline, not a commitment. A single developer should expect a longer calendar or a smaller first scope.</w:t>
      </w:r>
    </w:p>
    <w:tbl>
      <w:tblPr>
        <w:tblStyle w:val="TableGrid"/>
        <w:tblW w:type="dxa" w:w="9360"/>
        <w:tblLayout w:type="fixed"/>
        <w:tblLook w:firstColumn="1" w:firstRow="1" w:lastColumn="0" w:lastRow="0" w:noHBand="0" w:noVBand="1" w:val="04A0"/>
        <w:tblInd w:w="120" w:type="dxa"/>
      </w:tblPr>
      <w:tblGrid>
        <w:gridCol w:w="1450"/>
        <w:gridCol w:w="1350"/>
        <w:gridCol w:w="4160"/>
        <w:gridCol w:w="2400"/>
      </w:tblGrid>
      <w:tr>
        <w:trPr>
          <w:tblHeader w:val="true"/>
          <w:cantSplit/>
        </w:trPr>
        <w:tc>
          <w:tcPr>
            <w:tcW w:type="dxa" w:w="1450"/>
            <w:tcMar>
              <w:top w:w="80" w:type="dxa"/>
              <w:start w:w="120" w:type="dxa"/>
              <w:bottom w:w="80" w:type="dxa"/>
              <w:end w:w="120" w:type="dxa"/>
            </w:tcMar>
            <w:vAlign w:val="center"/>
            <w:shd w:fill="E8EEF5"/>
          </w:tcPr>
          <w:p>
            <w:pPr>
              <w:spacing w:after="0"/>
              <w:jc w:val="left"/>
            </w:pPr>
            <w:r>
              <w:rPr>
                <w:rFonts w:ascii="Calibri" w:hAnsi="Calibri"/>
                <w:b/>
                <w:color w:val="0B2545"/>
                <w:sz w:val="16"/>
              </w:rPr>
              <w:t>Phase</w:t>
            </w:r>
          </w:p>
        </w:tc>
        <w:tc>
          <w:tcPr>
            <w:tcW w:type="dxa" w:w="1350"/>
            <w:tcMar>
              <w:top w:w="80" w:type="dxa"/>
              <w:start w:w="120" w:type="dxa"/>
              <w:bottom w:w="80" w:type="dxa"/>
              <w:end w:w="120" w:type="dxa"/>
            </w:tcMar>
            <w:vAlign w:val="center"/>
            <w:shd w:fill="E8EEF5"/>
          </w:tcPr>
          <w:p>
            <w:pPr>
              <w:spacing w:after="0"/>
              <w:jc w:val="left"/>
            </w:pPr>
            <w:r>
              <w:rPr>
                <w:rFonts w:ascii="Calibri" w:hAnsi="Calibri"/>
                <w:b/>
                <w:color w:val="0B2545"/>
                <w:sz w:val="16"/>
              </w:rPr>
              <w:t>Planning window</w:t>
            </w:r>
          </w:p>
        </w:tc>
        <w:tc>
          <w:tcPr>
            <w:tcW w:type="dxa" w:w="4160"/>
            <w:tcMar>
              <w:top w:w="80" w:type="dxa"/>
              <w:start w:w="120" w:type="dxa"/>
              <w:bottom w:w="80" w:type="dxa"/>
              <w:end w:w="120" w:type="dxa"/>
            </w:tcMar>
            <w:vAlign w:val="center"/>
            <w:shd w:fill="E8EEF5"/>
          </w:tcPr>
          <w:p>
            <w:pPr>
              <w:spacing w:after="0"/>
              <w:jc w:val="left"/>
            </w:pPr>
            <w:r>
              <w:rPr>
                <w:rFonts w:ascii="Calibri" w:hAnsi="Calibri"/>
                <w:b/>
                <w:color w:val="0B2545"/>
                <w:sz w:val="16"/>
              </w:rPr>
              <w:t>Scope</w:t>
            </w:r>
          </w:p>
        </w:tc>
        <w:tc>
          <w:tcPr>
            <w:tcW w:type="dxa" w:w="2400"/>
            <w:tcMar>
              <w:top w:w="80" w:type="dxa"/>
              <w:start w:w="120" w:type="dxa"/>
              <w:bottom w:w="80" w:type="dxa"/>
              <w:end w:w="120" w:type="dxa"/>
            </w:tcMar>
            <w:vAlign w:val="center"/>
            <w:shd w:fill="E8EEF5"/>
          </w:tcPr>
          <w:p>
            <w:pPr>
              <w:spacing w:after="0"/>
              <w:jc w:val="left"/>
            </w:pPr>
            <w:r>
              <w:rPr>
                <w:rFonts w:ascii="Calibri" w:hAnsi="Calibri"/>
                <w:b/>
                <w:color w:val="0B2545"/>
                <w:sz w:val="16"/>
              </w:rPr>
              <w:t>Exit gate</w:t>
            </w:r>
          </w:p>
        </w:tc>
      </w:tr>
      <w:tr>
        <w:trPr>
          <w:cantSplit/>
        </w:trPr>
        <w:tc>
          <w:tcPr>
            <w:tcW w:type="dxa" w:w="1450"/>
            <w:tcMar>
              <w:top w:w="80" w:type="dxa"/>
              <w:start w:w="120" w:type="dxa"/>
              <w:bottom w:w="80" w:type="dxa"/>
              <w:end w:w="120" w:type="dxa"/>
            </w:tcMar>
            <w:vAlign w:val="center"/>
          </w:tcPr>
          <w:p>
            <w:pPr>
              <w:spacing w:after="0" w:line="252" w:lineRule="auto"/>
            </w:pPr>
            <w:r>
              <w:rPr>
                <w:rFonts w:ascii="Calibri" w:hAnsi="Calibri"/>
                <w:color w:val="111827"/>
                <w:sz w:val="16"/>
              </w:rPr>
              <w:t>0. Truth reset</w:t>
            </w:r>
          </w:p>
        </w:tc>
        <w:tc>
          <w:tcPr>
            <w:tcW w:type="dxa" w:w="1350"/>
            <w:tcMar>
              <w:top w:w="80" w:type="dxa"/>
              <w:start w:w="120" w:type="dxa"/>
              <w:bottom w:w="80" w:type="dxa"/>
              <w:end w:w="120" w:type="dxa"/>
            </w:tcMar>
            <w:vAlign w:val="center"/>
          </w:tcPr>
          <w:p>
            <w:pPr>
              <w:spacing w:after="0" w:line="252" w:lineRule="auto"/>
            </w:pPr>
            <w:r>
              <w:rPr>
                <w:rFonts w:ascii="Calibri" w:hAnsi="Calibri"/>
                <w:color w:val="111827"/>
                <w:sz w:val="16"/>
              </w:rPr>
              <w:t>Weeks 1-2</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Rotate secrets; fix clean clone; freeze misleading endpoints; demo/production separation; baseline tests</w:t>
            </w:r>
          </w:p>
        </w:tc>
        <w:tc>
          <w:tcPr>
            <w:tcW w:type="dxa" w:w="2400"/>
            <w:tcMar>
              <w:top w:w="80" w:type="dxa"/>
              <w:start w:w="120" w:type="dxa"/>
              <w:bottom w:w="80" w:type="dxa"/>
              <w:end w:w="120" w:type="dxa"/>
            </w:tcMar>
            <w:vAlign w:val="center"/>
          </w:tcPr>
          <w:p>
            <w:pPr>
              <w:spacing w:after="0" w:line="252" w:lineRule="auto"/>
            </w:pPr>
            <w:r>
              <w:rPr>
                <w:rFonts w:ascii="Calibri" w:hAnsi="Calibri"/>
                <w:color w:val="111827"/>
                <w:sz w:val="16"/>
              </w:rPr>
              <w:t>Repo builds from scratch; no synthetic production path</w:t>
            </w:r>
          </w:p>
        </w:tc>
      </w:tr>
      <w:tr>
        <w:trPr>
          <w:cantSplit/>
        </w:trPr>
        <w:tc>
          <w:tcPr>
            <w:tcW w:type="dxa" w:w="1450"/>
            <w:tcMar>
              <w:top w:w="80" w:type="dxa"/>
              <w:start w:w="120" w:type="dxa"/>
              <w:bottom w:w="80" w:type="dxa"/>
              <w:end w:w="120" w:type="dxa"/>
            </w:tcMar>
            <w:vAlign w:val="center"/>
          </w:tcPr>
          <w:p>
            <w:pPr>
              <w:spacing w:after="0" w:line="252" w:lineRule="auto"/>
            </w:pPr>
            <w:r>
              <w:rPr>
                <w:rFonts w:ascii="Calibri" w:hAnsi="Calibri"/>
                <w:color w:val="111827"/>
                <w:sz w:val="16"/>
              </w:rPr>
              <w:t>1. Platform foundation</w:t>
            </w:r>
          </w:p>
        </w:tc>
        <w:tc>
          <w:tcPr>
            <w:tcW w:type="dxa" w:w="1350"/>
            <w:tcMar>
              <w:top w:w="80" w:type="dxa"/>
              <w:start w:w="120" w:type="dxa"/>
              <w:bottom w:w="80" w:type="dxa"/>
              <w:end w:w="120" w:type="dxa"/>
            </w:tcMar>
            <w:vAlign w:val="center"/>
          </w:tcPr>
          <w:p>
            <w:pPr>
              <w:spacing w:after="0" w:line="252" w:lineRule="auto"/>
            </w:pPr>
            <w:r>
              <w:rPr>
                <w:rFonts w:ascii="Calibri" w:hAnsi="Calibri"/>
                <w:color w:val="111827"/>
                <w:sz w:val="16"/>
              </w:rPr>
              <w:t>Weeks 3-5</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Auth/tenancy; PostgreSQL/Alembic; jobs; snapshots; observation contract; data health</w:t>
            </w:r>
          </w:p>
        </w:tc>
        <w:tc>
          <w:tcPr>
            <w:tcW w:type="dxa" w:w="2400"/>
            <w:tcMar>
              <w:top w:w="80" w:type="dxa"/>
              <w:start w:w="120" w:type="dxa"/>
              <w:bottom w:w="80" w:type="dxa"/>
              <w:end w:w="120" w:type="dxa"/>
            </w:tcMar>
            <w:vAlign w:val="center"/>
          </w:tcPr>
          <w:p>
            <w:pPr>
              <w:spacing w:after="0" w:line="252" w:lineRule="auto"/>
            </w:pPr>
            <w:r>
              <w:rPr>
                <w:rFonts w:ascii="Calibri" w:hAnsi="Calibri"/>
                <w:color w:val="111827"/>
                <w:sz w:val="16"/>
              </w:rPr>
              <w:t>One collector produces auditable observations</w:t>
            </w:r>
          </w:p>
        </w:tc>
      </w:tr>
      <w:tr>
        <w:trPr>
          <w:cantSplit/>
        </w:trPr>
        <w:tc>
          <w:tcPr>
            <w:tcW w:type="dxa" w:w="1450"/>
            <w:tcMar>
              <w:top w:w="80" w:type="dxa"/>
              <w:start w:w="120" w:type="dxa"/>
              <w:bottom w:w="80" w:type="dxa"/>
              <w:end w:w="120" w:type="dxa"/>
            </w:tcMar>
            <w:vAlign w:val="center"/>
          </w:tcPr>
          <w:p>
            <w:pPr>
              <w:spacing w:after="0" w:line="252" w:lineRule="auto"/>
            </w:pPr>
            <w:r>
              <w:rPr>
                <w:rFonts w:ascii="Calibri" w:hAnsi="Calibri"/>
                <w:color w:val="111827"/>
                <w:sz w:val="16"/>
              </w:rPr>
              <w:t>2. Decision MVP</w:t>
            </w:r>
          </w:p>
        </w:tc>
        <w:tc>
          <w:tcPr>
            <w:tcW w:type="dxa" w:w="1350"/>
            <w:tcMar>
              <w:top w:w="80" w:type="dxa"/>
              <w:start w:w="120" w:type="dxa"/>
              <w:bottom w:w="80" w:type="dxa"/>
              <w:end w:w="120" w:type="dxa"/>
            </w:tcMar>
            <w:vAlign w:val="center"/>
          </w:tcPr>
          <w:p>
            <w:pPr>
              <w:spacing w:after="0" w:line="252" w:lineRule="auto"/>
            </w:pPr>
            <w:r>
              <w:rPr>
                <w:rFonts w:ascii="Calibri" w:hAnsi="Calibri"/>
                <w:color w:val="111827"/>
                <w:sz w:val="16"/>
              </w:rPr>
              <w:t>Weeks 6-10</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X-Ray, product confirmation, proof timeline, Decision Room, evidence drawer</w:t>
            </w:r>
          </w:p>
        </w:tc>
        <w:tc>
          <w:tcPr>
            <w:tcW w:type="dxa" w:w="2400"/>
            <w:tcMar>
              <w:top w:w="80" w:type="dxa"/>
              <w:start w:w="120" w:type="dxa"/>
              <w:bottom w:w="80" w:type="dxa"/>
              <w:end w:w="120" w:type="dxa"/>
            </w:tcMar>
            <w:vAlign w:val="center"/>
          </w:tcPr>
          <w:p>
            <w:pPr>
              <w:spacing w:after="0" w:line="252" w:lineRule="auto"/>
            </w:pPr>
            <w:r>
              <w:rPr>
                <w:rFonts w:ascii="Calibri" w:hAnsi="Calibri"/>
                <w:color w:val="111827"/>
                <w:sz w:val="16"/>
              </w:rPr>
              <w:t>Pilot users reach a reproducible decision</w:t>
            </w:r>
          </w:p>
        </w:tc>
      </w:tr>
      <w:tr>
        <w:trPr>
          <w:cantSplit/>
        </w:trPr>
        <w:tc>
          <w:tcPr>
            <w:tcW w:type="dxa" w:w="1450"/>
            <w:tcMar>
              <w:top w:w="80" w:type="dxa"/>
              <w:start w:w="120" w:type="dxa"/>
              <w:bottom w:w="80" w:type="dxa"/>
              <w:end w:w="120" w:type="dxa"/>
            </w:tcMar>
            <w:vAlign w:val="center"/>
          </w:tcPr>
          <w:p>
            <w:pPr>
              <w:spacing w:after="0" w:line="252" w:lineRule="auto"/>
            </w:pPr>
            <w:r>
              <w:rPr>
                <w:rFonts w:ascii="Calibri" w:hAnsi="Calibri"/>
                <w:color w:val="111827"/>
                <w:sz w:val="16"/>
              </w:rPr>
              <w:t>3. Nigeria moat</w:t>
            </w:r>
          </w:p>
        </w:tc>
        <w:tc>
          <w:tcPr>
            <w:tcW w:type="dxa" w:w="1350"/>
            <w:tcMar>
              <w:top w:w="80" w:type="dxa"/>
              <w:start w:w="120" w:type="dxa"/>
              <w:bottom w:w="80" w:type="dxa"/>
              <w:end w:w="120" w:type="dxa"/>
            </w:tcMar>
            <w:vAlign w:val="center"/>
          </w:tcPr>
          <w:p>
            <w:pPr>
              <w:spacing w:after="0" w:line="252" w:lineRule="auto"/>
            </w:pPr>
            <w:r>
              <w:rPr>
                <w:rFonts w:ascii="Calibri" w:hAnsi="Calibri"/>
                <w:color w:val="111827"/>
                <w:sz w:val="16"/>
              </w:rPr>
              <w:t>Weeks 11-14</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Effective-dated compliance/tariff data, local market coverage, Gap Radar</w:t>
            </w:r>
          </w:p>
        </w:tc>
        <w:tc>
          <w:tcPr>
            <w:tcW w:type="dxa" w:w="2400"/>
            <w:tcMar>
              <w:top w:w="80" w:type="dxa"/>
              <w:start w:w="120" w:type="dxa"/>
              <w:bottom w:w="80" w:type="dxa"/>
              <w:end w:w="120" w:type="dxa"/>
            </w:tcMar>
            <w:vAlign w:val="center"/>
          </w:tcPr>
          <w:p>
            <w:pPr>
              <w:spacing w:after="0" w:line="252" w:lineRule="auto"/>
            </w:pPr>
            <w:r>
              <w:rPr>
                <w:rFonts w:ascii="Calibri" w:hAnsi="Calibri"/>
                <w:color w:val="111827"/>
                <w:sz w:val="16"/>
              </w:rPr>
              <w:t>Insufficient evidence is handled safely</w:t>
            </w:r>
          </w:p>
        </w:tc>
      </w:tr>
      <w:tr>
        <w:trPr>
          <w:cantSplit/>
        </w:trPr>
        <w:tc>
          <w:tcPr>
            <w:tcW w:type="dxa" w:w="1450"/>
            <w:tcMar>
              <w:top w:w="80" w:type="dxa"/>
              <w:start w:w="120" w:type="dxa"/>
              <w:bottom w:w="80" w:type="dxa"/>
              <w:end w:w="120" w:type="dxa"/>
            </w:tcMar>
            <w:vAlign w:val="center"/>
          </w:tcPr>
          <w:p>
            <w:pPr>
              <w:spacing w:after="0" w:line="252" w:lineRule="auto"/>
            </w:pPr>
            <w:r>
              <w:rPr>
                <w:rFonts w:ascii="Calibri" w:hAnsi="Calibri"/>
                <w:color w:val="111827"/>
                <w:sz w:val="16"/>
              </w:rPr>
              <w:t>4. Retention</w:t>
            </w:r>
          </w:p>
        </w:tc>
        <w:tc>
          <w:tcPr>
            <w:tcW w:type="dxa" w:w="1350"/>
            <w:tcMar>
              <w:top w:w="80" w:type="dxa"/>
              <w:start w:w="120" w:type="dxa"/>
              <w:bottom w:w="80" w:type="dxa"/>
              <w:end w:w="120" w:type="dxa"/>
            </w:tcMar>
            <w:vAlign w:val="center"/>
          </w:tcPr>
          <w:p>
            <w:pPr>
              <w:spacing w:after="0" w:line="252" w:lineRule="auto"/>
            </w:pPr>
            <w:r>
              <w:rPr>
                <w:rFonts w:ascii="Calibri" w:hAnsi="Calibri"/>
                <w:color w:val="111827"/>
                <w:sz w:val="16"/>
              </w:rPr>
              <w:t>Weeks 15-17</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Watchtower, change detection, alerts, overnight brief</w:t>
            </w:r>
          </w:p>
        </w:tc>
        <w:tc>
          <w:tcPr>
            <w:tcW w:type="dxa" w:w="2400"/>
            <w:tcMar>
              <w:top w:w="80" w:type="dxa"/>
              <w:start w:w="120" w:type="dxa"/>
              <w:bottom w:w="80" w:type="dxa"/>
              <w:end w:w="120" w:type="dxa"/>
            </w:tcMar>
            <w:vAlign w:val="center"/>
          </w:tcPr>
          <w:p>
            <w:pPr>
              <w:spacing w:after="0" w:line="252" w:lineRule="auto"/>
            </w:pPr>
            <w:r>
              <w:rPr>
                <w:rFonts w:ascii="Calibri" w:hAnsi="Calibri"/>
                <w:color w:val="111827"/>
                <w:sz w:val="16"/>
              </w:rPr>
              <w:t>Users return because decisions change</w:t>
            </w:r>
          </w:p>
        </w:tc>
      </w:tr>
      <w:tr>
        <w:trPr>
          <w:cantSplit/>
        </w:trPr>
        <w:tc>
          <w:tcPr>
            <w:tcW w:type="dxa" w:w="1450"/>
            <w:tcMar>
              <w:top w:w="80" w:type="dxa"/>
              <w:start w:w="120" w:type="dxa"/>
              <w:bottom w:w="80" w:type="dxa"/>
              <w:end w:w="120" w:type="dxa"/>
            </w:tcMar>
            <w:vAlign w:val="center"/>
          </w:tcPr>
          <w:p>
            <w:pPr>
              <w:spacing w:after="0" w:line="252" w:lineRule="auto"/>
            </w:pPr>
            <w:r>
              <w:rPr>
                <w:rFonts w:ascii="Calibri" w:hAnsi="Calibri"/>
                <w:color w:val="111827"/>
                <w:sz w:val="16"/>
              </w:rPr>
              <w:t>5. Sourcing</w:t>
            </w:r>
          </w:p>
        </w:tc>
        <w:tc>
          <w:tcPr>
            <w:tcW w:type="dxa" w:w="1350"/>
            <w:tcMar>
              <w:top w:w="80" w:type="dxa"/>
              <w:start w:w="120" w:type="dxa"/>
              <w:bottom w:w="80" w:type="dxa"/>
              <w:end w:w="120" w:type="dxa"/>
            </w:tcMar>
            <w:vAlign w:val="center"/>
          </w:tcPr>
          <w:p>
            <w:pPr>
              <w:spacing w:after="0" w:line="252" w:lineRule="auto"/>
            </w:pPr>
            <w:r>
              <w:rPr>
                <w:rFonts w:ascii="Calibri" w:hAnsi="Calibri"/>
                <w:color w:val="111827"/>
                <w:sz w:val="16"/>
              </w:rPr>
              <w:t>Weeks 18-21</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RFQs, quotes, landed-cost comparison, samples, certificates</w:t>
            </w:r>
          </w:p>
        </w:tc>
        <w:tc>
          <w:tcPr>
            <w:tcW w:type="dxa" w:w="2400"/>
            <w:tcMar>
              <w:top w:w="80" w:type="dxa"/>
              <w:start w:w="120" w:type="dxa"/>
              <w:bottom w:w="80" w:type="dxa"/>
              <w:end w:w="120" w:type="dxa"/>
            </w:tcMar>
            <w:vAlign w:val="center"/>
          </w:tcPr>
          <w:p>
            <w:pPr>
              <w:spacing w:after="0" w:line="252" w:lineRule="auto"/>
            </w:pPr>
            <w:r>
              <w:rPr>
                <w:rFonts w:ascii="Calibri" w:hAnsi="Calibri"/>
                <w:color w:val="111827"/>
                <w:sz w:val="16"/>
              </w:rPr>
              <w:t>Real quote data replaces templates</w:t>
            </w:r>
          </w:p>
        </w:tc>
      </w:tr>
      <w:tr>
        <w:trPr>
          <w:cantSplit/>
        </w:trPr>
        <w:tc>
          <w:tcPr>
            <w:tcW w:type="dxa" w:w="1450"/>
            <w:tcMar>
              <w:top w:w="80" w:type="dxa"/>
              <w:start w:w="120" w:type="dxa"/>
              <w:bottom w:w="80" w:type="dxa"/>
              <w:end w:w="120" w:type="dxa"/>
            </w:tcMar>
            <w:vAlign w:val="center"/>
          </w:tcPr>
          <w:p>
            <w:pPr>
              <w:spacing w:after="0" w:line="252" w:lineRule="auto"/>
            </w:pPr>
            <w:r>
              <w:rPr>
                <w:rFonts w:ascii="Calibri" w:hAnsi="Calibri"/>
                <w:color w:val="111827"/>
                <w:sz w:val="16"/>
              </w:rPr>
              <w:t>6. Premium validation</w:t>
            </w:r>
          </w:p>
        </w:tc>
        <w:tc>
          <w:tcPr>
            <w:tcW w:type="dxa" w:w="1350"/>
            <w:tcMar>
              <w:top w:w="80" w:type="dxa"/>
              <w:start w:w="120" w:type="dxa"/>
              <w:bottom w:w="80" w:type="dxa"/>
              <w:end w:w="120" w:type="dxa"/>
            </w:tcMar>
            <w:vAlign w:val="center"/>
          </w:tcPr>
          <w:p>
            <w:pPr>
              <w:spacing w:after="0" w:line="252" w:lineRule="auto"/>
            </w:pPr>
            <w:r>
              <w:rPr>
                <w:rFonts w:ascii="Calibri" w:hAnsi="Calibri"/>
                <w:color w:val="111827"/>
                <w:sz w:val="16"/>
              </w:rPr>
              <w:t>After product proof</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Creative DNA expansion and Test Before You Stock</w:t>
            </w:r>
          </w:p>
        </w:tc>
        <w:tc>
          <w:tcPr>
            <w:tcW w:type="dxa" w:w="2400"/>
            <w:tcMar>
              <w:top w:w="80" w:type="dxa"/>
              <w:start w:w="120" w:type="dxa"/>
              <w:bottom w:w="80" w:type="dxa"/>
              <w:end w:w="120" w:type="dxa"/>
            </w:tcMar>
            <w:vAlign w:val="center"/>
          </w:tcPr>
          <w:p>
            <w:pPr>
              <w:spacing w:after="0" w:line="252" w:lineRule="auto"/>
            </w:pPr>
            <w:r>
              <w:rPr>
                <w:rFonts w:ascii="Calibri" w:hAnsi="Calibri"/>
                <w:color w:val="111827"/>
                <w:sz w:val="16"/>
              </w:rPr>
              <w:t>Explicit permissions and spend controls</w:t>
            </w:r>
          </w:p>
        </w:tc>
      </w:tr>
    </w:tbl>
    <w:p>
      <w:pPr>
        <w:spacing w:after="60"/>
      </w:pPr>
    </w:p>
    <w:p>
      <w:pPr>
        <w:pStyle w:val="Heading2"/>
        <w:keepNext/>
        <w:keepLines/>
      </w:pPr>
      <w:r>
        <w:t>8.1 Phase 0: exact first actions</w:t>
      </w:r>
    </w:p>
    <w:p>
      <w:pPr>
        <w:keepLines/>
        <w:numPr>
          <w:ilvl w:val="0"/>
          <w:numId w:val="23"/>
        </w:numPr>
        <w:spacing w:after="160" w:line="280" w:lineRule="auto"/>
      </w:pPr>
      <w:r>
        <w:rPr>
          <w:rFonts w:ascii="Calibri" w:hAnsi="Calibri"/>
          <w:color w:val="111827"/>
          <w:sz w:val="22"/>
        </w:rPr>
        <w:t>Create a redesign branch and tag the current main branch as the synthetic prototype baseline.</w:t>
      </w:r>
    </w:p>
    <w:p>
      <w:pPr>
        <w:keepLines/>
        <w:numPr>
          <w:ilvl w:val="0"/>
          <w:numId w:val="23"/>
        </w:numPr>
        <w:spacing w:after="160" w:line="280" w:lineRule="auto"/>
      </w:pPr>
      <w:r>
        <w:rPr>
          <w:rFonts w:ascii="Calibri" w:hAnsi="Calibri"/>
          <w:color w:val="111827"/>
          <w:sz w:val="22"/>
        </w:rPr>
        <w:t>Revoke and rotate any exposed or active-looking LLM/API credential; purge it from Git history and deployment configuration.</w:t>
      </w:r>
    </w:p>
    <w:p>
      <w:pPr>
        <w:keepLines/>
        <w:numPr>
          <w:ilvl w:val="0"/>
          <w:numId w:val="23"/>
        </w:numPr>
        <w:spacing w:after="160" w:line="280" w:lineRule="auto"/>
      </w:pPr>
      <w:r>
        <w:rPr>
          <w:rFonts w:ascii="Calibri" w:hAnsi="Calibri"/>
          <w:color w:val="111827"/>
          <w:sz w:val="22"/>
        </w:rPr>
        <w:t>Fix the root gitignore so frontend/src/lib is tracked; restore api.ts, csv.ts, and utilities; prove a fresh clone installs and builds.</w:t>
      </w:r>
    </w:p>
    <w:p>
      <w:pPr>
        <w:keepLines/>
        <w:numPr>
          <w:ilvl w:val="0"/>
          <w:numId w:val="23"/>
        </w:numPr>
        <w:spacing w:after="160" w:line="280" w:lineRule="auto"/>
      </w:pPr>
      <w:r>
        <w:rPr>
          <w:rFonts w:ascii="Calibri" w:hAnsi="Calibri"/>
          <w:color w:val="111827"/>
          <w:sz w:val="22"/>
        </w:rPr>
        <w:t>Add documented environment validation. The service must fail with a clear message when required variables are missing.</w:t>
      </w:r>
    </w:p>
    <w:p>
      <w:pPr>
        <w:keepLines/>
        <w:numPr>
          <w:ilvl w:val="0"/>
          <w:numId w:val="23"/>
        </w:numPr>
        <w:spacing w:after="160" w:line="280" w:lineRule="auto"/>
      </w:pPr>
      <w:r>
        <w:rPr>
          <w:rFonts w:ascii="Calibri" w:hAnsi="Calibri"/>
          <w:color w:val="111827"/>
          <w:sz w:val="22"/>
        </w:rPr>
        <w:t>Disable public access to research, brief, niches, Store Spy, RFQ, and all state-changing routes until auth, quotas, and audit exist.</w:t>
      </w:r>
    </w:p>
    <w:p>
      <w:pPr>
        <w:keepLines/>
        <w:numPr>
          <w:ilvl w:val="0"/>
          <w:numId w:val="23"/>
        </w:numPr>
        <w:spacing w:after="160" w:line="280" w:lineRule="auto"/>
      </w:pPr>
      <w:r>
        <w:rPr>
          <w:rFonts w:ascii="Calibri" w:hAnsi="Calibri"/>
          <w:color w:val="111827"/>
          <w:sz w:val="22"/>
        </w:rPr>
        <w:t>Remove random refresh behavior. A refresh with no successful source observation must produce no product-score change.</w:t>
      </w:r>
    </w:p>
    <w:p>
      <w:pPr>
        <w:keepLines/>
        <w:numPr>
          <w:ilvl w:val="0"/>
          <w:numId w:val="23"/>
        </w:numPr>
        <w:spacing w:after="160" w:line="280" w:lineRule="auto"/>
      </w:pPr>
      <w:r>
        <w:rPr>
          <w:rFonts w:ascii="Calibri" w:hAnsi="Calibri"/>
          <w:color w:val="111827"/>
          <w:sz w:val="22"/>
        </w:rPr>
        <w:t>Move seed_data.py, supplier templates, viral templates, and deterministic local/archetype generators into tests/fixtures or a DEMO_MODE-only package.</w:t>
      </w:r>
    </w:p>
    <w:p>
      <w:pPr>
        <w:keepLines/>
        <w:numPr>
          <w:ilvl w:val="0"/>
          <w:numId w:val="23"/>
        </w:numPr>
        <w:spacing w:after="160" w:line="280" w:lineRule="auto"/>
      </w:pPr>
      <w:r>
        <w:rPr>
          <w:rFonts w:ascii="Calibri" w:hAnsi="Calibri"/>
          <w:color w:val="111827"/>
          <w:sz w:val="22"/>
        </w:rPr>
        <w:t>Add a global DEMO banner and separate database namespace if demo fixtures remain accessible.</w:t>
      </w:r>
    </w:p>
    <w:p>
      <w:pPr>
        <w:keepLines/>
        <w:numPr>
          <w:ilvl w:val="0"/>
          <w:numId w:val="23"/>
        </w:numPr>
        <w:spacing w:after="160" w:line="280" w:lineRule="auto"/>
      </w:pPr>
      <w:r>
        <w:rPr>
          <w:rFonts w:ascii="Calibri" w:hAnsi="Calibri"/>
          <w:color w:val="111827"/>
          <w:sz w:val="22"/>
        </w:rPr>
        <w:t>Replace 'Live', 'refreshed hourly', and staged source claims with real source status returned by research_job events.</w:t>
      </w:r>
    </w:p>
    <w:p>
      <w:pPr>
        <w:keepLines/>
        <w:numPr>
          <w:ilvl w:val="0"/>
          <w:numId w:val="23"/>
        </w:numPr>
        <w:spacing w:after="160" w:line="280" w:lineRule="auto"/>
      </w:pPr>
      <w:r>
        <w:rPr>
          <w:rFonts w:ascii="Calibri" w:hAnsi="Calibri"/>
          <w:color w:val="111827"/>
          <w:sz w:val="22"/>
        </w:rPr>
        <w:t>Add GitHub Actions for backend tests, frontend type-check/build/tests, secret scan, dependency scan, and clean-clone verification.</w:t>
      </w:r>
    </w:p>
    <w:p>
      <w:pPr>
        <w:keepLines/>
        <w:numPr>
          <w:ilvl w:val="0"/>
          <w:numId w:val="23"/>
        </w:numPr>
        <w:spacing w:after="160" w:line="280" w:lineRule="auto"/>
      </w:pPr>
      <w:r>
        <w:rPr>
          <w:rFonts w:ascii="Calibri" w:hAnsi="Calibri"/>
          <w:color w:val="111827"/>
          <w:sz w:val="22"/>
        </w:rPr>
        <w:t>Protect main: pull-request review, passing checks, no direct pushes, delete merged branches, and signed release tags.</w:t>
      </w:r>
    </w:p>
    <w:p>
      <w:pPr>
        <w:pStyle w:val="Heading2"/>
        <w:keepNext/>
        <w:keepLines/>
      </w:pPr>
      <w:r>
        <w:t>8.2 Epic backlog</w:t>
      </w:r>
    </w:p>
    <w:tbl>
      <w:tblPr>
        <w:tblStyle w:val="TableGrid"/>
        <w:tblW w:type="dxa" w:w="9360"/>
        <w:tblLayout w:type="fixed"/>
        <w:tblLook w:firstColumn="1" w:firstRow="1" w:lastColumn="0" w:lastRow="0" w:noHBand="0" w:noVBand="1" w:val="04A0"/>
        <w:tblInd w:w="120" w:type="dxa"/>
      </w:tblPr>
      <w:tblGrid>
        <w:gridCol w:w="600"/>
        <w:gridCol w:w="2950"/>
        <w:gridCol w:w="950"/>
        <w:gridCol w:w="4860"/>
      </w:tblGrid>
      <w:tr>
        <w:trPr>
          <w:tblHeader w:val="true"/>
          <w:cantSplit/>
        </w:trPr>
        <w:tc>
          <w:tcPr>
            <w:tcW w:type="dxa" w:w="600"/>
            <w:tcMar>
              <w:top w:w="80" w:type="dxa"/>
              <w:start w:w="120" w:type="dxa"/>
              <w:bottom w:w="80" w:type="dxa"/>
              <w:end w:w="120" w:type="dxa"/>
            </w:tcMar>
            <w:vAlign w:val="center"/>
            <w:shd w:fill="E8EEF5"/>
          </w:tcPr>
          <w:p>
            <w:pPr>
              <w:spacing w:after="0"/>
              <w:jc w:val="left"/>
            </w:pPr>
            <w:r>
              <w:rPr>
                <w:rFonts w:ascii="Calibri" w:hAnsi="Calibri"/>
                <w:b/>
                <w:color w:val="0B2545"/>
                <w:sz w:val="16"/>
              </w:rPr>
              <w:t>ID</w:t>
            </w:r>
          </w:p>
        </w:tc>
        <w:tc>
          <w:tcPr>
            <w:tcW w:type="dxa" w:w="2950"/>
            <w:tcMar>
              <w:top w:w="80" w:type="dxa"/>
              <w:start w:w="120" w:type="dxa"/>
              <w:bottom w:w="80" w:type="dxa"/>
              <w:end w:w="120" w:type="dxa"/>
            </w:tcMar>
            <w:vAlign w:val="center"/>
            <w:shd w:fill="E8EEF5"/>
          </w:tcPr>
          <w:p>
            <w:pPr>
              <w:spacing w:after="0"/>
              <w:jc w:val="left"/>
            </w:pPr>
            <w:r>
              <w:rPr>
                <w:rFonts w:ascii="Calibri" w:hAnsi="Calibri"/>
                <w:b/>
                <w:color w:val="0B2545"/>
                <w:sz w:val="16"/>
              </w:rPr>
              <w:t>Epic</w:t>
            </w:r>
          </w:p>
        </w:tc>
        <w:tc>
          <w:tcPr>
            <w:tcW w:type="dxa" w:w="950"/>
            <w:tcMar>
              <w:top w:w="80" w:type="dxa"/>
              <w:start w:w="120" w:type="dxa"/>
              <w:bottom w:w="80" w:type="dxa"/>
              <w:end w:w="120" w:type="dxa"/>
            </w:tcMar>
            <w:vAlign w:val="center"/>
            <w:shd w:fill="E8EEF5"/>
          </w:tcPr>
          <w:p>
            <w:pPr>
              <w:spacing w:after="0"/>
              <w:jc w:val="left"/>
            </w:pPr>
            <w:r>
              <w:rPr>
                <w:rFonts w:ascii="Calibri" w:hAnsi="Calibri"/>
                <w:b/>
                <w:color w:val="0B2545"/>
                <w:sz w:val="16"/>
              </w:rPr>
              <w:t>Priority</w:t>
            </w:r>
          </w:p>
        </w:tc>
        <w:tc>
          <w:tcPr>
            <w:tcW w:type="dxa" w:w="4860"/>
            <w:tcMar>
              <w:top w:w="80" w:type="dxa"/>
              <w:start w:w="120" w:type="dxa"/>
              <w:bottom w:w="80" w:type="dxa"/>
              <w:end w:w="120" w:type="dxa"/>
            </w:tcMar>
            <w:vAlign w:val="center"/>
            <w:shd w:fill="E8EEF5"/>
          </w:tcPr>
          <w:p>
            <w:pPr>
              <w:spacing w:after="0"/>
              <w:jc w:val="left"/>
            </w:pPr>
            <w:r>
              <w:rPr>
                <w:rFonts w:ascii="Calibri" w:hAnsi="Calibri"/>
                <w:b/>
                <w:color w:val="0B2545"/>
                <w:sz w:val="16"/>
              </w:rPr>
              <w:t>Outcome</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E1</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Truth reset and release safety</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No misleading production data; clean build; credentials rotated; CI green</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E2</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Identity, workspaces, quotas</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All paid/mutable actions are scoped and rate-limited</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E3</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Observation and snapshot platform</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Immutable evidence with lineage and rights</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E4</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Research jobs and source health</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Real progress, retries, quotas, partial results</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E5</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Product identity and matching</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User-confirmable exact/probable/similar matches</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E6</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Proof timeline</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Auditable trend explanation without fabricated values</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E7</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Decision Room</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P0</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Reproducible scenarios and decision gates</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E8</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Nigeria compliance and landed cost</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P0/P1</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Effective-dated market evidence and unresolved-state workflow</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E9</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Gap Radar</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P1</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Local opportunity never inferred from missing coverage</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E10</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Watchtower and alerts</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P1</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Material, deduplicated, decision-aware alerts</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E11</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Supplier quotes and RFQs</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P1</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Source-backed suppliers and comparable real quotes</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E12</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Creative DNA</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P2</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Evidence-linked public ad analysis</w:t>
            </w:r>
          </w:p>
        </w:tc>
      </w:tr>
      <w:tr>
        <w:trPr>
          <w:cantSplit/>
        </w:trPr>
        <w:tc>
          <w:tcPr>
            <w:tcW w:type="dxa" w:w="600"/>
            <w:tcMar>
              <w:top w:w="80" w:type="dxa"/>
              <w:start w:w="120" w:type="dxa"/>
              <w:bottom w:w="80" w:type="dxa"/>
              <w:end w:w="120" w:type="dxa"/>
            </w:tcMar>
            <w:vAlign w:val="center"/>
          </w:tcPr>
          <w:p>
            <w:pPr>
              <w:spacing w:after="0" w:line="252" w:lineRule="auto"/>
            </w:pPr>
            <w:r>
              <w:rPr>
                <w:rFonts w:ascii="Calibri" w:hAnsi="Calibri"/>
                <w:color w:val="111827"/>
                <w:sz w:val="16"/>
              </w:rPr>
              <w:t>E13</w:t>
            </w:r>
          </w:p>
        </w:tc>
        <w:tc>
          <w:tcPr>
            <w:tcW w:type="dxa" w:w="2950"/>
            <w:tcMar>
              <w:top w:w="80" w:type="dxa"/>
              <w:start w:w="120" w:type="dxa"/>
              <w:bottom w:w="80" w:type="dxa"/>
              <w:end w:w="120" w:type="dxa"/>
            </w:tcMar>
            <w:vAlign w:val="center"/>
          </w:tcPr>
          <w:p>
            <w:pPr>
              <w:spacing w:after="0" w:line="252" w:lineRule="auto"/>
            </w:pPr>
            <w:r>
              <w:rPr>
                <w:rFonts w:ascii="Calibri" w:hAnsi="Calibri"/>
                <w:color w:val="111827"/>
                <w:sz w:val="16"/>
              </w:rPr>
              <w:t>Test Before You Stock</w:t>
            </w:r>
          </w:p>
        </w:tc>
        <w:tc>
          <w:tcPr>
            <w:tcW w:type="dxa" w:w="950"/>
            <w:tcMar>
              <w:top w:w="80" w:type="dxa"/>
              <w:start w:w="120" w:type="dxa"/>
              <w:bottom w:w="80" w:type="dxa"/>
              <w:end w:w="120" w:type="dxa"/>
            </w:tcMar>
            <w:vAlign w:val="center"/>
          </w:tcPr>
          <w:p>
            <w:pPr>
              <w:spacing w:after="0" w:line="252" w:lineRule="auto"/>
            </w:pPr>
            <w:r>
              <w:rPr>
                <w:rFonts w:ascii="Calibri" w:hAnsi="Calibri"/>
                <w:color w:val="111827"/>
                <w:sz w:val="16"/>
              </w:rPr>
              <w:t>P3</w:t>
            </w:r>
          </w:p>
        </w:tc>
        <w:tc>
          <w:tcPr>
            <w:tcW w:type="dxa" w:w="4860"/>
            <w:tcMar>
              <w:top w:w="80" w:type="dxa"/>
              <w:start w:w="120" w:type="dxa"/>
              <w:bottom w:w="80" w:type="dxa"/>
              <w:end w:w="120" w:type="dxa"/>
            </w:tcMar>
            <w:vAlign w:val="center"/>
          </w:tcPr>
          <w:p>
            <w:pPr>
              <w:spacing w:after="0" w:line="252" w:lineRule="auto"/>
            </w:pPr>
            <w:r>
              <w:rPr>
                <w:rFonts w:ascii="Calibri" w:hAnsi="Calibri"/>
                <w:color w:val="111827"/>
                <w:sz w:val="16"/>
              </w:rPr>
              <w:t>Controlled first-party validation with spend consent</w:t>
            </w:r>
          </w:p>
        </w:tc>
      </w:tr>
    </w:tbl>
    <w:p>
      <w:pPr>
        <w:spacing w:after="60"/>
      </w:pPr>
    </w:p>
    <w:p>
      <w:pPr>
        <w:pStyle w:val="Heading2"/>
        <w:keepNext/>
        <w:keepLines/>
      </w:pPr>
      <w:r>
        <w:t>8.3 Suggested first six pull requests</w:t>
      </w:r>
    </w:p>
    <w:p>
      <w:pPr>
        <w:keepLines/>
        <w:numPr>
          <w:ilvl w:val="0"/>
          <w:numId w:val="24"/>
        </w:numPr>
        <w:spacing w:after="160" w:line="280" w:lineRule="auto"/>
      </w:pPr>
      <w:r>
        <w:rPr>
          <w:rFonts w:ascii="Calibri" w:hAnsi="Calibri"/>
          <w:color w:val="111827"/>
          <w:sz w:val="22"/>
        </w:rPr>
        <w:t>PR 1 - Trust reset: credential cleanup, scoped gitignore, restored frontend library files, environment validation, demo-mode separation, clean-clone CI.</w:t>
      </w:r>
    </w:p>
    <w:p>
      <w:pPr>
        <w:keepLines/>
        <w:numPr>
          <w:ilvl w:val="0"/>
          <w:numId w:val="24"/>
        </w:numPr>
        <w:spacing w:after="160" w:line="280" w:lineRule="auto"/>
      </w:pPr>
      <w:r>
        <w:rPr>
          <w:rFonts w:ascii="Calibri" w:hAnsi="Calibri"/>
          <w:color w:val="111827"/>
          <w:sz w:val="22"/>
        </w:rPr>
        <w:t>PR 2 - Backend modularization: application factory, settings, health, router extraction, error taxonomy, structured logging; behavior-preserving tests.</w:t>
      </w:r>
    </w:p>
    <w:p>
      <w:pPr>
        <w:keepLines/>
        <w:numPr>
          <w:ilvl w:val="0"/>
          <w:numId w:val="24"/>
        </w:numPr>
        <w:spacing w:after="160" w:line="280" w:lineRule="auto"/>
      </w:pPr>
      <w:r>
        <w:rPr>
          <w:rFonts w:ascii="Calibri" w:hAnsi="Calibri"/>
          <w:color w:val="111827"/>
          <w:sz w:val="22"/>
        </w:rPr>
        <w:t>PR 3 - PostgreSQL foundation: SQLAlchemy async, Alembic, workspaces/users, canonical products, source snapshots, observations, and audit events.</w:t>
      </w:r>
    </w:p>
    <w:p>
      <w:pPr>
        <w:keepLines/>
        <w:numPr>
          <w:ilvl w:val="0"/>
          <w:numId w:val="24"/>
        </w:numPr>
        <w:spacing w:after="160" w:line="280" w:lineRule="auto"/>
      </w:pPr>
      <w:r>
        <w:rPr>
          <w:rFonts w:ascii="Calibri" w:hAnsi="Calibri"/>
          <w:color w:val="111827"/>
          <w:sz w:val="22"/>
        </w:rPr>
        <w:t>PR 4 - Job platform: Redis/Celery, research_job/source_task/job_event models, SSE progress, idempotency, rate limits, and data-health page.</w:t>
      </w:r>
    </w:p>
    <w:p>
      <w:pPr>
        <w:keepLines/>
        <w:numPr>
          <w:ilvl w:val="0"/>
          <w:numId w:val="24"/>
        </w:numPr>
        <w:spacing w:after="160" w:line="280" w:lineRule="auto"/>
      </w:pPr>
      <w:r>
        <w:rPr>
          <w:rFonts w:ascii="Calibri" w:hAnsi="Calibri"/>
          <w:color w:val="111827"/>
          <w:sz w:val="22"/>
        </w:rPr>
        <w:t>PR 5 - First live collector: Google Trends adapter with raw snapshots, normalized observations, freshness, circuit breaker, source contract tests, and no synthetic fallback.</w:t>
      </w:r>
    </w:p>
    <w:p>
      <w:pPr>
        <w:keepLines/>
        <w:numPr>
          <w:ilvl w:val="0"/>
          <w:numId w:val="24"/>
        </w:numPr>
        <w:spacing w:after="160" w:line="280" w:lineRule="auto"/>
      </w:pPr>
      <w:r>
        <w:rPr>
          <w:rFonts w:ascii="Calibri" w:hAnsi="Calibri"/>
          <w:color w:val="111827"/>
          <w:sz w:val="22"/>
        </w:rPr>
        <w:t>PR 6 - X-Ray vertical slice: supported Amazon URL -&gt; canonical candidate -&gt; user confirmation -&gt; evidence timeline -&gt; saved decision shell.</w:t>
      </w:r>
    </w:p>
    <w:p>
      <w:pPr>
        <w:pStyle w:val="Heading2"/>
        <w:keepNext/>
        <w:keepLines/>
      </w:pPr>
      <w:r>
        <w:t>8.4 Definition of done for every feature</w:t>
      </w:r>
    </w:p>
    <w:p>
      <w:pPr>
        <w:keepLines/>
        <w:numPr>
          <w:ilvl w:val="0"/>
          <w:numId w:val="10"/>
        </w:numPr>
        <w:spacing w:after="160" w:line="280" w:lineRule="auto"/>
      </w:pPr>
      <w:r>
        <w:rPr>
          <w:rFonts w:ascii="Calibri" w:hAnsi="Calibri"/>
          <w:color w:val="111827"/>
          <w:sz w:val="22"/>
        </w:rPr>
        <w:t>Product behavior, evidence states, permissions, empty/error/stale states, and analytics events are specified.</w:t>
      </w:r>
    </w:p>
    <w:p>
      <w:pPr>
        <w:keepLines/>
        <w:numPr>
          <w:ilvl w:val="0"/>
          <w:numId w:val="10"/>
        </w:numPr>
        <w:spacing w:after="160" w:line="280" w:lineRule="auto"/>
      </w:pPr>
      <w:r>
        <w:rPr>
          <w:rFonts w:ascii="Calibri" w:hAnsi="Calibri"/>
          <w:color w:val="111827"/>
          <w:sz w:val="22"/>
        </w:rPr>
        <w:t>OpenAPI contract and frontend types are generated or validated; no duplicate hand-maintained type drift.</w:t>
      </w:r>
    </w:p>
    <w:p>
      <w:pPr>
        <w:keepLines/>
        <w:numPr>
          <w:ilvl w:val="0"/>
          <w:numId w:val="10"/>
        </w:numPr>
        <w:spacing w:after="160" w:line="280" w:lineRule="auto"/>
      </w:pPr>
      <w:r>
        <w:rPr>
          <w:rFonts w:ascii="Calibri" w:hAnsi="Calibri"/>
          <w:color w:val="111827"/>
          <w:sz w:val="22"/>
        </w:rPr>
        <w:t>Unit, integration, tenant-isolation, and failure-path tests pass.</w:t>
      </w:r>
    </w:p>
    <w:p>
      <w:pPr>
        <w:keepLines/>
        <w:numPr>
          <w:ilvl w:val="0"/>
          <w:numId w:val="10"/>
        </w:numPr>
        <w:spacing w:after="160" w:line="280" w:lineRule="auto"/>
      </w:pPr>
      <w:r>
        <w:rPr>
          <w:rFonts w:ascii="Calibri" w:hAnsi="Calibri"/>
          <w:color w:val="111827"/>
          <w:sz w:val="22"/>
        </w:rPr>
        <w:t>Every external source has timeout, retry, cache, rate-limit, rights, freshness, and health behavior.</w:t>
      </w:r>
    </w:p>
    <w:p>
      <w:pPr>
        <w:keepLines/>
        <w:numPr>
          <w:ilvl w:val="0"/>
          <w:numId w:val="10"/>
        </w:numPr>
        <w:spacing w:after="160" w:line="280" w:lineRule="auto"/>
      </w:pPr>
      <w:r>
        <w:rPr>
          <w:rFonts w:ascii="Calibri" w:hAnsi="Calibri"/>
          <w:color w:val="111827"/>
          <w:sz w:val="22"/>
        </w:rPr>
        <w:t>Every numeric claim has truth state, provenance, unit, market, time, and lineage.</w:t>
      </w:r>
    </w:p>
    <w:p>
      <w:pPr>
        <w:keepLines/>
        <w:numPr>
          <w:ilvl w:val="0"/>
          <w:numId w:val="10"/>
        </w:numPr>
        <w:spacing w:after="160" w:line="280" w:lineRule="auto"/>
      </w:pPr>
      <w:r>
        <w:rPr>
          <w:rFonts w:ascii="Calibri" w:hAnsi="Calibri"/>
          <w:color w:val="111827"/>
          <w:sz w:val="22"/>
        </w:rPr>
        <w:t>Keyboard, screen-reader, contrast, responsive, loading, and no-data behavior are verified.</w:t>
      </w:r>
    </w:p>
    <w:p>
      <w:pPr>
        <w:keepLines/>
        <w:numPr>
          <w:ilvl w:val="0"/>
          <w:numId w:val="10"/>
        </w:numPr>
        <w:spacing w:after="160" w:line="280" w:lineRule="auto"/>
      </w:pPr>
      <w:r>
        <w:rPr>
          <w:rFonts w:ascii="Calibri" w:hAnsi="Calibri"/>
          <w:color w:val="111827"/>
          <w:sz w:val="22"/>
        </w:rPr>
        <w:t>Metrics, logs, traces, dashboards, alert threshold, runbook, and rollback are defined.</w:t>
      </w:r>
    </w:p>
    <w:p>
      <w:pPr>
        <w:keepLines/>
        <w:numPr>
          <w:ilvl w:val="0"/>
          <w:numId w:val="10"/>
        </w:numPr>
        <w:spacing w:after="160" w:line="280" w:lineRule="auto"/>
      </w:pPr>
      <w:r>
        <w:rPr>
          <w:rFonts w:ascii="Calibri" w:hAnsi="Calibri"/>
          <w:color w:val="111827"/>
          <w:sz w:val="22"/>
        </w:rPr>
        <w:t>The feature is demonstrated using real or explicitly labeled demo evidence; screenshots cannot conceal missing sources.</w:t>
      </w:r>
    </w:p>
    <w:p>
      <w:r>
        <w:br w:type="page"/>
      </w:r>
    </w:p>
    <w:p>
      <w:pPr>
        <w:pStyle w:val="Heading2"/>
        <w:keepNext/>
        <w:keepLines/>
      </w:pPr>
      <w:r>
        <w:t>8.5 Test strategy and release gates</w:t>
      </w:r>
    </w:p>
    <w:tbl>
      <w:tblPr>
        <w:tblStyle w:val="TableGrid"/>
        <w:tblW w:type="dxa" w:w="9360"/>
        <w:tblLayout w:type="fixed"/>
        <w:tblLook w:firstColumn="1" w:firstRow="1" w:lastColumn="0" w:lastRow="0" w:noHBand="0" w:noVBand="1" w:val="04A0"/>
        <w:tblInd w:w="120" w:type="dxa"/>
      </w:tblPr>
      <w:tblGrid>
        <w:gridCol w:w="1300"/>
        <w:gridCol w:w="6080"/>
        <w:gridCol w:w="1980"/>
      </w:tblGrid>
      <w:tr>
        <w:trPr>
          <w:tblHeader w:val="true"/>
          <w:cantSplit/>
        </w:trPr>
        <w:tc>
          <w:tcPr>
            <w:tcW w:type="dxa" w:w="1300"/>
            <w:tcMar>
              <w:top w:w="80" w:type="dxa"/>
              <w:start w:w="120" w:type="dxa"/>
              <w:bottom w:w="80" w:type="dxa"/>
              <w:end w:w="120" w:type="dxa"/>
            </w:tcMar>
            <w:vAlign w:val="center"/>
            <w:shd w:fill="E8EEF5"/>
          </w:tcPr>
          <w:p>
            <w:pPr>
              <w:spacing w:after="0"/>
              <w:jc w:val="left"/>
            </w:pPr>
            <w:r>
              <w:rPr>
                <w:rFonts w:ascii="Calibri" w:hAnsi="Calibri"/>
                <w:b/>
                <w:color w:val="0B2545"/>
                <w:sz w:val="16"/>
              </w:rPr>
              <w:t>Layer</w:t>
            </w:r>
          </w:p>
        </w:tc>
        <w:tc>
          <w:tcPr>
            <w:tcW w:type="dxa" w:w="6080"/>
            <w:tcMar>
              <w:top w:w="80" w:type="dxa"/>
              <w:start w:w="120" w:type="dxa"/>
              <w:bottom w:w="80" w:type="dxa"/>
              <w:end w:w="120" w:type="dxa"/>
            </w:tcMar>
            <w:vAlign w:val="center"/>
            <w:shd w:fill="E8EEF5"/>
          </w:tcPr>
          <w:p>
            <w:pPr>
              <w:spacing w:after="0"/>
              <w:jc w:val="left"/>
            </w:pPr>
            <w:r>
              <w:rPr>
                <w:rFonts w:ascii="Calibri" w:hAnsi="Calibri"/>
                <w:b/>
                <w:color w:val="0B2545"/>
                <w:sz w:val="16"/>
              </w:rPr>
              <w:t>Coverage</w:t>
            </w:r>
          </w:p>
        </w:tc>
        <w:tc>
          <w:tcPr>
            <w:tcW w:type="dxa" w:w="1980"/>
            <w:tcMar>
              <w:top w:w="80" w:type="dxa"/>
              <w:start w:w="120" w:type="dxa"/>
              <w:bottom w:w="80" w:type="dxa"/>
              <w:end w:w="120" w:type="dxa"/>
            </w:tcMar>
            <w:vAlign w:val="center"/>
            <w:shd w:fill="E8EEF5"/>
          </w:tcPr>
          <w:p>
            <w:pPr>
              <w:spacing w:after="0"/>
              <w:jc w:val="left"/>
            </w:pPr>
            <w:r>
              <w:rPr>
                <w:rFonts w:ascii="Calibri" w:hAnsi="Calibri"/>
                <w:b/>
                <w:color w:val="0B2545"/>
                <w:sz w:val="16"/>
              </w:rPr>
              <w:t>Gate</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Unit</w:t>
            </w:r>
          </w:p>
        </w:tc>
        <w:tc>
          <w:tcPr>
            <w:tcW w:type="dxa" w:w="6080"/>
            <w:tcMar>
              <w:top w:w="80" w:type="dxa"/>
              <w:start w:w="120" w:type="dxa"/>
              <w:bottom w:w="80" w:type="dxa"/>
              <w:end w:w="120" w:type="dxa"/>
            </w:tcMar>
            <w:vAlign w:val="center"/>
          </w:tcPr>
          <w:p>
            <w:pPr>
              <w:spacing w:after="0" w:line="252" w:lineRule="auto"/>
            </w:pPr>
            <w:r>
              <w:rPr>
                <w:rFonts w:ascii="Calibri" w:hAnsi="Calibri"/>
                <w:color w:val="111827"/>
                <w:sz w:val="16"/>
              </w:rPr>
              <w:t>Scoring, landed cost, confidence, change detection, parser logic, authorization helpers</w:t>
            </w:r>
          </w:p>
        </w:tc>
        <w:tc>
          <w:tcPr>
            <w:tcW w:type="dxa" w:w="1980"/>
            <w:tcMar>
              <w:top w:w="80" w:type="dxa"/>
              <w:start w:w="120" w:type="dxa"/>
              <w:bottom w:w="80" w:type="dxa"/>
              <w:end w:w="120" w:type="dxa"/>
            </w:tcMar>
            <w:vAlign w:val="center"/>
          </w:tcPr>
          <w:p>
            <w:pPr>
              <w:spacing w:after="0" w:line="252" w:lineRule="auto"/>
            </w:pPr>
            <w:r>
              <w:rPr>
                <w:rFonts w:ascii="Calibri" w:hAnsi="Calibri"/>
                <w:color w:val="111827"/>
                <w:sz w:val="16"/>
              </w:rPr>
              <w:t>Deterministic; no network</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Golden fixtures</w:t>
            </w:r>
          </w:p>
        </w:tc>
        <w:tc>
          <w:tcPr>
            <w:tcW w:type="dxa" w:w="6080"/>
            <w:tcMar>
              <w:top w:w="80" w:type="dxa"/>
              <w:start w:w="120" w:type="dxa"/>
              <w:bottom w:w="80" w:type="dxa"/>
              <w:end w:w="120" w:type="dxa"/>
            </w:tcMar>
            <w:vAlign w:val="center"/>
          </w:tcPr>
          <w:p>
            <w:pPr>
              <w:spacing w:after="0" w:line="252" w:lineRule="auto"/>
            </w:pPr>
            <w:r>
              <w:rPr>
                <w:rFonts w:ascii="Calibri" w:hAnsi="Calibri"/>
                <w:color w:val="111827"/>
                <w:sz w:val="16"/>
              </w:rPr>
              <w:t>Versioned anonymized source payloads for every connector/parser</w:t>
            </w:r>
          </w:p>
        </w:tc>
        <w:tc>
          <w:tcPr>
            <w:tcW w:type="dxa" w:w="1980"/>
            <w:tcMar>
              <w:top w:w="80" w:type="dxa"/>
              <w:start w:w="120" w:type="dxa"/>
              <w:bottom w:w="80" w:type="dxa"/>
              <w:end w:w="120" w:type="dxa"/>
            </w:tcMar>
            <w:vAlign w:val="center"/>
          </w:tcPr>
          <w:p>
            <w:pPr>
              <w:spacing w:after="0" w:line="252" w:lineRule="auto"/>
            </w:pPr>
            <w:r>
              <w:rPr>
                <w:rFonts w:ascii="Calibri" w:hAnsi="Calibri"/>
                <w:color w:val="111827"/>
                <w:sz w:val="16"/>
              </w:rPr>
              <w:t>Schema drift is visible</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Contract</w:t>
            </w:r>
          </w:p>
        </w:tc>
        <w:tc>
          <w:tcPr>
            <w:tcW w:type="dxa" w:w="6080"/>
            <w:tcMar>
              <w:top w:w="80" w:type="dxa"/>
              <w:start w:w="120" w:type="dxa"/>
              <w:bottom w:w="80" w:type="dxa"/>
              <w:end w:w="120" w:type="dxa"/>
            </w:tcMar>
            <w:vAlign w:val="center"/>
          </w:tcPr>
          <w:p>
            <w:pPr>
              <w:spacing w:after="0" w:line="252" w:lineRule="auto"/>
            </w:pPr>
            <w:r>
              <w:rPr>
                <w:rFonts w:ascii="Calibri" w:hAnsi="Calibri"/>
                <w:color w:val="111827"/>
                <w:sz w:val="16"/>
              </w:rPr>
              <w:t>Connector output and OpenAPI/client compatibility</w:t>
            </w:r>
          </w:p>
        </w:tc>
        <w:tc>
          <w:tcPr>
            <w:tcW w:type="dxa" w:w="1980"/>
            <w:tcMar>
              <w:top w:w="80" w:type="dxa"/>
              <w:start w:w="120" w:type="dxa"/>
              <w:bottom w:w="80" w:type="dxa"/>
              <w:end w:w="120" w:type="dxa"/>
            </w:tcMar>
            <w:vAlign w:val="center"/>
          </w:tcPr>
          <w:p>
            <w:pPr>
              <w:spacing w:after="0" w:line="252" w:lineRule="auto"/>
            </w:pPr>
            <w:r>
              <w:rPr>
                <w:rFonts w:ascii="Calibri" w:hAnsi="Calibri"/>
                <w:color w:val="111827"/>
                <w:sz w:val="16"/>
              </w:rPr>
              <w:t>Release blocking</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Integration</w:t>
            </w:r>
          </w:p>
        </w:tc>
        <w:tc>
          <w:tcPr>
            <w:tcW w:type="dxa" w:w="6080"/>
            <w:tcMar>
              <w:top w:w="80" w:type="dxa"/>
              <w:start w:w="120" w:type="dxa"/>
              <w:bottom w:w="80" w:type="dxa"/>
              <w:end w:w="120" w:type="dxa"/>
            </w:tcMar>
            <w:vAlign w:val="center"/>
          </w:tcPr>
          <w:p>
            <w:pPr>
              <w:spacing w:after="0" w:line="252" w:lineRule="auto"/>
            </w:pPr>
            <w:r>
              <w:rPr>
                <w:rFonts w:ascii="Calibri" w:hAnsi="Calibri"/>
                <w:color w:val="111827"/>
                <w:sz w:val="16"/>
              </w:rPr>
              <w:t>PostgreSQL, Redis, worker, S3 emulator, auth, tenant scope</w:t>
            </w:r>
          </w:p>
        </w:tc>
        <w:tc>
          <w:tcPr>
            <w:tcW w:type="dxa" w:w="1980"/>
            <w:tcMar>
              <w:top w:w="80" w:type="dxa"/>
              <w:start w:w="120" w:type="dxa"/>
              <w:bottom w:w="80" w:type="dxa"/>
              <w:end w:w="120" w:type="dxa"/>
            </w:tcMar>
            <w:vAlign w:val="center"/>
          </w:tcPr>
          <w:p>
            <w:pPr>
              <w:spacing w:after="0" w:line="252" w:lineRule="auto"/>
            </w:pPr>
            <w:r>
              <w:rPr>
                <w:rFonts w:ascii="Calibri" w:hAnsi="Calibri"/>
                <w:color w:val="111827"/>
                <w:sz w:val="16"/>
              </w:rPr>
              <w:t>Disposable environment</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End-to-end</w:t>
            </w:r>
          </w:p>
        </w:tc>
        <w:tc>
          <w:tcPr>
            <w:tcW w:type="dxa" w:w="6080"/>
            <w:tcMar>
              <w:top w:w="80" w:type="dxa"/>
              <w:start w:w="120" w:type="dxa"/>
              <w:bottom w:w="80" w:type="dxa"/>
              <w:end w:w="120" w:type="dxa"/>
            </w:tcMar>
            <w:vAlign w:val="center"/>
          </w:tcPr>
          <w:p>
            <w:pPr>
              <w:spacing w:after="0" w:line="252" w:lineRule="auto"/>
            </w:pPr>
            <w:r>
              <w:rPr>
                <w:rFonts w:ascii="Calibri" w:hAnsi="Calibri"/>
                <w:color w:val="111827"/>
                <w:sz w:val="16"/>
              </w:rPr>
              <w:t>X-Ray, match confirmation, decision save, watch, alert, quote import</w:t>
            </w:r>
          </w:p>
        </w:tc>
        <w:tc>
          <w:tcPr>
            <w:tcW w:type="dxa" w:w="1980"/>
            <w:tcMar>
              <w:top w:w="80" w:type="dxa"/>
              <w:start w:w="120" w:type="dxa"/>
              <w:bottom w:w="80" w:type="dxa"/>
              <w:end w:w="120" w:type="dxa"/>
            </w:tcMar>
            <w:vAlign w:val="center"/>
          </w:tcPr>
          <w:p>
            <w:pPr>
              <w:spacing w:after="0" w:line="252" w:lineRule="auto"/>
            </w:pPr>
            <w:r>
              <w:rPr>
                <w:rFonts w:ascii="Calibri" w:hAnsi="Calibri"/>
                <w:color w:val="111827"/>
                <w:sz w:val="16"/>
              </w:rPr>
              <w:t>Desktop and tablet; core mobile smoke</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Security</w:t>
            </w:r>
          </w:p>
        </w:tc>
        <w:tc>
          <w:tcPr>
            <w:tcW w:type="dxa" w:w="6080"/>
            <w:tcMar>
              <w:top w:w="80" w:type="dxa"/>
              <w:start w:w="120" w:type="dxa"/>
              <w:bottom w:w="80" w:type="dxa"/>
              <w:end w:w="120" w:type="dxa"/>
            </w:tcMar>
            <w:vAlign w:val="center"/>
          </w:tcPr>
          <w:p>
            <w:pPr>
              <w:spacing w:after="0" w:line="252" w:lineRule="auto"/>
            </w:pPr>
            <w:r>
              <w:rPr>
                <w:rFonts w:ascii="Calibri" w:hAnsi="Calibri"/>
                <w:color w:val="111827"/>
                <w:sz w:val="16"/>
              </w:rPr>
              <w:t>SSRF, upload abuse, IDOR/tenant isolation, rate limit, secret scan, dependency scan</w:t>
            </w:r>
          </w:p>
        </w:tc>
        <w:tc>
          <w:tcPr>
            <w:tcW w:type="dxa" w:w="1980"/>
            <w:tcMar>
              <w:top w:w="80" w:type="dxa"/>
              <w:start w:w="120" w:type="dxa"/>
              <w:bottom w:w="80" w:type="dxa"/>
              <w:end w:w="120" w:type="dxa"/>
            </w:tcMar>
            <w:vAlign w:val="center"/>
          </w:tcPr>
          <w:p>
            <w:pPr>
              <w:spacing w:after="0" w:line="252" w:lineRule="auto"/>
            </w:pPr>
            <w:r>
              <w:rPr>
                <w:rFonts w:ascii="Calibri" w:hAnsi="Calibri"/>
                <w:color w:val="111827"/>
                <w:sz w:val="16"/>
              </w:rPr>
              <w:t>P0 blockers</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Data quality</w:t>
            </w:r>
          </w:p>
        </w:tc>
        <w:tc>
          <w:tcPr>
            <w:tcW w:type="dxa" w:w="6080"/>
            <w:tcMar>
              <w:top w:w="80" w:type="dxa"/>
              <w:start w:w="120" w:type="dxa"/>
              <w:bottom w:w="80" w:type="dxa"/>
              <w:end w:w="120" w:type="dxa"/>
            </w:tcMar>
            <w:vAlign w:val="center"/>
          </w:tcPr>
          <w:p>
            <w:pPr>
              <w:spacing w:after="0" w:line="252" w:lineRule="auto"/>
            </w:pPr>
            <w:r>
              <w:rPr>
                <w:rFonts w:ascii="Calibri" w:hAnsi="Calibri"/>
                <w:color w:val="111827"/>
                <w:sz w:val="16"/>
              </w:rPr>
              <w:t>Missing, stale, duplicate, outlier, unit/currency mismatch, cross-source disagreement</w:t>
            </w:r>
          </w:p>
        </w:tc>
        <w:tc>
          <w:tcPr>
            <w:tcW w:type="dxa" w:w="1980"/>
            <w:tcMar>
              <w:top w:w="80" w:type="dxa"/>
              <w:start w:w="120" w:type="dxa"/>
              <w:bottom w:w="80" w:type="dxa"/>
              <w:end w:w="120" w:type="dxa"/>
            </w:tcMar>
            <w:vAlign w:val="center"/>
          </w:tcPr>
          <w:p>
            <w:pPr>
              <w:spacing w:after="0" w:line="252" w:lineRule="auto"/>
            </w:pPr>
            <w:r>
              <w:rPr>
                <w:rFonts w:ascii="Calibri" w:hAnsi="Calibri"/>
                <w:color w:val="111827"/>
                <w:sz w:val="16"/>
              </w:rPr>
              <w:t>Score suppression tested</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Resilience</w:t>
            </w:r>
          </w:p>
        </w:tc>
        <w:tc>
          <w:tcPr>
            <w:tcW w:type="dxa" w:w="6080"/>
            <w:tcMar>
              <w:top w:w="80" w:type="dxa"/>
              <w:start w:w="120" w:type="dxa"/>
              <w:bottom w:w="80" w:type="dxa"/>
              <w:end w:w="120" w:type="dxa"/>
            </w:tcMar>
            <w:vAlign w:val="center"/>
          </w:tcPr>
          <w:p>
            <w:pPr>
              <w:spacing w:after="0" w:line="252" w:lineRule="auto"/>
            </w:pPr>
            <w:r>
              <w:rPr>
                <w:rFonts w:ascii="Calibri" w:hAnsi="Calibri"/>
                <w:color w:val="111827"/>
                <w:sz w:val="16"/>
              </w:rPr>
              <w:t>Source timeout, 429, auth expiry, malformed payload, queue restart, retry exhaustion</w:t>
            </w:r>
          </w:p>
        </w:tc>
        <w:tc>
          <w:tcPr>
            <w:tcW w:type="dxa" w:w="1980"/>
            <w:tcMar>
              <w:top w:w="80" w:type="dxa"/>
              <w:start w:w="120" w:type="dxa"/>
              <w:bottom w:w="80" w:type="dxa"/>
              <w:end w:w="120" w:type="dxa"/>
            </w:tcMar>
            <w:vAlign w:val="center"/>
          </w:tcPr>
          <w:p>
            <w:pPr>
              <w:spacing w:after="0" w:line="252" w:lineRule="auto"/>
            </w:pPr>
            <w:r>
              <w:rPr>
                <w:rFonts w:ascii="Calibri" w:hAnsi="Calibri"/>
                <w:color w:val="111827"/>
                <w:sz w:val="16"/>
              </w:rPr>
              <w:t>Partial result remains truthful</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Performance</w:t>
            </w:r>
          </w:p>
        </w:tc>
        <w:tc>
          <w:tcPr>
            <w:tcW w:type="dxa" w:w="6080"/>
            <w:tcMar>
              <w:top w:w="80" w:type="dxa"/>
              <w:start w:w="120" w:type="dxa"/>
              <w:bottom w:w="80" w:type="dxa"/>
              <w:end w:w="120" w:type="dxa"/>
            </w:tcMar>
            <w:vAlign w:val="center"/>
          </w:tcPr>
          <w:p>
            <w:pPr>
              <w:spacing w:after="0" w:line="252" w:lineRule="auto"/>
            </w:pPr>
            <w:r>
              <w:rPr>
                <w:rFonts w:ascii="Calibri" w:hAnsi="Calibri"/>
                <w:color w:val="111827"/>
                <w:sz w:val="16"/>
              </w:rPr>
              <w:t>Concurrent X-Ray jobs, timeline queries, dashboard read model, alert batch</w:t>
            </w:r>
          </w:p>
        </w:tc>
        <w:tc>
          <w:tcPr>
            <w:tcW w:type="dxa" w:w="1980"/>
            <w:tcMar>
              <w:top w:w="80" w:type="dxa"/>
              <w:start w:w="120" w:type="dxa"/>
              <w:bottom w:w="80" w:type="dxa"/>
              <w:end w:w="120" w:type="dxa"/>
            </w:tcMar>
            <w:vAlign w:val="center"/>
          </w:tcPr>
          <w:p>
            <w:pPr>
              <w:spacing w:after="0" w:line="252" w:lineRule="auto"/>
            </w:pPr>
            <w:r>
              <w:rPr>
                <w:rFonts w:ascii="Calibri" w:hAnsi="Calibri"/>
                <w:color w:val="111827"/>
                <w:sz w:val="16"/>
              </w:rPr>
              <w:t>Budgets defined before paid launch</w:t>
            </w:r>
          </w:p>
        </w:tc>
      </w:tr>
      <w:tr>
        <w:trPr>
          <w:cantSplit/>
        </w:trPr>
        <w:tc>
          <w:tcPr>
            <w:tcW w:type="dxa" w:w="1300"/>
            <w:tcMar>
              <w:top w:w="80" w:type="dxa"/>
              <w:start w:w="120" w:type="dxa"/>
              <w:bottom w:w="80" w:type="dxa"/>
              <w:end w:w="120" w:type="dxa"/>
            </w:tcMar>
            <w:vAlign w:val="center"/>
          </w:tcPr>
          <w:p>
            <w:pPr>
              <w:spacing w:after="0" w:line="252" w:lineRule="auto"/>
            </w:pPr>
            <w:r>
              <w:rPr>
                <w:rFonts w:ascii="Calibri" w:hAnsi="Calibri"/>
                <w:color w:val="111827"/>
                <w:sz w:val="16"/>
              </w:rPr>
              <w:t>Production smoke</w:t>
            </w:r>
          </w:p>
        </w:tc>
        <w:tc>
          <w:tcPr>
            <w:tcW w:type="dxa" w:w="6080"/>
            <w:tcMar>
              <w:top w:w="80" w:type="dxa"/>
              <w:start w:w="120" w:type="dxa"/>
              <w:bottom w:w="80" w:type="dxa"/>
              <w:end w:w="120" w:type="dxa"/>
            </w:tcMar>
            <w:vAlign w:val="center"/>
          </w:tcPr>
          <w:p>
            <w:pPr>
              <w:spacing w:after="0" w:line="252" w:lineRule="auto"/>
            </w:pPr>
            <w:r>
              <w:rPr>
                <w:rFonts w:ascii="Calibri" w:hAnsi="Calibri"/>
                <w:color w:val="111827"/>
                <w:sz w:val="16"/>
              </w:rPr>
              <w:t>Login, supported X-Ray, evidence source, decision reproduction, tenant denial, health</w:t>
            </w:r>
          </w:p>
        </w:tc>
        <w:tc>
          <w:tcPr>
            <w:tcW w:type="dxa" w:w="1980"/>
            <w:tcMar>
              <w:top w:w="80" w:type="dxa"/>
              <w:start w:w="120" w:type="dxa"/>
              <w:bottom w:w="80" w:type="dxa"/>
              <w:end w:w="120" w:type="dxa"/>
            </w:tcMar>
            <w:vAlign w:val="center"/>
          </w:tcPr>
          <w:p>
            <w:pPr>
              <w:spacing w:after="0" w:line="252" w:lineRule="auto"/>
            </w:pPr>
            <w:r>
              <w:rPr>
                <w:rFonts w:ascii="Calibri" w:hAnsi="Calibri"/>
                <w:color w:val="111827"/>
                <w:sz w:val="16"/>
              </w:rPr>
              <w:t>After each deployment</w:t>
            </w:r>
          </w:p>
        </w:tc>
      </w:tr>
    </w:tbl>
    <w:p>
      <w:pPr>
        <w:spacing w:after="60"/>
      </w:pPr>
    </w:p>
    <w:p>
      <w:r>
        <w:br w:type="page"/>
      </w:r>
    </w:p>
    <w:p>
      <w:pPr>
        <w:pStyle w:val="Heading1"/>
        <w:keepNext/>
        <w:keepLines/>
      </w:pPr>
      <w:r>
        <w:t>9. Product success, packaging, and economics</w:t>
      </w:r>
    </w:p>
    <w:p>
      <w:pPr>
        <w:pStyle w:val="Heading2"/>
        <w:keepNext/>
        <w:keepLines/>
      </w:pPr>
      <w:r>
        <w:t>9.1 North-star and guardrail metrics</w:t>
      </w:r>
    </w:p>
    <w:tbl>
      <w:tblPr>
        <w:tblStyle w:val="TableGrid"/>
        <w:tblW w:type="dxa" w:w="9360"/>
        <w:tblLayout w:type="fixed"/>
        <w:tblLook w:firstColumn="1" w:firstRow="1" w:lastColumn="0" w:lastRow="0" w:noHBand="0" w:noVBand="1" w:val="04A0"/>
        <w:tblInd w:w="120" w:type="dxa"/>
      </w:tblPr>
      <w:tblGrid>
        <w:gridCol w:w="1400"/>
        <w:gridCol w:w="3800"/>
        <w:gridCol w:w="4160"/>
      </w:tblGrid>
      <w:tr>
        <w:trPr>
          <w:tblHeader w:val="true"/>
          <w:cantSplit/>
        </w:trPr>
        <w:tc>
          <w:tcPr>
            <w:tcW w:type="dxa" w:w="1400"/>
            <w:tcMar>
              <w:top w:w="80" w:type="dxa"/>
              <w:start w:w="120" w:type="dxa"/>
              <w:bottom w:w="80" w:type="dxa"/>
              <w:end w:w="120" w:type="dxa"/>
            </w:tcMar>
            <w:vAlign w:val="center"/>
            <w:shd w:fill="E8EEF5"/>
          </w:tcPr>
          <w:p>
            <w:pPr>
              <w:spacing w:after="0"/>
              <w:jc w:val="left"/>
            </w:pPr>
            <w:r>
              <w:rPr>
                <w:rFonts w:ascii="Calibri" w:hAnsi="Calibri"/>
                <w:b/>
                <w:color w:val="0B2545"/>
                <w:sz w:val="16"/>
              </w:rPr>
              <w:t>Type</w:t>
            </w:r>
          </w:p>
        </w:tc>
        <w:tc>
          <w:tcPr>
            <w:tcW w:type="dxa" w:w="3800"/>
            <w:tcMar>
              <w:top w:w="80" w:type="dxa"/>
              <w:start w:w="120" w:type="dxa"/>
              <w:bottom w:w="80" w:type="dxa"/>
              <w:end w:w="120" w:type="dxa"/>
            </w:tcMar>
            <w:vAlign w:val="center"/>
            <w:shd w:fill="E8EEF5"/>
          </w:tcPr>
          <w:p>
            <w:pPr>
              <w:spacing w:after="0"/>
              <w:jc w:val="left"/>
            </w:pPr>
            <w:r>
              <w:rPr>
                <w:rFonts w:ascii="Calibri" w:hAnsi="Calibri"/>
                <w:b/>
                <w:color w:val="0B2545"/>
                <w:sz w:val="16"/>
              </w:rPr>
              <w:t>Metric</w:t>
            </w:r>
          </w:p>
        </w:tc>
        <w:tc>
          <w:tcPr>
            <w:tcW w:type="dxa" w:w="4160"/>
            <w:tcMar>
              <w:top w:w="80" w:type="dxa"/>
              <w:start w:w="120" w:type="dxa"/>
              <w:bottom w:w="80" w:type="dxa"/>
              <w:end w:w="120" w:type="dxa"/>
            </w:tcMar>
            <w:vAlign w:val="center"/>
            <w:shd w:fill="E8EEF5"/>
          </w:tcPr>
          <w:p>
            <w:pPr>
              <w:spacing w:after="0"/>
              <w:jc w:val="left"/>
            </w:pPr>
            <w:r>
              <w:rPr>
                <w:rFonts w:ascii="Calibri" w:hAnsi="Calibri"/>
                <w:b/>
                <w:color w:val="0B2545"/>
                <w:sz w:val="16"/>
              </w:rPr>
              <w:t>Definition / planning goal</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North star</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6"/>
              </w:rPr>
              <w:t>Evidence-backed decisions completed per active workspace per month</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A saved decision includes a market, scenario, confidence, and evidence set</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Activation</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6"/>
              </w:rPr>
              <w:t>User completes first supported X-Ray and opens a decision within 15 minutes</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Target planning goal: 45% of qualified sign-ups</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Trust</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6"/>
              </w:rPr>
              <w:t>Evidence-drawer opens and source-link clicks</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High usage is healthy; it proves verification behavior</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Retention</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6"/>
              </w:rPr>
              <w:t>Four-week returning workspace rate</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Planning goal: 35% for activated pilot workspaces</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Decision utility</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6"/>
              </w:rPr>
              <w:t>Share of saved decisions later marked accurate/useful</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Collect outcome feedback after 30/60/90 days</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Data quality</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6"/>
              </w:rPr>
              <w:t>Percent of displayed decision values with complete provenance</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Target: 100%</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Guardrail</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6"/>
              </w:rPr>
              <w:t>Insufficient-evidence override rate and corrected product matches</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Watch for confident wrong answers</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Economics</w:t>
            </w:r>
          </w:p>
        </w:tc>
        <w:tc>
          <w:tcPr>
            <w:tcW w:type="dxa" w:w="3800"/>
            <w:tcMar>
              <w:top w:w="80" w:type="dxa"/>
              <w:start w:w="120" w:type="dxa"/>
              <w:bottom w:w="80" w:type="dxa"/>
              <w:end w:w="120" w:type="dxa"/>
            </w:tcMar>
            <w:vAlign w:val="center"/>
          </w:tcPr>
          <w:p>
            <w:pPr>
              <w:spacing w:after="0" w:line="252" w:lineRule="auto"/>
            </w:pPr>
            <w:r>
              <w:rPr>
                <w:rFonts w:ascii="Calibri" w:hAnsi="Calibri"/>
                <w:color w:val="111827"/>
                <w:sz w:val="16"/>
              </w:rPr>
              <w:t>Gross margin after data/API/model cost</w:t>
            </w:r>
          </w:p>
        </w:tc>
        <w:tc>
          <w:tcPr>
            <w:tcW w:type="dxa" w:w="4160"/>
            <w:tcMar>
              <w:top w:w="80" w:type="dxa"/>
              <w:start w:w="120" w:type="dxa"/>
              <w:bottom w:w="80" w:type="dxa"/>
              <w:end w:w="120" w:type="dxa"/>
            </w:tcMar>
            <w:vAlign w:val="center"/>
          </w:tcPr>
          <w:p>
            <w:pPr>
              <w:spacing w:after="0" w:line="252" w:lineRule="auto"/>
            </w:pPr>
            <w:r>
              <w:rPr>
                <w:rFonts w:ascii="Calibri" w:hAnsi="Calibri"/>
                <w:color w:val="111827"/>
                <w:sz w:val="16"/>
              </w:rPr>
              <w:t>Target planning floor: 70% at paid scale</w:t>
            </w:r>
          </w:p>
        </w:tc>
      </w:tr>
    </w:tbl>
    <w:p>
      <w:pPr>
        <w:spacing w:after="60"/>
      </w:pPr>
    </w:p>
    <w:p>
      <w:pPr>
        <w:pStyle w:val="Heading2"/>
        <w:keepNext/>
        <w:keepLines/>
      </w:pPr>
      <w:r>
        <w:t>9.2 Illustrative packaging</w:t>
      </w:r>
    </w:p>
    <w:tbl>
      <w:tblPr>
        <w:tblStyle w:val="TableGrid"/>
        <w:tblW w:type="dxa" w:w="9360"/>
        <w:tblLayout w:type="fixed"/>
        <w:tblLook w:firstColumn="1" w:firstRow="1" w:lastColumn="0" w:lastRow="0" w:noHBand="0" w:noVBand="1" w:val="04A0"/>
        <w:tblInd w:w="120" w:type="dxa"/>
      </w:tblPr>
      <w:tblGrid>
        <w:gridCol w:w="1400"/>
        <w:gridCol w:w="1500"/>
        <w:gridCol w:w="4600"/>
        <w:gridCol w:w="1860"/>
      </w:tblGrid>
      <w:tr>
        <w:trPr>
          <w:tblHeader w:val="true"/>
          <w:cantSplit/>
        </w:trPr>
        <w:tc>
          <w:tcPr>
            <w:tcW w:type="dxa" w:w="1400"/>
            <w:tcMar>
              <w:top w:w="80" w:type="dxa"/>
              <w:start w:w="120" w:type="dxa"/>
              <w:bottom w:w="80" w:type="dxa"/>
              <w:end w:w="120" w:type="dxa"/>
            </w:tcMar>
            <w:vAlign w:val="center"/>
            <w:shd w:fill="FFF7E6"/>
          </w:tcPr>
          <w:p>
            <w:pPr>
              <w:spacing w:after="0"/>
              <w:jc w:val="left"/>
            </w:pPr>
            <w:r>
              <w:rPr>
                <w:rFonts w:ascii="Calibri" w:hAnsi="Calibri"/>
                <w:b/>
                <w:color w:val="0B2545"/>
                <w:sz w:val="16"/>
              </w:rPr>
              <w:t>Plan</w:t>
            </w:r>
          </w:p>
        </w:tc>
        <w:tc>
          <w:tcPr>
            <w:tcW w:type="dxa" w:w="1500"/>
            <w:tcMar>
              <w:top w:w="80" w:type="dxa"/>
              <w:start w:w="120" w:type="dxa"/>
              <w:bottom w:w="80" w:type="dxa"/>
              <w:end w:w="120" w:type="dxa"/>
            </w:tcMar>
            <w:vAlign w:val="center"/>
            <w:shd w:fill="FFF7E6"/>
          </w:tcPr>
          <w:p>
            <w:pPr>
              <w:spacing w:after="0"/>
              <w:jc w:val="left"/>
            </w:pPr>
            <w:r>
              <w:rPr>
                <w:rFonts w:ascii="Calibri" w:hAnsi="Calibri"/>
                <w:b/>
                <w:color w:val="0B2545"/>
                <w:sz w:val="16"/>
              </w:rPr>
              <w:t>Illustrative price</w:t>
            </w:r>
          </w:p>
        </w:tc>
        <w:tc>
          <w:tcPr>
            <w:tcW w:type="dxa" w:w="4600"/>
            <w:tcMar>
              <w:top w:w="80" w:type="dxa"/>
              <w:start w:w="120" w:type="dxa"/>
              <w:bottom w:w="80" w:type="dxa"/>
              <w:end w:w="120" w:type="dxa"/>
            </w:tcMar>
            <w:vAlign w:val="center"/>
            <w:shd w:fill="FFF7E6"/>
          </w:tcPr>
          <w:p>
            <w:pPr>
              <w:spacing w:after="0"/>
              <w:jc w:val="left"/>
            </w:pPr>
            <w:r>
              <w:rPr>
                <w:rFonts w:ascii="Calibri" w:hAnsi="Calibri"/>
                <w:b/>
                <w:color w:val="0B2545"/>
                <w:sz w:val="16"/>
              </w:rPr>
              <w:t>Illustrative limits</w:t>
            </w:r>
          </w:p>
        </w:tc>
        <w:tc>
          <w:tcPr>
            <w:tcW w:type="dxa" w:w="1860"/>
            <w:tcMar>
              <w:top w:w="80" w:type="dxa"/>
              <w:start w:w="120" w:type="dxa"/>
              <w:bottom w:w="80" w:type="dxa"/>
              <w:end w:w="120" w:type="dxa"/>
            </w:tcMar>
            <w:vAlign w:val="center"/>
            <w:shd w:fill="FFF7E6"/>
          </w:tcPr>
          <w:p>
            <w:pPr>
              <w:spacing w:after="0"/>
              <w:jc w:val="left"/>
            </w:pPr>
            <w:r>
              <w:rPr>
                <w:rFonts w:ascii="Calibri" w:hAnsi="Calibri"/>
                <w:b/>
                <w:color w:val="0B2545"/>
                <w:sz w:val="16"/>
              </w:rPr>
              <w:t>Purpose</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Explorer</w:t>
            </w:r>
          </w:p>
        </w:tc>
        <w:tc>
          <w:tcPr>
            <w:tcW w:type="dxa" w:w="1500"/>
            <w:tcMar>
              <w:top w:w="80" w:type="dxa"/>
              <w:start w:w="120" w:type="dxa"/>
              <w:bottom w:w="80" w:type="dxa"/>
              <w:end w:w="120" w:type="dxa"/>
            </w:tcMar>
            <w:vAlign w:val="center"/>
          </w:tcPr>
          <w:p>
            <w:pPr>
              <w:spacing w:after="0" w:line="252" w:lineRule="auto"/>
            </w:pPr>
            <w:r>
              <w:rPr>
                <w:rFonts w:ascii="Calibri" w:hAnsi="Calibri"/>
                <w:color w:val="111827"/>
                <w:sz w:val="16"/>
              </w:rPr>
              <w:t>$0</w:t>
            </w:r>
          </w:p>
        </w:tc>
        <w:tc>
          <w:tcPr>
            <w:tcW w:type="dxa" w:w="4600"/>
            <w:tcMar>
              <w:top w:w="80" w:type="dxa"/>
              <w:start w:w="120" w:type="dxa"/>
              <w:bottom w:w="80" w:type="dxa"/>
              <w:end w:w="120" w:type="dxa"/>
            </w:tcMar>
            <w:vAlign w:val="center"/>
          </w:tcPr>
          <w:p>
            <w:pPr>
              <w:spacing w:after="0" w:line="252" w:lineRule="auto"/>
            </w:pPr>
            <w:r>
              <w:rPr>
                <w:rFonts w:ascii="Calibri" w:hAnsi="Calibri"/>
                <w:color w:val="111827"/>
                <w:sz w:val="16"/>
              </w:rPr>
              <w:t>3 X-Rays/month; public sources; one saved decision; delayed refresh</w:t>
            </w:r>
          </w:p>
        </w:tc>
        <w:tc>
          <w:tcPr>
            <w:tcW w:type="dxa" w:w="1860"/>
            <w:tcMar>
              <w:top w:w="80" w:type="dxa"/>
              <w:start w:w="120" w:type="dxa"/>
              <w:bottom w:w="80" w:type="dxa"/>
              <w:end w:w="120" w:type="dxa"/>
            </w:tcMar>
            <w:vAlign w:val="center"/>
          </w:tcPr>
          <w:p>
            <w:pPr>
              <w:spacing w:after="0" w:line="252" w:lineRule="auto"/>
            </w:pPr>
            <w:r>
              <w:rPr>
                <w:rFonts w:ascii="Calibri" w:hAnsi="Calibri"/>
                <w:color w:val="111827"/>
                <w:sz w:val="16"/>
              </w:rPr>
              <w:t>Acquisition and trust</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Builder</w:t>
            </w:r>
          </w:p>
        </w:tc>
        <w:tc>
          <w:tcPr>
            <w:tcW w:type="dxa" w:w="1500"/>
            <w:tcMar>
              <w:top w:w="80" w:type="dxa"/>
              <w:start w:w="120" w:type="dxa"/>
              <w:bottom w:w="80" w:type="dxa"/>
              <w:end w:w="120" w:type="dxa"/>
            </w:tcMar>
            <w:vAlign w:val="center"/>
          </w:tcPr>
          <w:p>
            <w:pPr>
              <w:spacing w:after="0" w:line="252" w:lineRule="auto"/>
            </w:pPr>
            <w:r>
              <w:rPr>
                <w:rFonts w:ascii="Calibri" w:hAnsi="Calibri"/>
                <w:color w:val="111827"/>
                <w:sz w:val="16"/>
              </w:rPr>
              <w:t>$49/month</w:t>
            </w:r>
          </w:p>
        </w:tc>
        <w:tc>
          <w:tcPr>
            <w:tcW w:type="dxa" w:w="4600"/>
            <w:tcMar>
              <w:top w:w="80" w:type="dxa"/>
              <w:start w:w="120" w:type="dxa"/>
              <w:bottom w:w="80" w:type="dxa"/>
              <w:end w:w="120" w:type="dxa"/>
            </w:tcMar>
            <w:vAlign w:val="center"/>
          </w:tcPr>
          <w:p>
            <w:pPr>
              <w:spacing w:after="0" w:line="252" w:lineRule="auto"/>
            </w:pPr>
            <w:r>
              <w:rPr>
                <w:rFonts w:ascii="Calibri" w:hAnsi="Calibri"/>
                <w:color w:val="111827"/>
                <w:sz w:val="16"/>
              </w:rPr>
              <w:t>40 X-Rays; one market; 20 watches; decisions and exports</w:t>
            </w:r>
          </w:p>
        </w:tc>
        <w:tc>
          <w:tcPr>
            <w:tcW w:type="dxa" w:w="1860"/>
            <w:tcMar>
              <w:top w:w="80" w:type="dxa"/>
              <w:start w:w="120" w:type="dxa"/>
              <w:bottom w:w="80" w:type="dxa"/>
              <w:end w:w="120" w:type="dxa"/>
            </w:tcMar>
            <w:vAlign w:val="center"/>
          </w:tcPr>
          <w:p>
            <w:pPr>
              <w:spacing w:after="0" w:line="252" w:lineRule="auto"/>
            </w:pPr>
            <w:r>
              <w:rPr>
                <w:rFonts w:ascii="Calibri" w:hAnsi="Calibri"/>
                <w:color w:val="111827"/>
                <w:sz w:val="16"/>
              </w:rPr>
              <w:t>Solo operator</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Pro</w:t>
            </w:r>
          </w:p>
        </w:tc>
        <w:tc>
          <w:tcPr>
            <w:tcW w:type="dxa" w:w="1500"/>
            <w:tcMar>
              <w:top w:w="80" w:type="dxa"/>
              <w:start w:w="120" w:type="dxa"/>
              <w:bottom w:w="80" w:type="dxa"/>
              <w:end w:w="120" w:type="dxa"/>
            </w:tcMar>
            <w:vAlign w:val="center"/>
          </w:tcPr>
          <w:p>
            <w:pPr>
              <w:spacing w:after="0" w:line="252" w:lineRule="auto"/>
            </w:pPr>
            <w:r>
              <w:rPr>
                <w:rFonts w:ascii="Calibri" w:hAnsi="Calibri"/>
                <w:color w:val="111827"/>
                <w:sz w:val="16"/>
              </w:rPr>
              <w:t>$149/month</w:t>
            </w:r>
          </w:p>
        </w:tc>
        <w:tc>
          <w:tcPr>
            <w:tcW w:type="dxa" w:w="4600"/>
            <w:tcMar>
              <w:top w:w="80" w:type="dxa"/>
              <w:start w:w="120" w:type="dxa"/>
              <w:bottom w:w="80" w:type="dxa"/>
              <w:end w:w="120" w:type="dxa"/>
            </w:tcMar>
            <w:vAlign w:val="center"/>
          </w:tcPr>
          <w:p>
            <w:pPr>
              <w:spacing w:after="0" w:line="252" w:lineRule="auto"/>
            </w:pPr>
            <w:r>
              <w:rPr>
                <w:rFonts w:ascii="Calibri" w:hAnsi="Calibri"/>
                <w:color w:val="111827"/>
                <w:sz w:val="16"/>
              </w:rPr>
              <w:t>200 X-Rays; advanced sources; 100 watches; quotes; alerts; history</w:t>
            </w:r>
          </w:p>
        </w:tc>
        <w:tc>
          <w:tcPr>
            <w:tcW w:type="dxa" w:w="1860"/>
            <w:tcMar>
              <w:top w:w="80" w:type="dxa"/>
              <w:start w:w="120" w:type="dxa"/>
              <w:bottom w:w="80" w:type="dxa"/>
              <w:end w:w="120" w:type="dxa"/>
            </w:tcMar>
            <w:vAlign w:val="center"/>
          </w:tcPr>
          <w:p>
            <w:pPr>
              <w:spacing w:after="0" w:line="252" w:lineRule="auto"/>
            </w:pPr>
            <w:r>
              <w:rPr>
                <w:rFonts w:ascii="Calibri" w:hAnsi="Calibri"/>
                <w:color w:val="111827"/>
                <w:sz w:val="16"/>
              </w:rPr>
              <w:t>Active seller/agency</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Team</w:t>
            </w:r>
          </w:p>
        </w:tc>
        <w:tc>
          <w:tcPr>
            <w:tcW w:type="dxa" w:w="1500"/>
            <w:tcMar>
              <w:top w:w="80" w:type="dxa"/>
              <w:start w:w="120" w:type="dxa"/>
              <w:bottom w:w="80" w:type="dxa"/>
              <w:end w:w="120" w:type="dxa"/>
            </w:tcMar>
            <w:vAlign w:val="center"/>
          </w:tcPr>
          <w:p>
            <w:pPr>
              <w:spacing w:after="0" w:line="252" w:lineRule="auto"/>
            </w:pPr>
            <w:r>
              <w:rPr>
                <w:rFonts w:ascii="Calibri" w:hAnsi="Calibri"/>
                <w:color w:val="111827"/>
                <w:sz w:val="16"/>
              </w:rPr>
              <w:t>$399/month</w:t>
            </w:r>
          </w:p>
        </w:tc>
        <w:tc>
          <w:tcPr>
            <w:tcW w:type="dxa" w:w="4600"/>
            <w:tcMar>
              <w:top w:w="80" w:type="dxa"/>
              <w:start w:w="120" w:type="dxa"/>
              <w:bottom w:w="80" w:type="dxa"/>
              <w:end w:w="120" w:type="dxa"/>
            </w:tcMar>
            <w:vAlign w:val="center"/>
          </w:tcPr>
          <w:p>
            <w:pPr>
              <w:spacing w:after="0" w:line="252" w:lineRule="auto"/>
            </w:pPr>
            <w:r>
              <w:rPr>
                <w:rFonts w:ascii="Calibri" w:hAnsi="Calibri"/>
                <w:color w:val="111827"/>
                <w:sz w:val="16"/>
              </w:rPr>
              <w:t>5 seats; shared evidence; client briefs; audit; higher quotas</w:t>
            </w:r>
          </w:p>
        </w:tc>
        <w:tc>
          <w:tcPr>
            <w:tcW w:type="dxa" w:w="1860"/>
            <w:tcMar>
              <w:top w:w="80" w:type="dxa"/>
              <w:start w:w="120" w:type="dxa"/>
              <w:bottom w:w="80" w:type="dxa"/>
              <w:end w:w="120" w:type="dxa"/>
            </w:tcMar>
            <w:vAlign w:val="center"/>
          </w:tcPr>
          <w:p>
            <w:pPr>
              <w:spacing w:after="0" w:line="252" w:lineRule="auto"/>
            </w:pPr>
            <w:r>
              <w:rPr>
                <w:rFonts w:ascii="Calibri" w:hAnsi="Calibri"/>
                <w:color w:val="111827"/>
                <w:sz w:val="16"/>
              </w:rPr>
              <w:t>Agency or small brand team</w:t>
            </w:r>
          </w:p>
        </w:tc>
      </w:tr>
      <w:tr>
        <w:trPr>
          <w:cantSplit/>
        </w:trPr>
        <w:tc>
          <w:tcPr>
            <w:tcW w:type="dxa" w:w="1400"/>
            <w:tcMar>
              <w:top w:w="80" w:type="dxa"/>
              <w:start w:w="120" w:type="dxa"/>
              <w:bottom w:w="80" w:type="dxa"/>
              <w:end w:w="120" w:type="dxa"/>
            </w:tcMar>
            <w:vAlign w:val="center"/>
          </w:tcPr>
          <w:p>
            <w:pPr>
              <w:spacing w:after="0" w:line="252" w:lineRule="auto"/>
            </w:pPr>
            <w:r>
              <w:rPr>
                <w:rFonts w:ascii="Calibri" w:hAnsi="Calibri"/>
                <w:color w:val="111827"/>
                <w:sz w:val="16"/>
              </w:rPr>
              <w:t>Data pass-through</w:t>
            </w:r>
          </w:p>
        </w:tc>
        <w:tc>
          <w:tcPr>
            <w:tcW w:type="dxa" w:w="1500"/>
            <w:tcMar>
              <w:top w:w="80" w:type="dxa"/>
              <w:start w:w="120" w:type="dxa"/>
              <w:bottom w:w="80" w:type="dxa"/>
              <w:end w:w="120" w:type="dxa"/>
            </w:tcMar>
            <w:vAlign w:val="center"/>
          </w:tcPr>
          <w:p>
            <w:pPr>
              <w:spacing w:after="0" w:line="252" w:lineRule="auto"/>
            </w:pPr>
            <w:r>
              <w:rPr>
                <w:rFonts w:ascii="Calibri" w:hAnsi="Calibri"/>
                <w:color w:val="111827"/>
                <w:sz w:val="16"/>
              </w:rPr>
              <w:t>Usage based</w:t>
            </w:r>
          </w:p>
        </w:tc>
        <w:tc>
          <w:tcPr>
            <w:tcW w:type="dxa" w:w="4600"/>
            <w:tcMar>
              <w:top w:w="80" w:type="dxa"/>
              <w:start w:w="120" w:type="dxa"/>
              <w:bottom w:w="80" w:type="dxa"/>
              <w:end w:w="120" w:type="dxa"/>
            </w:tcMar>
            <w:vAlign w:val="center"/>
          </w:tcPr>
          <w:p>
            <w:pPr>
              <w:spacing w:after="0" w:line="252" w:lineRule="auto"/>
            </w:pPr>
            <w:r>
              <w:rPr>
                <w:rFonts w:ascii="Calibri" w:hAnsi="Calibri"/>
                <w:color w:val="111827"/>
                <w:sz w:val="16"/>
              </w:rPr>
              <w:t>Premium vendor queries, messaging, and experiments charged separately or metered</w:t>
            </w:r>
          </w:p>
        </w:tc>
        <w:tc>
          <w:tcPr>
            <w:tcW w:type="dxa" w:w="1860"/>
            <w:tcMar>
              <w:top w:w="80" w:type="dxa"/>
              <w:start w:w="120" w:type="dxa"/>
              <w:bottom w:w="80" w:type="dxa"/>
              <w:end w:w="120" w:type="dxa"/>
            </w:tcMar>
            <w:vAlign w:val="center"/>
          </w:tcPr>
          <w:p>
            <w:pPr>
              <w:spacing w:after="0" w:line="252" w:lineRule="auto"/>
            </w:pPr>
            <w:r>
              <w:rPr>
                <w:rFonts w:ascii="Calibri" w:hAnsi="Calibri"/>
                <w:color w:val="111827"/>
                <w:sz w:val="16"/>
              </w:rPr>
              <w:t>Protect gross margin</w:t>
            </w:r>
          </w:p>
        </w:tc>
      </w:tr>
    </w:tbl>
    <w:p>
      <w:pPr>
        <w:spacing w:after="60"/>
      </w:pPr>
    </w:p>
    <w:p>
      <w:pPr>
        <w:spacing w:after="120" w:line="264" w:lineRule="auto"/>
      </w:pPr>
      <w:r>
        <w:rPr>
          <w:rFonts w:ascii="Calibri" w:hAnsi="Calibri"/>
          <w:i/>
          <w:color w:val="9A6700"/>
          <w:sz w:val="22"/>
        </w:rPr>
        <w:t>These prices and quotas are hypotheses for customer interviews and cost modeling. Data-vendor fees, source-access terms, support demand, and customer willingness to pay must determine the actual packages.</w:t>
      </w:r>
    </w:p>
    <w:p>
      <w:pPr>
        <w:pStyle w:val="Heading2"/>
        <w:keepNext/>
        <w:keepLines/>
      </w:pPr>
      <w:r>
        <w:t>9.3 Cost planning</w:t>
      </w:r>
    </w:p>
    <w:p>
      <w:pPr>
        <w:keepLines/>
        <w:numPr>
          <w:ilvl w:val="0"/>
          <w:numId w:val="10"/>
        </w:numPr>
        <w:spacing w:after="160" w:line="280" w:lineRule="auto"/>
      </w:pPr>
      <w:r>
        <w:rPr>
          <w:rFonts w:ascii="Calibri" w:hAnsi="Calibri"/>
          <w:color w:val="111827"/>
          <w:sz w:val="22"/>
        </w:rPr>
        <w:t>Track cost per source task and per completed decision from the first pilot. External data, not AWS compute, is likely to become the dominant variable cost.</w:t>
      </w:r>
    </w:p>
    <w:p>
      <w:pPr>
        <w:keepLines/>
        <w:numPr>
          <w:ilvl w:val="0"/>
          <w:numId w:val="10"/>
        </w:numPr>
        <w:spacing w:after="160" w:line="280" w:lineRule="auto"/>
      </w:pPr>
      <w:r>
        <w:rPr>
          <w:rFonts w:ascii="Calibri" w:hAnsi="Calibri"/>
          <w:color w:val="111827"/>
          <w:sz w:val="22"/>
        </w:rPr>
        <w:t>Planning-only pilot infrastructure range: roughly $150-$500 per month before premium data and meaningful traffic, depending on managed database/Redis choices and availability requirements.</w:t>
      </w:r>
    </w:p>
    <w:p>
      <w:pPr>
        <w:keepLines/>
        <w:numPr>
          <w:ilvl w:val="0"/>
          <w:numId w:val="10"/>
        </w:numPr>
        <w:spacing w:after="160" w:line="280" w:lineRule="auto"/>
      </w:pPr>
      <w:r>
        <w:rPr>
          <w:rFonts w:ascii="Calibri" w:hAnsi="Calibri"/>
          <w:color w:val="111827"/>
          <w:sz w:val="22"/>
        </w:rPr>
        <w:t>Planning-only early production range: roughly $500-$1,500 per month before data vendors, advertising experiments, and human compliance research.</w:t>
      </w:r>
    </w:p>
    <w:p>
      <w:pPr>
        <w:keepLines/>
        <w:numPr>
          <w:ilvl w:val="0"/>
          <w:numId w:val="10"/>
        </w:numPr>
        <w:spacing w:after="160" w:line="280" w:lineRule="auto"/>
      </w:pPr>
      <w:r>
        <w:rPr>
          <w:rFonts w:ascii="Calibri" w:hAnsi="Calibri"/>
          <w:color w:val="111827"/>
          <w:sz w:val="22"/>
        </w:rPr>
        <w:t>Do not promise unlimited refresh. Use source-specific cache windows, workspace quotas, priority queues, and pass-through pricing for premium data.</w:t>
      </w:r>
    </w:p>
    <w:p>
      <w:pPr>
        <w:keepLines/>
        <w:numPr>
          <w:ilvl w:val="0"/>
          <w:numId w:val="10"/>
        </w:numPr>
        <w:spacing w:after="160" w:line="280" w:lineRule="auto"/>
      </w:pPr>
      <w:r>
        <w:rPr>
          <w:rFonts w:ascii="Calibri" w:hAnsi="Calibri"/>
          <w:color w:val="111827"/>
          <w:sz w:val="22"/>
        </w:rPr>
        <w:t>Measure whether a $49 customer generates enough gross profit after data queries, model calls, storage, support, and payment fees before scaling acquisition.</w:t>
      </w:r>
    </w:p>
    <w:p>
      <w:pPr>
        <w:pStyle w:val="Heading1"/>
        <w:keepNext/>
        <w:keepLines/>
      </w:pPr>
      <w:r>
        <w:t>10. Major risks and mitigations</w:t>
      </w:r>
    </w:p>
    <w:tbl>
      <w:tblPr>
        <w:tblStyle w:val="TableGrid"/>
        <w:tblW w:type="dxa" w:w="9360"/>
        <w:tblLayout w:type="fixed"/>
        <w:tblLook w:firstColumn="1" w:firstRow="1" w:lastColumn="0" w:lastRow="0" w:noHBand="0" w:noVBand="1" w:val="04A0"/>
        <w:tblInd w:w="120" w:type="dxa"/>
      </w:tblPr>
      <w:tblGrid>
        <w:gridCol w:w="2200"/>
        <w:gridCol w:w="900"/>
        <w:gridCol w:w="6260"/>
      </w:tblGrid>
      <w:tr>
        <w:trPr>
          <w:tblHeader w:val="true"/>
          <w:cantSplit/>
        </w:trPr>
        <w:tc>
          <w:tcPr>
            <w:tcW w:type="dxa" w:w="2200"/>
            <w:tcMar>
              <w:top w:w="80" w:type="dxa"/>
              <w:start w:w="120" w:type="dxa"/>
              <w:bottom w:w="80" w:type="dxa"/>
              <w:end w:w="120" w:type="dxa"/>
            </w:tcMar>
            <w:vAlign w:val="center"/>
            <w:shd w:fill="FDECEC"/>
          </w:tcPr>
          <w:p>
            <w:pPr>
              <w:spacing w:after="0"/>
              <w:jc w:val="left"/>
            </w:pPr>
            <w:r>
              <w:rPr>
                <w:rFonts w:ascii="Calibri" w:hAnsi="Calibri"/>
                <w:b/>
                <w:color w:val="0B2545"/>
                <w:sz w:val="16"/>
              </w:rPr>
              <w:t>Risk</w:t>
            </w:r>
          </w:p>
        </w:tc>
        <w:tc>
          <w:tcPr>
            <w:tcW w:type="dxa" w:w="900"/>
            <w:tcMar>
              <w:top w:w="80" w:type="dxa"/>
              <w:start w:w="120" w:type="dxa"/>
              <w:bottom w:w="80" w:type="dxa"/>
              <w:end w:w="120" w:type="dxa"/>
            </w:tcMar>
            <w:vAlign w:val="center"/>
            <w:shd w:fill="FDECEC"/>
          </w:tcPr>
          <w:p>
            <w:pPr>
              <w:spacing w:after="0"/>
              <w:jc w:val="left"/>
            </w:pPr>
            <w:r>
              <w:rPr>
                <w:rFonts w:ascii="Calibri" w:hAnsi="Calibri"/>
                <w:b/>
                <w:color w:val="0B2545"/>
                <w:sz w:val="16"/>
              </w:rPr>
              <w:t>Impact</w:t>
            </w:r>
          </w:p>
        </w:tc>
        <w:tc>
          <w:tcPr>
            <w:tcW w:type="dxa" w:w="6260"/>
            <w:tcMar>
              <w:top w:w="80" w:type="dxa"/>
              <w:start w:w="120" w:type="dxa"/>
              <w:bottom w:w="80" w:type="dxa"/>
              <w:end w:w="120" w:type="dxa"/>
            </w:tcMar>
            <w:vAlign w:val="center"/>
            <w:shd w:fill="FDECEC"/>
          </w:tcPr>
          <w:p>
            <w:pPr>
              <w:spacing w:after="0"/>
              <w:jc w:val="left"/>
            </w:pPr>
            <w:r>
              <w:rPr>
                <w:rFonts w:ascii="Calibri" w:hAnsi="Calibri"/>
                <w:b/>
                <w:color w:val="0B2545"/>
                <w:sz w:val="16"/>
              </w:rPr>
              <w:t>Mitigation</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111827"/>
                <w:sz w:val="16"/>
              </w:rPr>
              <w:t>Source access changes</w:t>
            </w:r>
          </w:p>
        </w:tc>
        <w:tc>
          <w:tcPr>
            <w:tcW w:type="dxa" w:w="900"/>
            <w:tcMar>
              <w:top w:w="80" w:type="dxa"/>
              <w:start w:w="120" w:type="dxa"/>
              <w:bottom w:w="80" w:type="dxa"/>
              <w:end w:w="120" w:type="dxa"/>
            </w:tcMar>
            <w:vAlign w:val="center"/>
          </w:tcPr>
          <w:p>
            <w:pPr>
              <w:spacing w:after="0" w:line="252" w:lineRule="auto"/>
            </w:pPr>
            <w:r>
              <w:rPr>
                <w:rFonts w:ascii="Calibri" w:hAnsi="Calibri"/>
                <w:color w:val="111827"/>
                <w:sz w:val="16"/>
              </w:rPr>
              <w:t>High</w:t>
            </w:r>
          </w:p>
        </w:tc>
        <w:tc>
          <w:tcPr>
            <w:tcW w:type="dxa" w:w="6260"/>
            <w:tcMar>
              <w:top w:w="80" w:type="dxa"/>
              <w:start w:w="120" w:type="dxa"/>
              <w:bottom w:w="80" w:type="dxa"/>
              <w:end w:w="120" w:type="dxa"/>
            </w:tcMar>
            <w:vAlign w:val="center"/>
          </w:tcPr>
          <w:p>
            <w:pPr>
              <w:spacing w:after="0" w:line="252" w:lineRule="auto"/>
            </w:pPr>
            <w:r>
              <w:rPr>
                <w:rFonts w:ascii="Calibri" w:hAnsi="Calibri"/>
                <w:color w:val="111827"/>
                <w:sz w:val="16"/>
              </w:rPr>
              <w:t>Connector isolation, licensed alternatives, cached provenance, data-health UI, contract review</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111827"/>
                <w:sz w:val="16"/>
              </w:rPr>
              <w:t>False product matching</w:t>
            </w:r>
          </w:p>
        </w:tc>
        <w:tc>
          <w:tcPr>
            <w:tcW w:type="dxa" w:w="900"/>
            <w:tcMar>
              <w:top w:w="80" w:type="dxa"/>
              <w:start w:w="120" w:type="dxa"/>
              <w:bottom w:w="80" w:type="dxa"/>
              <w:end w:w="120" w:type="dxa"/>
            </w:tcMar>
            <w:vAlign w:val="center"/>
          </w:tcPr>
          <w:p>
            <w:pPr>
              <w:spacing w:after="0" w:line="252" w:lineRule="auto"/>
            </w:pPr>
            <w:r>
              <w:rPr>
                <w:rFonts w:ascii="Calibri" w:hAnsi="Calibri"/>
                <w:color w:val="111827"/>
                <w:sz w:val="16"/>
              </w:rPr>
              <w:t>High</w:t>
            </w:r>
          </w:p>
        </w:tc>
        <w:tc>
          <w:tcPr>
            <w:tcW w:type="dxa" w:w="6260"/>
            <w:tcMar>
              <w:top w:w="80" w:type="dxa"/>
              <w:start w:w="120" w:type="dxa"/>
              <w:bottom w:w="80" w:type="dxa"/>
              <w:end w:w="120" w:type="dxa"/>
            </w:tcMar>
            <w:vAlign w:val="center"/>
          </w:tcPr>
          <w:p>
            <w:pPr>
              <w:spacing w:after="0" w:line="252" w:lineRule="auto"/>
            </w:pPr>
            <w:r>
              <w:rPr>
                <w:rFonts w:ascii="Calibri" w:hAnsi="Calibri"/>
                <w:color w:val="111827"/>
                <w:sz w:val="16"/>
              </w:rPr>
              <w:t>Confidence tiers, user confirmation, correction workflow, do not combine uncertain evidence</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111827"/>
                <w:sz w:val="16"/>
              </w:rPr>
              <w:t>Sparse local-market data</w:t>
            </w:r>
          </w:p>
        </w:tc>
        <w:tc>
          <w:tcPr>
            <w:tcW w:type="dxa" w:w="900"/>
            <w:tcMar>
              <w:top w:w="80" w:type="dxa"/>
              <w:start w:w="120" w:type="dxa"/>
              <w:bottom w:w="80" w:type="dxa"/>
              <w:end w:w="120" w:type="dxa"/>
            </w:tcMar>
            <w:vAlign w:val="center"/>
          </w:tcPr>
          <w:p>
            <w:pPr>
              <w:spacing w:after="0" w:line="252" w:lineRule="auto"/>
            </w:pPr>
            <w:r>
              <w:rPr>
                <w:rFonts w:ascii="Calibri" w:hAnsi="Calibri"/>
                <w:color w:val="111827"/>
                <w:sz w:val="16"/>
              </w:rPr>
              <w:t>High</w:t>
            </w:r>
          </w:p>
        </w:tc>
        <w:tc>
          <w:tcPr>
            <w:tcW w:type="dxa" w:w="6260"/>
            <w:tcMar>
              <w:top w:w="80" w:type="dxa"/>
              <w:start w:w="120" w:type="dxa"/>
              <w:bottom w:w="80" w:type="dxa"/>
              <w:end w:w="120" w:type="dxa"/>
            </w:tcMar>
            <w:vAlign w:val="center"/>
          </w:tcPr>
          <w:p>
            <w:pPr>
              <w:spacing w:after="0" w:line="252" w:lineRule="auto"/>
            </w:pPr>
            <w:r>
              <w:rPr>
                <w:rFonts w:ascii="Calibri" w:hAnsi="Calibri"/>
                <w:color w:val="111827"/>
                <w:sz w:val="16"/>
              </w:rPr>
              <w:t>Coverage score; insufficient-evidence state; research partnerships; never treat absence as headroom</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111827"/>
                <w:sz w:val="16"/>
              </w:rPr>
              <w:t>Regulatory misclassification</w:t>
            </w:r>
          </w:p>
        </w:tc>
        <w:tc>
          <w:tcPr>
            <w:tcW w:type="dxa" w:w="900"/>
            <w:tcMar>
              <w:top w:w="80" w:type="dxa"/>
              <w:start w:w="120" w:type="dxa"/>
              <w:bottom w:w="80" w:type="dxa"/>
              <w:end w:w="120" w:type="dxa"/>
            </w:tcMar>
            <w:vAlign w:val="center"/>
          </w:tcPr>
          <w:p>
            <w:pPr>
              <w:spacing w:after="0" w:line="252" w:lineRule="auto"/>
            </w:pPr>
            <w:r>
              <w:rPr>
                <w:rFonts w:ascii="Calibri" w:hAnsi="Calibri"/>
                <w:color w:val="111827"/>
                <w:sz w:val="16"/>
              </w:rPr>
              <w:t>High</w:t>
            </w:r>
          </w:p>
        </w:tc>
        <w:tc>
          <w:tcPr>
            <w:tcW w:type="dxa" w:w="6260"/>
            <w:tcMar>
              <w:top w:w="80" w:type="dxa"/>
              <w:start w:w="120" w:type="dxa"/>
              <w:bottom w:w="80" w:type="dxa"/>
              <w:end w:w="120" w:type="dxa"/>
            </w:tcMar>
            <w:vAlign w:val="center"/>
          </w:tcPr>
          <w:p>
            <w:pPr>
              <w:spacing w:after="0" w:line="252" w:lineRule="auto"/>
            </w:pPr>
            <w:r>
              <w:rPr>
                <w:rFonts w:ascii="Calibri" w:hAnsi="Calibri"/>
                <w:color w:val="111827"/>
                <w:sz w:val="16"/>
              </w:rPr>
              <w:t>Effective-dated sources, HS/category review workflow, unresolved gate, human review before GO</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111827"/>
                <w:sz w:val="16"/>
              </w:rPr>
              <w:t>Opaque score mistrust</w:t>
            </w:r>
          </w:p>
        </w:tc>
        <w:tc>
          <w:tcPr>
            <w:tcW w:type="dxa" w:w="900"/>
            <w:tcMar>
              <w:top w:w="80" w:type="dxa"/>
              <w:start w:w="120" w:type="dxa"/>
              <w:bottom w:w="80" w:type="dxa"/>
              <w:end w:w="120" w:type="dxa"/>
            </w:tcMar>
            <w:vAlign w:val="center"/>
          </w:tcPr>
          <w:p>
            <w:pPr>
              <w:spacing w:after="0" w:line="252" w:lineRule="auto"/>
            </w:pPr>
            <w:r>
              <w:rPr>
                <w:rFonts w:ascii="Calibri" w:hAnsi="Calibri"/>
                <w:color w:val="111827"/>
                <w:sz w:val="16"/>
              </w:rPr>
              <w:t>High</w:t>
            </w:r>
          </w:p>
        </w:tc>
        <w:tc>
          <w:tcPr>
            <w:tcW w:type="dxa" w:w="6260"/>
            <w:tcMar>
              <w:top w:w="80" w:type="dxa"/>
              <w:start w:w="120" w:type="dxa"/>
              <w:bottom w:w="80" w:type="dxa"/>
              <w:end w:w="120" w:type="dxa"/>
            </w:tcMar>
            <w:vAlign w:val="center"/>
          </w:tcPr>
          <w:p>
            <w:pPr>
              <w:spacing w:after="0" w:line="252" w:lineRule="auto"/>
            </w:pPr>
            <w:r>
              <w:rPr>
                <w:rFonts w:ascii="Calibri" w:hAnsi="Calibri"/>
                <w:color w:val="111827"/>
                <w:sz w:val="16"/>
              </w:rPr>
              <w:t>Formula version, visible inputs, score breakdown, reproducibility, evidence drawer</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111827"/>
                <w:sz w:val="16"/>
              </w:rPr>
              <w:t>Vendor cost destroys margin</w:t>
            </w:r>
          </w:p>
        </w:tc>
        <w:tc>
          <w:tcPr>
            <w:tcW w:type="dxa" w:w="900"/>
            <w:tcMar>
              <w:top w:w="80" w:type="dxa"/>
              <w:start w:w="120" w:type="dxa"/>
              <w:bottom w:w="80" w:type="dxa"/>
              <w:end w:w="120" w:type="dxa"/>
            </w:tcMar>
            <w:vAlign w:val="center"/>
          </w:tcPr>
          <w:p>
            <w:pPr>
              <w:spacing w:after="0" w:line="252" w:lineRule="auto"/>
            </w:pPr>
            <w:r>
              <w:rPr>
                <w:rFonts w:ascii="Calibri" w:hAnsi="Calibri"/>
                <w:color w:val="111827"/>
                <w:sz w:val="16"/>
              </w:rPr>
              <w:t>High</w:t>
            </w:r>
          </w:p>
        </w:tc>
        <w:tc>
          <w:tcPr>
            <w:tcW w:type="dxa" w:w="6260"/>
            <w:tcMar>
              <w:top w:w="80" w:type="dxa"/>
              <w:start w:w="120" w:type="dxa"/>
              <w:bottom w:w="80" w:type="dxa"/>
              <w:end w:w="120" w:type="dxa"/>
            </w:tcMar>
            <w:vAlign w:val="center"/>
          </w:tcPr>
          <w:p>
            <w:pPr>
              <w:spacing w:after="0" w:line="252" w:lineRule="auto"/>
            </w:pPr>
            <w:r>
              <w:rPr>
                <w:rFonts w:ascii="Calibri" w:hAnsi="Calibri"/>
                <w:color w:val="111827"/>
                <w:sz w:val="16"/>
              </w:rPr>
              <w:t>Cost telemetry, caching, quotas, routing, batch collection, pass-through premium queries</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111827"/>
                <w:sz w:val="16"/>
              </w:rPr>
              <w:t>Scraping/legal exposure</w:t>
            </w:r>
          </w:p>
        </w:tc>
        <w:tc>
          <w:tcPr>
            <w:tcW w:type="dxa" w:w="900"/>
            <w:tcMar>
              <w:top w:w="80" w:type="dxa"/>
              <w:start w:w="120" w:type="dxa"/>
              <w:bottom w:w="80" w:type="dxa"/>
              <w:end w:w="120" w:type="dxa"/>
            </w:tcMar>
            <w:vAlign w:val="center"/>
          </w:tcPr>
          <w:p>
            <w:pPr>
              <w:spacing w:after="0" w:line="252" w:lineRule="auto"/>
            </w:pPr>
            <w:r>
              <w:rPr>
                <w:rFonts w:ascii="Calibri" w:hAnsi="Calibri"/>
                <w:color w:val="111827"/>
                <w:sz w:val="16"/>
              </w:rPr>
              <w:t>High</w:t>
            </w:r>
          </w:p>
        </w:tc>
        <w:tc>
          <w:tcPr>
            <w:tcW w:type="dxa" w:w="6260"/>
            <w:tcMar>
              <w:top w:w="80" w:type="dxa"/>
              <w:start w:w="120" w:type="dxa"/>
              <w:bottom w:w="80" w:type="dxa"/>
              <w:end w:w="120" w:type="dxa"/>
            </w:tcMar>
            <w:vAlign w:val="center"/>
          </w:tcPr>
          <w:p>
            <w:pPr>
              <w:spacing w:after="0" w:line="252" w:lineRule="auto"/>
            </w:pPr>
            <w:r>
              <w:rPr>
                <w:rFonts w:ascii="Calibri" w:hAnsi="Calibri"/>
                <w:color w:val="111827"/>
                <w:sz w:val="16"/>
              </w:rPr>
              <w:t>Official/authorized/licensed sources first; rights metadata; counsel review of data use before launch</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111827"/>
                <w:sz w:val="16"/>
              </w:rPr>
              <w:t>LLM hallucination</w:t>
            </w:r>
          </w:p>
        </w:tc>
        <w:tc>
          <w:tcPr>
            <w:tcW w:type="dxa" w:w="900"/>
            <w:tcMar>
              <w:top w:w="80" w:type="dxa"/>
              <w:start w:w="120" w:type="dxa"/>
              <w:bottom w:w="80" w:type="dxa"/>
              <w:end w:w="120" w:type="dxa"/>
            </w:tcMar>
            <w:vAlign w:val="center"/>
          </w:tcPr>
          <w:p>
            <w:pPr>
              <w:spacing w:after="0" w:line="252" w:lineRule="auto"/>
            </w:pPr>
            <w:r>
              <w:rPr>
                <w:rFonts w:ascii="Calibri" w:hAnsi="Calibri"/>
                <w:color w:val="111827"/>
                <w:sz w:val="16"/>
              </w:rPr>
              <w:t>Medium</w:t>
            </w:r>
          </w:p>
        </w:tc>
        <w:tc>
          <w:tcPr>
            <w:tcW w:type="dxa" w:w="6260"/>
            <w:tcMar>
              <w:top w:w="80" w:type="dxa"/>
              <w:start w:w="120" w:type="dxa"/>
              <w:bottom w:w="80" w:type="dxa"/>
              <w:end w:w="120" w:type="dxa"/>
            </w:tcMar>
            <w:vAlign w:val="center"/>
          </w:tcPr>
          <w:p>
            <w:pPr>
              <w:spacing w:after="0" w:line="252" w:lineRule="auto"/>
            </w:pPr>
            <w:r>
              <w:rPr>
                <w:rFonts w:ascii="Calibri" w:hAnsi="Calibri"/>
                <w:color w:val="111827"/>
                <w:sz w:val="16"/>
              </w:rPr>
              <w:t>Evidence-bound retrieval, structured claims, citation validation, AI prohibited from numeric truth</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111827"/>
                <w:sz w:val="16"/>
              </w:rPr>
              <w:t>Feature sprawl</w:t>
            </w:r>
          </w:p>
        </w:tc>
        <w:tc>
          <w:tcPr>
            <w:tcW w:type="dxa" w:w="900"/>
            <w:tcMar>
              <w:top w:w="80" w:type="dxa"/>
              <w:start w:w="120" w:type="dxa"/>
              <w:bottom w:w="80" w:type="dxa"/>
              <w:end w:w="120" w:type="dxa"/>
            </w:tcMar>
            <w:vAlign w:val="center"/>
          </w:tcPr>
          <w:p>
            <w:pPr>
              <w:spacing w:after="0" w:line="252" w:lineRule="auto"/>
            </w:pPr>
            <w:r>
              <w:rPr>
                <w:rFonts w:ascii="Calibri" w:hAnsi="Calibri"/>
                <w:color w:val="111827"/>
                <w:sz w:val="16"/>
              </w:rPr>
              <w:t>High</w:t>
            </w:r>
          </w:p>
        </w:tc>
        <w:tc>
          <w:tcPr>
            <w:tcW w:type="dxa" w:w="6260"/>
            <w:tcMar>
              <w:top w:w="80" w:type="dxa"/>
              <w:start w:w="120" w:type="dxa"/>
              <w:bottom w:w="80" w:type="dxa"/>
              <w:end w:w="120" w:type="dxa"/>
            </w:tcMar>
            <w:vAlign w:val="center"/>
          </w:tcPr>
          <w:p>
            <w:pPr>
              <w:spacing w:after="0" w:line="252" w:lineRule="auto"/>
            </w:pPr>
            <w:r>
              <w:rPr>
                <w:rFonts w:ascii="Calibri" w:hAnsi="Calibri"/>
                <w:color w:val="111827"/>
                <w:sz w:val="16"/>
              </w:rPr>
              <w:t>Release vertical slices; no new country or page without source and customer outcome</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color w:val="111827"/>
                <w:sz w:val="16"/>
              </w:rPr>
              <w:t>Operational overload</w:t>
            </w:r>
          </w:p>
        </w:tc>
        <w:tc>
          <w:tcPr>
            <w:tcW w:type="dxa" w:w="900"/>
            <w:tcMar>
              <w:top w:w="80" w:type="dxa"/>
              <w:start w:w="120" w:type="dxa"/>
              <w:bottom w:w="80" w:type="dxa"/>
              <w:end w:w="120" w:type="dxa"/>
            </w:tcMar>
            <w:vAlign w:val="center"/>
          </w:tcPr>
          <w:p>
            <w:pPr>
              <w:spacing w:after="0" w:line="252" w:lineRule="auto"/>
            </w:pPr>
            <w:r>
              <w:rPr>
                <w:rFonts w:ascii="Calibri" w:hAnsi="Calibri"/>
                <w:color w:val="111827"/>
                <w:sz w:val="16"/>
              </w:rPr>
              <w:t>Medium</w:t>
            </w:r>
          </w:p>
        </w:tc>
        <w:tc>
          <w:tcPr>
            <w:tcW w:type="dxa" w:w="6260"/>
            <w:tcMar>
              <w:top w:w="80" w:type="dxa"/>
              <w:start w:w="120" w:type="dxa"/>
              <w:bottom w:w="80" w:type="dxa"/>
              <w:end w:w="120" w:type="dxa"/>
            </w:tcMar>
            <w:vAlign w:val="center"/>
          </w:tcPr>
          <w:p>
            <w:pPr>
              <w:spacing w:after="0" w:line="252" w:lineRule="auto"/>
            </w:pPr>
            <w:r>
              <w:rPr>
                <w:rFonts w:ascii="Calibri" w:hAnsi="Calibri"/>
                <w:color w:val="111827"/>
                <w:sz w:val="16"/>
              </w:rPr>
              <w:t>Managed AWS services, source runbooks, staged rollout, circuit breakers, cost/freshness alerts</w:t>
            </w:r>
          </w:p>
        </w:tc>
      </w:tr>
    </w:tbl>
    <w:p>
      <w:pPr>
        <w:spacing w:after="60"/>
      </w:pPr>
    </w:p>
    <w:p>
      <w:r>
        <w:br w:type="page"/>
      </w:r>
    </w:p>
    <w:p>
      <w:pPr>
        <w:pStyle w:val="Heading1"/>
        <w:keepNext/>
        <w:keepLines/>
      </w:pPr>
      <w:r>
        <w:t>11. Developer kickoff directive</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F5F2"/>
          </w:tcPr>
          <w:p>
            <w:pPr>
              <w:spacing w:after="0" w:line="264" w:lineRule="auto"/>
            </w:pPr>
            <w:r>
              <w:rPr>
                <w:rFonts w:ascii="Calibri" w:hAnsi="Calibri"/>
                <w:b/>
                <w:color w:val="0F766E"/>
                <w:sz w:val="22"/>
              </w:rPr>
              <w:t xml:space="preserve">Build instruction: </w:t>
            </w:r>
            <w:r>
              <w:rPr>
                <w:rFonts w:ascii="Calibri" w:hAnsi="Calibri"/>
                <w:color w:val="111827"/>
                <w:sz w:val="22"/>
              </w:rPr>
              <w:t>Treat the current repository as a prototype UI and integration scaffold. The redesign goal is not to preserve every existing feature; it is to preserve the useful interface work while replacing synthetic intelligence with an auditable evidence-to-decision system.</w:t>
            </w:r>
          </w:p>
        </w:tc>
      </w:tr>
    </w:tbl>
    <w:p>
      <w:pPr>
        <w:spacing w:after="40"/>
      </w:pPr>
    </w:p>
    <w:p>
      <w:pPr>
        <w:pStyle w:val="Heading2"/>
        <w:keepNext/>
        <w:keepLines/>
      </w:pPr>
      <w:r>
        <w:t>11.1 Required implementation sequence</w:t>
      </w:r>
    </w:p>
    <w:p>
      <w:pPr>
        <w:keepLines/>
        <w:numPr>
          <w:ilvl w:val="0"/>
          <w:numId w:val="25"/>
        </w:numPr>
        <w:spacing w:after="160" w:line="280" w:lineRule="auto"/>
      </w:pPr>
      <w:r>
        <w:rPr>
          <w:rFonts w:ascii="Calibri" w:hAnsi="Calibri"/>
          <w:color w:val="111827"/>
          <w:sz w:val="22"/>
        </w:rPr>
        <w:t>Create an implementation branch and record the current main commit. Do not modify or delete the prototype baseline tag.</w:t>
      </w:r>
    </w:p>
    <w:p>
      <w:pPr>
        <w:keepLines/>
        <w:numPr>
          <w:ilvl w:val="0"/>
          <w:numId w:val="25"/>
        </w:numPr>
        <w:spacing w:after="160" w:line="280" w:lineRule="auto"/>
      </w:pPr>
      <w:r>
        <w:rPr>
          <w:rFonts w:ascii="Calibri" w:hAnsi="Calibri"/>
          <w:color w:val="111827"/>
          <w:sz w:val="22"/>
        </w:rPr>
        <w:t>Complete every Phase 0 trust-reset item and produce clean-clone CI evidence before adding a new source.</w:t>
      </w:r>
    </w:p>
    <w:p>
      <w:pPr>
        <w:keepLines/>
        <w:numPr>
          <w:ilvl w:val="0"/>
          <w:numId w:val="25"/>
        </w:numPr>
        <w:spacing w:after="160" w:line="280" w:lineRule="auto"/>
      </w:pPr>
      <w:r>
        <w:rPr>
          <w:rFonts w:ascii="Calibri" w:hAnsi="Calibri"/>
          <w:color w:val="111827"/>
          <w:sz w:val="22"/>
        </w:rPr>
        <w:t>Submit an architecture decision record for PostgreSQL migration, job system, evidence contract, URL-fetch security, and source-rights handling.</w:t>
      </w:r>
    </w:p>
    <w:p>
      <w:pPr>
        <w:keepLines/>
        <w:numPr>
          <w:ilvl w:val="0"/>
          <w:numId w:val="25"/>
        </w:numPr>
        <w:spacing w:after="160" w:line="280" w:lineRule="auto"/>
      </w:pPr>
      <w:r>
        <w:rPr>
          <w:rFonts w:ascii="Calibri" w:hAnsi="Calibri"/>
          <w:color w:val="111827"/>
          <w:sz w:val="22"/>
        </w:rPr>
        <w:t>Implement one end-to-end vertical slice using one supported Amazon input and one live demand collector. The slice must archive the raw snapshot, emit normalized observations, confirm product identity, calculate a versioned score, and render evidence.</w:t>
      </w:r>
    </w:p>
    <w:p>
      <w:pPr>
        <w:keepLines/>
        <w:numPr>
          <w:ilvl w:val="0"/>
          <w:numId w:val="25"/>
        </w:numPr>
        <w:spacing w:after="160" w:line="280" w:lineRule="auto"/>
      </w:pPr>
      <w:r>
        <w:rPr>
          <w:rFonts w:ascii="Calibri" w:hAnsi="Calibri"/>
          <w:color w:val="111827"/>
          <w:sz w:val="22"/>
        </w:rPr>
        <w:t>Add the Decision Room only after the observation and lineage contracts are stable.</w:t>
      </w:r>
    </w:p>
    <w:p>
      <w:pPr>
        <w:keepLines/>
        <w:numPr>
          <w:ilvl w:val="0"/>
          <w:numId w:val="25"/>
        </w:numPr>
        <w:spacing w:after="160" w:line="280" w:lineRule="auto"/>
      </w:pPr>
      <w:r>
        <w:rPr>
          <w:rFonts w:ascii="Calibri" w:hAnsi="Calibri"/>
          <w:color w:val="111827"/>
          <w:sz w:val="22"/>
        </w:rPr>
        <w:t>Add Nigeria tariff/compliance information through effective-dated records with official links and reviewer fields. Missing classification blocks GO.</w:t>
      </w:r>
    </w:p>
    <w:p>
      <w:pPr>
        <w:keepLines/>
        <w:numPr>
          <w:ilvl w:val="0"/>
          <w:numId w:val="25"/>
        </w:numPr>
        <w:spacing w:after="160" w:line="280" w:lineRule="auto"/>
      </w:pPr>
      <w:r>
        <w:rPr>
          <w:rFonts w:ascii="Calibri" w:hAnsi="Calibri"/>
          <w:color w:val="111827"/>
          <w:sz w:val="22"/>
        </w:rPr>
        <w:t>Pilot with a small catalog - approximately 50-100 products across three categories - and one destination market. Expand only after evidence coverage and retention targets are met.</w:t>
      </w:r>
    </w:p>
    <w:p>
      <w:pPr>
        <w:keepLines/>
        <w:numPr>
          <w:ilvl w:val="0"/>
          <w:numId w:val="25"/>
        </w:numPr>
        <w:spacing w:after="160" w:line="280" w:lineRule="auto"/>
      </w:pPr>
      <w:r>
        <w:rPr>
          <w:rFonts w:ascii="Calibri" w:hAnsi="Calibri"/>
          <w:color w:val="111827"/>
          <w:sz w:val="22"/>
        </w:rPr>
        <w:t>Keep all future AI output citation-bound. Any pull request that adds an uncited market fact or a synthetic production fallback fails review.</w:t>
      </w:r>
    </w:p>
    <w:p>
      <w:pPr>
        <w:pStyle w:val="Heading2"/>
        <w:keepNext/>
        <w:keepLines/>
      </w:pPr>
      <w:r>
        <w:t>11.2 First release acceptance gate</w:t>
      </w:r>
    </w:p>
    <w:p>
      <w:pPr>
        <w:keepLines/>
        <w:numPr>
          <w:ilvl w:val="0"/>
          <w:numId w:val="10"/>
        </w:numPr>
        <w:spacing w:after="160" w:line="280" w:lineRule="auto"/>
      </w:pPr>
      <w:r>
        <w:rPr>
          <w:rFonts w:ascii="Calibri" w:hAnsi="Calibri"/>
          <w:color w:val="111827"/>
          <w:sz w:val="22"/>
        </w:rPr>
        <w:t>Fresh clone passes install, type-check, backend tests, frontend tests, security scans, and production builds.</w:t>
      </w:r>
    </w:p>
    <w:p>
      <w:pPr>
        <w:keepLines/>
        <w:numPr>
          <w:ilvl w:val="0"/>
          <w:numId w:val="10"/>
        </w:numPr>
        <w:spacing w:after="160" w:line="280" w:lineRule="auto"/>
      </w:pPr>
      <w:r>
        <w:rPr>
          <w:rFonts w:ascii="Calibri" w:hAnsi="Calibri"/>
          <w:color w:val="111827"/>
          <w:sz w:val="22"/>
        </w:rPr>
        <w:t>No secrets or active credentials exist in the repository or its current reachable history.</w:t>
      </w:r>
    </w:p>
    <w:p>
      <w:pPr>
        <w:keepLines/>
        <w:numPr>
          <w:ilvl w:val="0"/>
          <w:numId w:val="10"/>
        </w:numPr>
        <w:spacing w:after="160" w:line="280" w:lineRule="auto"/>
      </w:pPr>
      <w:r>
        <w:rPr>
          <w:rFonts w:ascii="Calibri" w:hAnsi="Calibri"/>
          <w:color w:val="111827"/>
          <w:sz w:val="22"/>
        </w:rPr>
        <w:t>No production response includes seeded or category-template intelligence.</w:t>
      </w:r>
    </w:p>
    <w:p>
      <w:pPr>
        <w:keepLines/>
        <w:numPr>
          <w:ilvl w:val="0"/>
          <w:numId w:val="10"/>
        </w:numPr>
        <w:spacing w:after="160" w:line="280" w:lineRule="auto"/>
      </w:pPr>
      <w:r>
        <w:rPr>
          <w:rFonts w:ascii="Calibri" w:hAnsi="Calibri"/>
          <w:color w:val="111827"/>
          <w:sz w:val="22"/>
        </w:rPr>
        <w:t>A supported X-Ray job exposes real progress and partial/unavailable source states.</w:t>
      </w:r>
    </w:p>
    <w:p>
      <w:pPr>
        <w:keepLines/>
        <w:numPr>
          <w:ilvl w:val="0"/>
          <w:numId w:val="10"/>
        </w:numPr>
        <w:spacing w:after="160" w:line="280" w:lineRule="auto"/>
      </w:pPr>
      <w:r>
        <w:rPr>
          <w:rFonts w:ascii="Calibri" w:hAnsi="Calibri"/>
          <w:color w:val="111827"/>
          <w:sz w:val="22"/>
        </w:rPr>
        <w:t>Every displayed market value has a truth label, source or user input, market, timestamp, and unit.</w:t>
      </w:r>
    </w:p>
    <w:p>
      <w:pPr>
        <w:keepLines/>
        <w:numPr>
          <w:ilvl w:val="0"/>
          <w:numId w:val="10"/>
        </w:numPr>
        <w:spacing w:after="160" w:line="280" w:lineRule="auto"/>
      </w:pPr>
      <w:r>
        <w:rPr>
          <w:rFonts w:ascii="Calibri" w:hAnsi="Calibri"/>
          <w:color w:val="111827"/>
          <w:sz w:val="22"/>
        </w:rPr>
        <w:t>Saved decisions reproduce exactly from stored inputs and formula/source versions.</w:t>
      </w:r>
    </w:p>
    <w:p>
      <w:pPr>
        <w:keepLines/>
        <w:numPr>
          <w:ilvl w:val="0"/>
          <w:numId w:val="10"/>
        </w:numPr>
        <w:spacing w:after="160" w:line="280" w:lineRule="auto"/>
      </w:pPr>
      <w:r>
        <w:rPr>
          <w:rFonts w:ascii="Calibri" w:hAnsi="Calibri"/>
          <w:color w:val="111827"/>
          <w:sz w:val="22"/>
        </w:rPr>
        <w:t>Confidence below threshold prevents GO, and missing local data never creates an Untapped badge.</w:t>
      </w:r>
    </w:p>
    <w:p>
      <w:pPr>
        <w:keepLines/>
        <w:numPr>
          <w:ilvl w:val="0"/>
          <w:numId w:val="10"/>
        </w:numPr>
        <w:spacing w:after="160" w:line="280" w:lineRule="auto"/>
      </w:pPr>
      <w:r>
        <w:rPr>
          <w:rFonts w:ascii="Calibri" w:hAnsi="Calibri"/>
          <w:color w:val="111827"/>
          <w:sz w:val="22"/>
        </w:rPr>
        <w:t>Authentication, quotas, rate limits, tenant isolation, SSRF controls, and audit events are verified.</w:t>
      </w:r>
    </w:p>
    <w:p>
      <w:pPr>
        <w:keepLines/>
        <w:numPr>
          <w:ilvl w:val="0"/>
          <w:numId w:val="10"/>
        </w:numPr>
        <w:spacing w:after="160" w:line="280" w:lineRule="auto"/>
      </w:pPr>
      <w:r>
        <w:rPr>
          <w:rFonts w:ascii="Calibri" w:hAnsi="Calibri"/>
          <w:color w:val="111827"/>
          <w:sz w:val="22"/>
        </w:rPr>
        <w:t>Deployment supports backup, migration verification, health checks, monitoring, rollback, and post-deploy smoke tests.</w:t>
      </w:r>
    </w:p>
    <w:p>
      <w:pPr>
        <w:keepLines/>
        <w:numPr>
          <w:ilvl w:val="0"/>
          <w:numId w:val="10"/>
        </w:numPr>
        <w:spacing w:after="160" w:line="280" w:lineRule="auto"/>
      </w:pPr>
      <w:r>
        <w:rPr>
          <w:rFonts w:ascii="Calibri" w:hAnsi="Calibri"/>
          <w:color w:val="111827"/>
          <w:sz w:val="22"/>
        </w:rPr>
        <w:t>At least five pilot users can complete X-Ray -&gt; Decision -&gt; Watch without operator intervention and can explain why the decision was made.</w:t>
      </w:r>
    </w:p>
    <w:p>
      <w:pPr>
        <w:pStyle w:val="Heading2"/>
        <w:keepNext/>
        <w:keepLines/>
      </w:pPr>
      <w:r>
        <w:t>11.3 The product test</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FF7E6"/>
          </w:tcPr>
          <w:p>
            <w:pPr>
              <w:spacing w:after="0" w:line="264" w:lineRule="auto"/>
            </w:pPr>
            <w:r>
              <w:rPr>
                <w:rFonts w:ascii="Calibri" w:hAnsi="Calibri"/>
                <w:b/>
                <w:color w:val="9A6700"/>
                <w:sz w:val="22"/>
              </w:rPr>
              <w:t xml:space="preserve">Ask this on every screen: </w:t>
            </w:r>
            <w:r>
              <w:rPr>
                <w:rFonts w:ascii="Calibri" w:hAnsi="Calibri"/>
                <w:color w:val="111827"/>
                <w:sz w:val="22"/>
              </w:rPr>
              <w:t>Does this screen help the user decide whether to spend money, show the evidence behind that decision, or help obtain the missing evidence? If it does none of those things, remove or defer it.</w:t>
            </w:r>
          </w:p>
        </w:tc>
      </w:tr>
    </w:tbl>
    <w:p>
      <w:pPr>
        <w:spacing w:after="40"/>
      </w:pPr>
    </w:p>
    <w:p>
      <w:pPr>
        <w:pStyle w:val="Heading1"/>
        <w:keepNext/>
        <w:keepLines/>
      </w:pPr>
      <w:r>
        <w:t>12. Source references</w:t>
      </w:r>
    </w:p>
    <w:p>
      <w:pPr>
        <w:spacing w:after="120" w:line="264" w:lineRule="auto"/>
      </w:pPr>
      <w:r>
        <w:rPr>
          <w:rFonts w:ascii="Calibri" w:hAnsi="Calibri"/>
          <w:b/>
          <w:color w:val="111827"/>
          <w:sz w:val="22"/>
        </w:rPr>
        <w:t>Repository references</w:t>
      </w:r>
      <w:r>
        <w:rPr>
          <w:rFonts w:ascii="Calibri" w:hAnsi="Calibri"/>
          <w:i w:val="0"/>
          <w:color w:val="111827"/>
          <w:sz w:val="22"/>
        </w:rPr>
      </w:r>
    </w:p>
    <w:p>
      <w:pPr>
        <w:spacing w:after="80"/>
      </w:pPr>
      <w:hyperlink r:id="rId12">
        <w:r>
          <w:rPr>
            <w:color w:val="2E74B5"/>
            <w:u w:val="single"/>
            <w:rFonts w:ascii="Calibri" w:hAnsi="Calibri"/>
            <w:sz w:val="22"/>
          </w:rPr>
          <w:t>TrendSell repository</w:t>
        </w:r>
      </w:hyperlink>
    </w:p>
    <w:p>
      <w:pPr>
        <w:spacing w:after="80"/>
      </w:pPr>
      <w:hyperlink r:id="rId13">
        <w:r>
          <w:rPr>
            <w:color w:val="2E74B5"/>
            <w:u w:val="single"/>
            <w:rFonts w:ascii="Calibri" w:hAnsi="Calibri"/>
            <w:sz w:val="22"/>
          </w:rPr>
          <w:t>Current README</w:t>
        </w:r>
      </w:hyperlink>
    </w:p>
    <w:p>
      <w:pPr>
        <w:spacing w:after="80"/>
      </w:pPr>
      <w:hyperlink r:id="rId14">
        <w:r>
          <w:rPr>
            <w:color w:val="2E74B5"/>
            <w:u w:val="single"/>
            <w:rFonts w:ascii="Calibri" w:hAnsi="Calibri"/>
            <w:sz w:val="22"/>
          </w:rPr>
          <w:t>Current roadmap</w:t>
        </w:r>
      </w:hyperlink>
    </w:p>
    <w:p>
      <w:pPr>
        <w:spacing w:after="80"/>
      </w:pPr>
      <w:hyperlink r:id="rId15">
        <w:r>
          <w:rPr>
            <w:color w:val="2E74B5"/>
            <w:u w:val="single"/>
            <w:rFonts w:ascii="Calibri" w:hAnsi="Calibri"/>
            <w:sz w:val="22"/>
          </w:rPr>
          <w:t>Current integration wrapper</w:t>
        </w:r>
      </w:hyperlink>
    </w:p>
    <w:p>
      <w:pPr>
        <w:spacing w:after="80"/>
      </w:pPr>
      <w:hyperlink r:id="rId16">
        <w:r>
          <w:rPr>
            <w:color w:val="2E74B5"/>
            <w:u w:val="single"/>
            <w:rFonts w:ascii="Calibri" w:hAnsi="Calibri"/>
            <w:sz w:val="22"/>
          </w:rPr>
          <w:t>Current FastAPI server</w:t>
        </w:r>
      </w:hyperlink>
    </w:p>
    <w:p>
      <w:pPr>
        <w:spacing w:after="120" w:line="264" w:lineRule="auto"/>
      </w:pPr>
      <w:r>
        <w:rPr>
          <w:rFonts w:ascii="Calibri" w:hAnsi="Calibri"/>
          <w:b/>
          <w:color w:val="111827"/>
          <w:sz w:val="22"/>
        </w:rPr>
        <w:t>Official source capability references</w:t>
      </w:r>
      <w:r>
        <w:rPr>
          <w:rFonts w:ascii="Calibri" w:hAnsi="Calibri"/>
          <w:i w:val="0"/>
          <w:color w:val="111827"/>
          <w:sz w:val="22"/>
        </w:rPr>
      </w:r>
    </w:p>
    <w:p>
      <w:pPr>
        <w:spacing w:after="80"/>
      </w:pPr>
      <w:hyperlink r:id="rId17">
        <w:r>
          <w:rPr>
            <w:color w:val="2E74B5"/>
            <w:u w:val="single"/>
            <w:rFonts w:ascii="Calibri" w:hAnsi="Calibri"/>
            <w:sz w:val="22"/>
          </w:rPr>
          <w:t>Google Trends API Alpha</w:t>
        </w:r>
      </w:hyperlink>
    </w:p>
    <w:p>
      <w:pPr>
        <w:spacing w:after="80"/>
      </w:pPr>
      <w:hyperlink r:id="rId18">
        <w:r>
          <w:rPr>
            <w:color w:val="2E74B5"/>
            <w:u w:val="single"/>
            <w:rFonts w:ascii="Calibri" w:hAnsi="Calibri"/>
            <w:sz w:val="22"/>
          </w:rPr>
          <w:t>Amazon Catalog Items API</w:t>
        </w:r>
      </w:hyperlink>
    </w:p>
    <w:p>
      <w:pPr>
        <w:spacing w:after="80"/>
      </w:pPr>
      <w:hyperlink r:id="rId19">
        <w:r>
          <w:rPr>
            <w:color w:val="2E74B5"/>
            <w:u w:val="single"/>
            <w:rFonts w:ascii="Calibri" w:hAnsi="Calibri"/>
            <w:sz w:val="22"/>
          </w:rPr>
          <w:t>Amazon SP-API roles</w:t>
        </w:r>
      </w:hyperlink>
    </w:p>
    <w:p>
      <w:pPr>
        <w:spacing w:after="80"/>
      </w:pPr>
      <w:hyperlink r:id="rId20">
        <w:r>
          <w:rPr>
            <w:color w:val="2E74B5"/>
            <w:u w:val="single"/>
            <w:rFonts w:ascii="Calibri" w:hAnsi="Calibri"/>
            <w:sz w:val="22"/>
          </w:rPr>
          <w:t>Amazon Creators API</w:t>
        </w:r>
      </w:hyperlink>
    </w:p>
    <w:p>
      <w:pPr>
        <w:spacing w:after="80"/>
      </w:pPr>
      <w:hyperlink r:id="rId21">
        <w:r>
          <w:rPr>
            <w:color w:val="2E74B5"/>
            <w:u w:val="single"/>
            <w:rFonts w:ascii="Calibri" w:hAnsi="Calibri"/>
            <w:sz w:val="22"/>
          </w:rPr>
          <w:t>Meta Ads Archive API</w:t>
        </w:r>
      </w:hyperlink>
    </w:p>
    <w:p>
      <w:pPr>
        <w:spacing w:after="80"/>
      </w:pPr>
      <w:hyperlink r:id="rId22">
        <w:r>
          <w:rPr>
            <w:color w:val="2E74B5"/>
            <w:u w:val="single"/>
            <w:rFonts w:ascii="Calibri" w:hAnsi="Calibri"/>
            <w:sz w:val="22"/>
          </w:rPr>
          <w:t>TikTok Commercial Content API</w:t>
        </w:r>
      </w:hyperlink>
    </w:p>
    <w:p>
      <w:pPr>
        <w:spacing w:after="80"/>
      </w:pPr>
      <w:hyperlink r:id="rId23">
        <w:r>
          <w:rPr>
            <w:color w:val="2E74B5"/>
            <w:u w:val="single"/>
            <w:rFonts w:ascii="Calibri" w:hAnsi="Calibri"/>
            <w:sz w:val="22"/>
          </w:rPr>
          <w:t>Shopify GraphQL Admin API</w:t>
        </w:r>
      </w:hyperlink>
    </w:p>
    <w:p>
      <w:pPr>
        <w:spacing w:after="80"/>
      </w:pPr>
      <w:hyperlink r:id="rId24">
        <w:r>
          <w:rPr>
            <w:color w:val="2E74B5"/>
            <w:u w:val="single"/>
            <w:rFonts w:ascii="Calibri" w:hAnsi="Calibri"/>
            <w:sz w:val="22"/>
          </w:rPr>
          <w:t>NAFDAC regulatory guidelines</w:t>
        </w:r>
      </w:hyperlink>
    </w:p>
    <w:p>
      <w:pPr>
        <w:spacing w:after="80"/>
      </w:pPr>
      <w:hyperlink r:id="rId25">
        <w:r>
          <w:rPr>
            <w:color w:val="2E74B5"/>
            <w:u w:val="single"/>
            <w:rFonts w:ascii="Calibri" w:hAnsi="Calibri"/>
            <w:sz w:val="22"/>
          </w:rPr>
          <w:t>Maersk Developer Portal</w:t>
        </w:r>
      </w:hyperlink>
    </w:p>
    <w:p>
      <w:pPr>
        <w:spacing w:after="120" w:line="264" w:lineRule="auto"/>
      </w:pPr>
      <w:r>
        <w:rPr>
          <w:rFonts w:ascii="Calibri" w:hAnsi="Calibri"/>
          <w:i/>
          <w:color w:val="64748B"/>
          <w:sz w:val="22"/>
        </w:rPr>
        <w:t>Source capability and access conditions should be revalidated when each connector is implemented because APIs, coverage, terms, and approval requirements change.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Developer handoff  |  Page </w:t>
    </w:r>
    <w:r>
      <w:rPr>
        <w:rFonts w:ascii="Calibri" w:hAnsi="Calibri"/>
        <w:color w:val="64748B"/>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TrendSell | Product Strategy and Technical Redesign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NdumLab/trendsell-app" TargetMode="External"/><Relationship Id="rId13" Type="http://schemas.openxmlformats.org/officeDocument/2006/relationships/hyperlink" Target="https://github.com/NdumLab/trendsell-app/blob/main/README.md" TargetMode="External"/><Relationship Id="rId14" Type="http://schemas.openxmlformats.org/officeDocument/2006/relationships/hyperlink" Target="https://github.com/NdumLab/trendsell-app/blob/main/FEATURES_ROADMAP.md" TargetMode="External"/><Relationship Id="rId15" Type="http://schemas.openxmlformats.org/officeDocument/2006/relationships/hyperlink" Target="https://github.com/NdumLab/trendsell-app/blob/main/backend/services/__init__.py" TargetMode="External"/><Relationship Id="rId16" Type="http://schemas.openxmlformats.org/officeDocument/2006/relationships/hyperlink" Target="https://github.com/NdumLab/trendsell-app/blob/main/backend/server.py" TargetMode="External"/><Relationship Id="rId17" Type="http://schemas.openxmlformats.org/officeDocument/2006/relationships/hyperlink" Target="https://developers.google.com/search/apis/trends" TargetMode="External"/><Relationship Id="rId18" Type="http://schemas.openxmlformats.org/officeDocument/2006/relationships/hyperlink" Target="https://developer-docs.amazon.com/sp-api/docs/catalog-items-api" TargetMode="External"/><Relationship Id="rId19" Type="http://schemas.openxmlformats.org/officeDocument/2006/relationships/hyperlink" Target="https://developer-docs.amazon.com/sp-api/docs/roles-in-the-selling-partner-api" TargetMode="External"/><Relationship Id="rId20" Type="http://schemas.openxmlformats.org/officeDocument/2006/relationships/hyperlink" Target="https://affiliate-program.amazon.com/creatorsapi/docs/en-us/introduction" TargetMode="External"/><Relationship Id="rId21" Type="http://schemas.openxmlformats.org/officeDocument/2006/relationships/hyperlink" Target="https://developers.facebook.com/docs/graph-api/reference/ads_archive/" TargetMode="External"/><Relationship Id="rId22" Type="http://schemas.openxmlformats.org/officeDocument/2006/relationships/hyperlink" Target="https://developers.tiktok.com/products/commercial-content-api" TargetMode="External"/><Relationship Id="rId23" Type="http://schemas.openxmlformats.org/officeDocument/2006/relationships/hyperlink" Target="https://shopify.dev/docs/api/admin-graphql/latest" TargetMode="External"/><Relationship Id="rId24" Type="http://schemas.openxmlformats.org/officeDocument/2006/relationships/hyperlink" Target="https://nafdac.gov.ng/regulatory-resources/guidelines/" TargetMode="External"/><Relationship Id="rId25" Type="http://schemas.openxmlformats.org/officeDocument/2006/relationships/hyperlink" Target="https://developer.maers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TrendSell Complete Redesign Plan</dc:title>
  <dc:subject>Product strategy, UX, evidence, architecture, security, and delivery blueprint</dc:subject>
  <dc:creator>TrendSell Product Strategy</dc:creator>
  <cp:keywords>TrendSell, ecommerce intelligence, product research, landed cost, compliance, evidence</cp:keywords>
  <dc:description>generated by python-docx</dc:description>
  <cp:lastModifiedBy/>
  <cp:revision>1</cp:revision>
  <dcterms:created xsi:type="dcterms:W3CDTF">2013-12-23T23:15:00Z</dcterms:created>
  <dcterms:modified xsi:type="dcterms:W3CDTF">2013-12-23T23:15:00Z</dcterms:modified>
  <cp:category/>
</cp:coreProperties>
</file>