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Arial"/>
          <w:b/>
          <w:color w:val="D20000"/>
          <w:sz w:val="36"/>
        </w:rPr>
        <w:t>8050 Relay Control Circuit and Software Development</w:t>
        <w:br/>
        <w:t>Flowchart</w:t>
      </w:r>
    </w:p>
    <w:p>
      <w:pPr>
        <w:spacing w:after="120" w:before="0"/>
        <w:jc w:val="center"/>
      </w:pPr>
      <w:r>
        <w:drawing>
          <wp:inline xmlns:a="http://schemas.openxmlformats.org/drawingml/2006/main" xmlns:pic="http://schemas.openxmlformats.org/drawingml/2006/picture">
            <wp:extent cx="5120640" cy="35314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matic_onl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3531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80" w:before="0"/>
        <w:jc w:val="both"/>
      </w:pPr>
      <w:r>
        <w:rPr>
          <w:rFonts w:ascii="Times New Roman" w:hAnsi="Times New Roman" w:eastAsia="Times New Roman"/>
          <w:sz w:val="22"/>
        </w:rPr>
        <w:t>The relay module program is also very simple and only involves high and low logic levels. The transistor used here is the 8050, which turns on under a high-level signal. When the relay needs to be closed, the microcontroller only needs to output a high level to the transistor, which then drives the relay to close. When the microcontroller outputs a low level, the relay disconnects.</w:t>
      </w:r>
    </w:p>
    <w:p>
      <w:pPr>
        <w:spacing w:after="40" w:before="0"/>
        <w:jc w:val="left"/>
      </w:pPr>
      <w:r>
        <w:rPr>
          <w:rFonts w:ascii="Times New Roman" w:hAnsi="Times New Roman" w:eastAsia="Times New Roman"/>
          <w:sz w:val="22"/>
        </w:rPr>
        <w:t>The flowchart is shown below: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3611880" cy="4815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chart_crop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11880" cy="4815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