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C450F">
      <w:pPr>
        <w:spacing w:after="120"/>
        <w:jc w:val="center"/>
      </w:pPr>
      <w:r>
        <w:drawing>
          <wp:inline distT="0" distB="0" distL="0" distR="0">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jtlu-logo" descr="XJTLU Logo" title="XJTLU Logo"/>
                    <pic:cNvPicPr>
                      <a:picLocks noChangeAspect="1" noChangeArrowheads="1"/>
                    </pic:cNvPicPr>
                  </pic:nvPicPr>
                  <pic:blipFill>
                    <a:blip r:embed="rId6"/>
                    <a:srcRect/>
                    <a:stretch>
                      <a:fillRect/>
                    </a:stretch>
                  </pic:blipFill>
                  <pic:spPr>
                    <a:xfrm>
                      <a:off x="0" y="0"/>
                      <a:ext cx="3048000" cy="742950"/>
                    </a:xfrm>
                    <a:prstGeom prst="rect">
                      <a:avLst/>
                    </a:prstGeom>
                  </pic:spPr>
                </pic:pic>
              </a:graphicData>
            </a:graphic>
          </wp:inline>
        </w:drawing>
      </w:r>
    </w:p>
    <w:p w14:paraId="32B2312F">
      <w:pPr>
        <w:pBdr>
          <w:bottom w:val="single" w:color="000000" w:sz="2" w:space="1"/>
        </w:pBdr>
        <w:spacing w:before="40" w:after="200"/>
      </w:pPr>
    </w:p>
    <w:p w14:paraId="79159EA7">
      <w:pPr>
        <w:spacing w:before="80" w:after="300"/>
        <w:jc w:val="center"/>
      </w:pPr>
      <w:r>
        <w:rPr>
          <w:rFonts w:ascii="Arial" w:hAnsi="Arial" w:eastAsia="Arial" w:cs="Arial"/>
          <w:b/>
          <w:bCs/>
          <w:sz w:val="28"/>
          <w:szCs w:val="28"/>
        </w:rPr>
        <w:t>XJTLU Entrepreneur College (Taicang)</w:t>
      </w:r>
    </w:p>
    <w:tbl>
      <w:tblPr>
        <w:tblStyle w:val="13"/>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740"/>
      </w:tblGrid>
      <w:tr w14:paraId="72DCE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4D7470EA">
            <w:r>
              <w:rPr>
                <w:rFonts w:ascii="Arial" w:hAnsi="Arial" w:eastAsia="Arial" w:cs="Arial"/>
                <w:b/>
                <w:bCs/>
                <w:color w:val="000000"/>
                <w:sz w:val="20"/>
                <w:szCs w:val="20"/>
              </w:rPr>
              <w:t>Module Code and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71CB1C7">
            <w:r>
              <w:rPr>
                <w:rFonts w:ascii="Arial" w:hAnsi="Arial" w:eastAsia="Arial" w:cs="Arial"/>
                <w:color w:val="000000"/>
                <w:sz w:val="20"/>
                <w:szCs w:val="20"/>
              </w:rPr>
              <w:t>ENT208TC Industry Readiness</w:t>
            </w:r>
          </w:p>
        </w:tc>
      </w:tr>
      <w:tr w14:paraId="7CE0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1EADE8CC">
            <w:r>
              <w:rPr>
                <w:rFonts w:ascii="Arial" w:hAnsi="Arial" w:eastAsia="Arial" w:cs="Arial"/>
                <w:b/>
                <w:bCs/>
                <w:color w:val="000000"/>
                <w:sz w:val="20"/>
                <w:szCs w:val="20"/>
              </w:rPr>
              <w:t>School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0C8A7F7">
            <w:r>
              <w:rPr>
                <w:rFonts w:ascii="Arial" w:hAnsi="Arial" w:eastAsia="Arial" w:cs="Arial"/>
                <w:color w:val="000000"/>
                <w:sz w:val="20"/>
                <w:szCs w:val="20"/>
              </w:rPr>
              <w:t>XJTLU Entrepreneur College (Taicang)</w:t>
            </w:r>
          </w:p>
        </w:tc>
      </w:tr>
      <w:tr w14:paraId="2FF2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458F0F29">
            <w:r>
              <w:rPr>
                <w:rFonts w:ascii="Arial" w:hAnsi="Arial" w:eastAsia="Arial" w:cs="Arial"/>
                <w:b/>
                <w:bCs/>
                <w:color w:val="000000"/>
                <w:sz w:val="20"/>
                <w:szCs w:val="20"/>
              </w:rPr>
              <w:t>Assignment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C4576FB">
            <w:r>
              <w:rPr>
                <w:rFonts w:ascii="Arial" w:hAnsi="Arial" w:eastAsia="Arial" w:cs="Arial"/>
                <w:color w:val="000000"/>
                <w:sz w:val="20"/>
                <w:szCs w:val="20"/>
              </w:rPr>
              <w:t>Project Brief</w:t>
            </w:r>
          </w:p>
        </w:tc>
      </w:tr>
      <w:tr w14:paraId="2B43B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7BD799D4">
            <w:r>
              <w:rPr>
                <w:rFonts w:ascii="Arial" w:hAnsi="Arial" w:eastAsia="Arial" w:cs="Arial"/>
                <w:b/>
                <w:bCs/>
                <w:color w:val="000000"/>
                <w:sz w:val="20"/>
                <w:szCs w:val="20"/>
              </w:rPr>
              <w:t>Submission Deadline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9354278">
            <w:r>
              <w:rPr>
                <w:rFonts w:hint="eastAsia" w:ascii="Arial" w:hAnsi="Arial" w:eastAsia="宋体" w:cs="Arial"/>
                <w:b/>
                <w:bCs/>
                <w:color w:val="000000"/>
                <w:sz w:val="20"/>
                <w:szCs w:val="20"/>
                <w:lang w:val="en-US" w:eastAsia="zh-CN"/>
              </w:rPr>
              <w:t>Sunday</w:t>
            </w:r>
            <w:r>
              <w:rPr>
                <w:rFonts w:ascii="Arial" w:hAnsi="Arial" w:eastAsia="Arial" w:cs="Arial"/>
                <w:b/>
                <w:bCs/>
                <w:color w:val="000000"/>
                <w:sz w:val="20"/>
                <w:szCs w:val="20"/>
              </w:rPr>
              <w:t xml:space="preserve"> </w:t>
            </w:r>
            <w:r>
              <w:rPr>
                <w:rFonts w:hint="eastAsia" w:ascii="Arial" w:hAnsi="Arial" w:eastAsia="宋体" w:cs="Arial"/>
                <w:b/>
                <w:bCs/>
                <w:color w:val="000000"/>
                <w:sz w:val="20"/>
                <w:szCs w:val="20"/>
                <w:lang w:val="en-US" w:eastAsia="zh-CN"/>
              </w:rPr>
              <w:t>May</w:t>
            </w:r>
            <w:r>
              <w:rPr>
                <w:rFonts w:ascii="Arial" w:hAnsi="Arial" w:eastAsia="Arial" w:cs="Arial"/>
                <w:b/>
                <w:bCs/>
                <w:color w:val="000000"/>
                <w:sz w:val="20"/>
                <w:szCs w:val="20"/>
              </w:rPr>
              <w:t xml:space="preserve"> </w:t>
            </w:r>
            <w:r>
              <w:rPr>
                <w:rFonts w:hint="eastAsia" w:ascii="Arial" w:hAnsi="Arial" w:eastAsia="宋体" w:cs="Arial"/>
                <w:b/>
                <w:bCs/>
                <w:color w:val="000000"/>
                <w:sz w:val="20"/>
                <w:szCs w:val="20"/>
                <w:lang w:val="en-US" w:eastAsia="zh-CN"/>
              </w:rPr>
              <w:t>15</w:t>
            </w:r>
            <w:r>
              <w:rPr>
                <w:rFonts w:ascii="Arial" w:hAnsi="Arial" w:eastAsia="Arial" w:cs="Arial"/>
                <w:b/>
                <w:bCs/>
                <w:color w:val="000000"/>
                <w:sz w:val="20"/>
                <w:szCs w:val="20"/>
              </w:rPr>
              <w:t>, 2026 before 23:59 (Beijing Time, GMT+8)</w:t>
            </w:r>
          </w:p>
        </w:tc>
      </w:tr>
      <w:tr w14:paraId="209D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EF05B3E">
            <w:r>
              <w:rPr>
                <w:rFonts w:ascii="Arial" w:hAnsi="Arial" w:eastAsia="Arial" w:cs="Arial"/>
                <w:b/>
                <w:bCs/>
                <w:color w:val="000000"/>
                <w:sz w:val="20"/>
                <w:szCs w:val="20"/>
              </w:rPr>
              <w:t>Session and Group</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5E94233">
            <w:r>
              <w:rPr>
                <w:rFonts w:ascii="Arial" w:hAnsi="Arial" w:eastAsia="Arial" w:cs="Arial"/>
                <w:color w:val="000000"/>
                <w:sz w:val="20"/>
                <w:szCs w:val="20"/>
              </w:rPr>
              <w:t xml:space="preserve">Session </w:t>
            </w:r>
            <w:r>
              <w:rPr>
                <w:rFonts w:hint="eastAsia" w:ascii="Arial" w:hAnsi="Arial" w:eastAsia="宋体" w:cs="Arial"/>
                <w:color w:val="000000"/>
                <w:sz w:val="20"/>
                <w:szCs w:val="20"/>
                <w:lang w:val="en-US" w:eastAsia="zh-CN"/>
              </w:rPr>
              <w:t>1</w:t>
            </w:r>
            <w:r>
              <w:rPr>
                <w:rFonts w:ascii="Arial" w:hAnsi="Arial" w:eastAsia="Arial" w:cs="Arial"/>
                <w:color w:val="000000"/>
                <w:sz w:val="20"/>
                <w:szCs w:val="20"/>
              </w:rPr>
              <w:t xml:space="preserve"> — Group </w:t>
            </w:r>
            <w:r>
              <w:rPr>
                <w:rFonts w:hint="eastAsia" w:ascii="Arial" w:hAnsi="Arial" w:eastAsia="宋体" w:cs="Arial"/>
                <w:color w:val="000000"/>
                <w:sz w:val="20"/>
                <w:szCs w:val="20"/>
                <w:lang w:val="en-US" w:eastAsia="zh-CN"/>
              </w:rPr>
              <w:t>16</w:t>
            </w:r>
          </w:p>
        </w:tc>
      </w:tr>
      <w:tr w14:paraId="79E8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2B2703E">
            <w:r>
              <w:rPr>
                <w:rFonts w:ascii="Arial" w:hAnsi="Arial" w:eastAsia="Arial" w:cs="Arial"/>
                <w:b/>
                <w:bCs/>
                <w:color w:val="000000"/>
                <w:sz w:val="20"/>
                <w:szCs w:val="20"/>
              </w:rPr>
              <w:t>Student IDs</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C9A4A27">
            <w:pPr>
              <w:rPr>
                <w:rFonts w:hint="eastAsia"/>
              </w:rPr>
            </w:pPr>
            <w:r>
              <w:rPr>
                <w:rFonts w:hint="eastAsia"/>
              </w:rPr>
              <w:t xml:space="preserve">2360304 </w:t>
            </w:r>
          </w:p>
          <w:p w14:paraId="6227DF60">
            <w:pPr>
              <w:rPr>
                <w:rFonts w:hint="eastAsia"/>
              </w:rPr>
            </w:pPr>
            <w:r>
              <w:rPr>
                <w:rFonts w:hint="eastAsia"/>
              </w:rPr>
              <w:t xml:space="preserve">2363967 </w:t>
            </w:r>
          </w:p>
          <w:p w14:paraId="36E4BB84">
            <w:pPr>
              <w:rPr>
                <w:rFonts w:hint="eastAsia"/>
              </w:rPr>
            </w:pPr>
            <w:r>
              <w:rPr>
                <w:rFonts w:hint="eastAsia"/>
              </w:rPr>
              <w:t xml:space="preserve">2361729 </w:t>
            </w:r>
          </w:p>
          <w:p w14:paraId="628A1996">
            <w:pPr>
              <w:rPr>
                <w:rFonts w:hint="eastAsia"/>
              </w:rPr>
            </w:pPr>
            <w:r>
              <w:rPr>
                <w:rFonts w:hint="eastAsia"/>
              </w:rPr>
              <w:t xml:space="preserve">2363444 </w:t>
            </w:r>
          </w:p>
          <w:p w14:paraId="0552D707">
            <w:pPr>
              <w:rPr>
                <w:rFonts w:hint="eastAsia"/>
              </w:rPr>
            </w:pPr>
            <w:r>
              <w:rPr>
                <w:rFonts w:hint="eastAsia"/>
              </w:rPr>
              <w:t xml:space="preserve">2363553 </w:t>
            </w:r>
          </w:p>
          <w:p w14:paraId="54351661">
            <w:pPr>
              <w:rPr>
                <w:rFonts w:hint="eastAsia"/>
              </w:rPr>
            </w:pPr>
            <w:r>
              <w:rPr>
                <w:rFonts w:hint="eastAsia"/>
              </w:rPr>
              <w:t xml:space="preserve">2361701 </w:t>
            </w:r>
          </w:p>
          <w:p w14:paraId="2288EC91">
            <w:r>
              <w:rPr>
                <w:rFonts w:hint="eastAsia"/>
              </w:rPr>
              <w:t xml:space="preserve">2359963 </w:t>
            </w:r>
          </w:p>
        </w:tc>
      </w:tr>
      <w:tr w14:paraId="2E8A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D468D93">
            <w:r>
              <w:rPr>
                <w:rFonts w:ascii="Arial" w:hAnsi="Arial" w:eastAsia="Arial" w:cs="Arial"/>
                <w:b/>
                <w:bCs/>
                <w:color w:val="000000"/>
                <w:sz w:val="20"/>
                <w:szCs w:val="20"/>
              </w:rPr>
              <w:t>Final Word Count</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6B23AE8">
            <w:pPr>
              <w:rPr>
                <w:rFonts w:hint="default" w:eastAsia="宋体"/>
                <w:lang w:val="en-US" w:eastAsia="zh-CN"/>
              </w:rPr>
            </w:pPr>
            <w:r>
              <w:rPr>
                <w:rFonts w:hint="eastAsia" w:eastAsia="宋体"/>
                <w:lang w:val="en-US" w:eastAsia="zh-CN"/>
              </w:rPr>
              <w:t>718</w:t>
            </w:r>
          </w:p>
        </w:tc>
      </w:tr>
      <w:tr w14:paraId="0D864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tcPr>
          <w:p w14:paraId="1F394609">
            <w:r>
              <w:rPr>
                <w:rFonts w:ascii="Arial" w:hAnsi="Arial" w:eastAsia="Arial" w:cs="Arial"/>
                <w:sz w:val="18"/>
                <w:szCs w:val="18"/>
              </w:rPr>
              <w:t xml:space="preserve">If you agree to let the university use your work anonymously for teaching and learning purposes, please type </w:t>
            </w:r>
            <w:r>
              <w:rPr>
                <w:rFonts w:ascii="Arial" w:hAnsi="Arial" w:eastAsia="Arial" w:cs="Arial"/>
                <w:b/>
                <w:bCs/>
                <w:sz w:val="18"/>
                <w:szCs w:val="18"/>
              </w:rPr>
              <w:t>“yes”</w:t>
            </w:r>
            <w:r>
              <w:rPr>
                <w:rFonts w:ascii="Arial" w:hAnsi="Arial" w:eastAsia="Arial" w:cs="Arial"/>
                <w:sz w:val="18"/>
                <w:szCs w:val="18"/>
              </w:rPr>
              <w:t xml:space="preserve"> here.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34086F5">
            <w:pPr>
              <w:rPr>
                <w:rFonts w:hint="eastAsia" w:eastAsia="宋体"/>
                <w:lang w:val="en-US" w:eastAsia="zh-CN"/>
              </w:rPr>
            </w:pPr>
            <w:r>
              <w:rPr>
                <w:rFonts w:hint="eastAsia" w:eastAsia="宋体"/>
                <w:lang w:val="en-US" w:eastAsia="zh-CN"/>
              </w:rPr>
              <w:t>Yes</w:t>
            </w:r>
          </w:p>
        </w:tc>
      </w:tr>
    </w:tbl>
    <w:p w14:paraId="746A5C17">
      <w:pPr>
        <w:spacing w:before="300" w:after="120"/>
      </w:pPr>
    </w:p>
    <w:p w14:paraId="2F5BCA41">
      <w:pPr>
        <w:spacing w:after="80"/>
        <w:jc w:val="both"/>
      </w:pPr>
      <w:r>
        <w:rPr>
          <w:rFonts w:ascii="Arial" w:hAnsi="Arial" w:eastAsia="Arial" w:cs="Arial"/>
          <w:sz w:val="20"/>
          <w:szCs w:val="20"/>
        </w:rPr>
        <w:t>I certify that I have read and understood the University’s Policy for dealing with Plagiarism, Collusion, and the Fabrication of Data (available on Learning Mall Online). With reference to this policy, I certify that:</w:t>
      </w:r>
    </w:p>
    <w:p w14:paraId="6F6AE8AA">
      <w:pPr>
        <w:pStyle w:val="20"/>
        <w:numPr>
          <w:ilvl w:val="0"/>
          <w:numId w:val="2"/>
        </w:numPr>
        <w:spacing w:after="80"/>
      </w:pPr>
      <w:r>
        <w:rPr>
          <w:rFonts w:ascii="Arial" w:hAnsi="Arial" w:eastAsia="Arial" w:cs="Arial"/>
          <w:sz w:val="20"/>
          <w:szCs w:val="20"/>
        </w:rPr>
        <w:t>My work does not contain any instances of plagiarism and/or collusion. My work does not contain any fabricated data.</w:t>
      </w:r>
    </w:p>
    <w:p w14:paraId="736CC5C7">
      <w:pPr>
        <w:spacing w:before="120" w:after="200"/>
        <w:jc w:val="both"/>
      </w:pPr>
      <w:r>
        <w:rPr>
          <w:rFonts w:ascii="Arial" w:hAnsi="Arial" w:eastAsia="Arial" w:cs="Arial"/>
          <w:b/>
          <w:bCs/>
          <w:sz w:val="20"/>
          <w:szCs w:val="20"/>
        </w:rPr>
        <w:t>By uploading my assignment onto Learning Mall Online, I formally declare that all of the above information is true to the best of my knowledge and belief.</w:t>
      </w:r>
    </w:p>
    <w:tbl>
      <w:tblPr>
        <w:tblStyle w:val="13"/>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1000"/>
        <w:gridCol w:w="1000"/>
        <w:gridCol w:w="1000"/>
        <w:gridCol w:w="1000"/>
        <w:gridCol w:w="1000"/>
        <w:gridCol w:w="1540"/>
      </w:tblGrid>
      <w:tr w14:paraId="3E024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40" w:type="dxa"/>
            <w:gridSpan w:val="8"/>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2EEC6598">
            <w:pPr>
              <w:jc w:val="center"/>
            </w:pPr>
            <w:r>
              <w:rPr>
                <w:rFonts w:ascii="Arial" w:hAnsi="Arial" w:eastAsia="Arial" w:cs="Arial"/>
                <w:b/>
                <w:bCs/>
                <w:color w:val="000000"/>
                <w:sz w:val="16"/>
                <w:szCs w:val="16"/>
              </w:rPr>
              <w:t>Scoring — For Tutor Use</w:t>
            </w:r>
          </w:p>
        </w:tc>
      </w:tr>
      <w:tr w14:paraId="5F9D8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795AE365">
            <w:pPr>
              <w:jc w:val="center"/>
            </w:pPr>
            <w:r>
              <w:rPr>
                <w:rFonts w:ascii="Arial" w:hAnsi="Arial" w:eastAsia="Arial" w:cs="Arial"/>
                <w:b/>
                <w:bCs/>
                <w:color w:val="000000"/>
                <w:sz w:val="16"/>
                <w:szCs w:val="16"/>
              </w:rPr>
              <w:t>Student ID</w:t>
            </w:r>
          </w:p>
        </w:tc>
        <w:tc>
          <w:tcPr>
            <w:tcW w:w="1400" w:type="dxa"/>
            <w:gridSpan w:val="7"/>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ED294A6">
            <w:pPr>
              <w:jc w:val="center"/>
            </w:pPr>
          </w:p>
        </w:tc>
      </w:tr>
      <w:tr w14:paraId="6C20D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386A5E33">
            <w:pPr>
              <w:jc w:val="center"/>
            </w:pPr>
            <w:r>
              <w:rPr>
                <w:rFonts w:ascii="Arial" w:hAnsi="Arial" w:eastAsia="Arial" w:cs="Arial"/>
                <w:b/>
                <w:bCs/>
                <w:color w:val="000000"/>
                <w:sz w:val="16"/>
                <w:szCs w:val="16"/>
              </w:rPr>
              <w:t>Stage of Marking</w:t>
            </w:r>
          </w:p>
        </w:tc>
        <w:tc>
          <w:tcPr>
            <w:tcW w:w="14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3ACA0C5">
            <w:pPr>
              <w:jc w:val="center"/>
            </w:pPr>
            <w:r>
              <w:rPr>
                <w:rFonts w:ascii="Arial" w:hAnsi="Arial" w:eastAsia="Arial" w:cs="Arial"/>
                <w:b/>
                <w:bCs/>
                <w:color w:val="000000"/>
                <w:sz w:val="16"/>
                <w:szCs w:val="16"/>
              </w:rPr>
              <w:t>Marker Code</w:t>
            </w:r>
          </w:p>
        </w:tc>
        <w:tc>
          <w:tcPr>
            <w:tcW w:w="5000" w:type="dxa"/>
            <w:gridSpan w:val="5"/>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tcPr>
          <w:p w14:paraId="70A08206">
            <w:pPr>
              <w:jc w:val="center"/>
            </w:pPr>
            <w:r>
              <w:rPr>
                <w:rFonts w:ascii="Arial" w:hAnsi="Arial" w:eastAsia="Arial" w:cs="Arial"/>
                <w:b/>
                <w:bCs/>
                <w:sz w:val="16"/>
                <w:szCs w:val="16"/>
              </w:rPr>
              <w:t>Learning Outcomes Achieved (F/P/M/D)</w:t>
            </w:r>
          </w:p>
        </w:tc>
        <w:tc>
          <w:tcPr>
            <w:tcW w:w="154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58A925ED">
            <w:pPr>
              <w:jc w:val="center"/>
            </w:pPr>
            <w:r>
              <w:rPr>
                <w:rFonts w:ascii="Arial" w:hAnsi="Arial" w:eastAsia="Arial" w:cs="Arial"/>
                <w:b/>
                <w:bCs/>
                <w:color w:val="000000"/>
                <w:sz w:val="16"/>
                <w:szCs w:val="16"/>
              </w:rPr>
              <w:t>Final Score</w:t>
            </w:r>
          </w:p>
        </w:tc>
      </w:tr>
      <w:tr w14:paraId="04A2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4302CF99">
            <w:pPr>
              <w:jc w:val="center"/>
            </w:pP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DE30668">
            <w:pPr>
              <w:jc w:val="center"/>
            </w:pP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979BE36">
            <w:pPr>
              <w:jc w:val="center"/>
            </w:pPr>
            <w:r>
              <w:rPr>
                <w:rFonts w:ascii="Arial" w:hAnsi="Arial" w:eastAsia="Arial" w:cs="Arial"/>
                <w:b/>
                <w:bCs/>
                <w:color w:val="000000"/>
                <w:sz w:val="16"/>
                <w:szCs w:val="16"/>
              </w:rPr>
              <w:t>A</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7E83162C">
            <w:pPr>
              <w:jc w:val="center"/>
            </w:pPr>
            <w:r>
              <w:rPr>
                <w:rFonts w:ascii="Arial" w:hAnsi="Arial" w:eastAsia="Arial" w:cs="Arial"/>
                <w:b/>
                <w:bCs/>
                <w:color w:val="000000"/>
                <w:sz w:val="16"/>
                <w:szCs w:val="16"/>
              </w:rPr>
              <w:t>B</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05F6A028">
            <w:pPr>
              <w:jc w:val="center"/>
            </w:pPr>
            <w:r>
              <w:rPr>
                <w:rFonts w:ascii="Arial" w:hAnsi="Arial" w:eastAsia="Arial" w:cs="Arial"/>
                <w:b/>
                <w:bCs/>
                <w:color w:val="000000"/>
                <w:sz w:val="16"/>
                <w:szCs w:val="16"/>
              </w:rPr>
              <w:t>C</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16ACFE8">
            <w:pPr>
              <w:jc w:val="center"/>
            </w:pPr>
            <w:r>
              <w:rPr>
                <w:rFonts w:ascii="Arial" w:hAnsi="Arial" w:eastAsia="Arial" w:cs="Arial"/>
                <w:b/>
                <w:bCs/>
                <w:color w:val="000000"/>
                <w:sz w:val="16"/>
                <w:szCs w:val="16"/>
              </w:rPr>
              <w:t>D</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59B6EC05">
            <w:pPr>
              <w:jc w:val="center"/>
            </w:pPr>
            <w:r>
              <w:rPr>
                <w:rFonts w:ascii="Arial" w:hAnsi="Arial" w:eastAsia="Arial" w:cs="Arial"/>
                <w:b/>
                <w:bCs/>
                <w:color w:val="000000"/>
                <w:sz w:val="16"/>
                <w:szCs w:val="16"/>
              </w:rPr>
              <w:t>E</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9895581">
            <w:pPr>
              <w:jc w:val="center"/>
            </w:pPr>
          </w:p>
        </w:tc>
      </w:tr>
      <w:tr w14:paraId="1AEB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AB101FF">
            <w:r>
              <w:rPr>
                <w:rFonts w:ascii="Arial" w:hAnsi="Arial" w:eastAsia="Arial" w:cs="Arial"/>
                <w:color w:val="000000"/>
                <w:sz w:val="16"/>
                <w:szCs w:val="16"/>
              </w:rPr>
              <w:t>1st Marker — red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3A6877A">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6A8261E">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BCB1BB8">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9F36557">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983B26B">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C60775C">
            <w:pPr>
              <w:jc w:val="cente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BCFB8A5">
            <w:pPr>
              <w:jc w:val="center"/>
            </w:pPr>
          </w:p>
        </w:tc>
      </w:tr>
      <w:tr w14:paraId="19D45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80AE15E">
            <w:r>
              <w:rPr>
                <w:rFonts w:ascii="Arial" w:hAnsi="Arial" w:eastAsia="Arial" w:cs="Arial"/>
                <w:color w:val="000000"/>
                <w:sz w:val="16"/>
                <w:szCs w:val="16"/>
              </w:rPr>
              <w:t>Moderation — green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474A51F">
            <w:pPr>
              <w:jc w:val="center"/>
            </w:pPr>
            <w:r>
              <w:rPr>
                <w:rFonts w:ascii="Arial" w:hAnsi="Arial" w:eastAsia="Arial" w:cs="Arial"/>
                <w:color w:val="000000"/>
                <w:sz w:val="16"/>
                <w:szCs w:val="16"/>
              </w:rPr>
              <w:t>IM Initials</w:t>
            </w:r>
          </w:p>
        </w:tc>
        <w:tc>
          <w:tcPr>
            <w:tcW w:w="5000" w:type="dxa"/>
            <w:gridSpan w:val="5"/>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tcPr>
          <w:p w14:paraId="79EF6528">
            <w:r>
              <w:rPr>
                <w:rFonts w:ascii="Arial" w:hAnsi="Arial" w:eastAsia="Arial" w:cs="Arial"/>
                <w:sz w:val="16"/>
                <w:szCs w:val="16"/>
              </w:rPr>
              <w:t>The original mark has been accepted by the moderator: Y / N</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7008B9FF">
            <w:pPr>
              <w:jc w:val="center"/>
            </w:pPr>
            <w:r>
              <w:rPr>
                <w:rFonts w:ascii="Arial" w:hAnsi="Arial" w:eastAsia="Arial" w:cs="Arial"/>
                <w:color w:val="000000"/>
                <w:sz w:val="16"/>
                <w:szCs w:val="16"/>
              </w:rPr>
              <w:t>Y / N</w:t>
            </w:r>
          </w:p>
        </w:tc>
      </w:tr>
      <w:tr w14:paraId="5D7A5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356FE95">
            <w:r>
              <w:rPr>
                <w:rFonts w:ascii="Arial" w:hAnsi="Arial" w:eastAsia="Arial" w:cs="Arial"/>
                <w:color w:val="000000"/>
                <w:sz w:val="16"/>
                <w:szCs w:val="16"/>
              </w:rPr>
              <w:t>2nd Marker if needed</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B7155EC">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5FA16A1">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642D46F">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CDC9E23">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6AB6934">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18EFA41E">
            <w:pPr>
              <w:jc w:val="cente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C77DD87">
            <w:pPr>
              <w:jc w:val="center"/>
            </w:pPr>
          </w:p>
        </w:tc>
      </w:tr>
    </w:tbl>
    <w:p w14:paraId="39F1FE77">
      <w:pPr>
        <w:spacing w:before="200"/>
      </w:pPr>
    </w:p>
    <w:p w14:paraId="13BBEA22">
      <w:pPr>
        <w:jc w:val="center"/>
      </w:pPr>
      <w:r>
        <w:drawing>
          <wp:inline distT="0" distB="0" distL="0" distR="0">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86781" name="footer-logo" descr="Xi’an Jiaotong-Liverpool University" title="XJTLU"/>
                    <pic:cNvPicPr>
                      <a:picLocks noChangeAspect="1" noChangeArrowheads="1"/>
                    </pic:cNvPicPr>
                  </pic:nvPicPr>
                  <pic:blipFill>
                    <a:blip r:embed="rId7"/>
                    <a:srcRect/>
                    <a:stretch>
                      <a:fillRect/>
                    </a:stretch>
                  </pic:blipFill>
                  <pic:spPr>
                    <a:xfrm>
                      <a:off x="0" y="0"/>
                      <a:ext cx="1905000" cy="390525"/>
                    </a:xfrm>
                    <a:prstGeom prst="rect">
                      <a:avLst/>
                    </a:prstGeom>
                  </pic:spPr>
                </pic:pic>
              </a:graphicData>
            </a:graphic>
          </wp:inline>
        </w:drawing>
      </w:r>
    </w:p>
    <w:p w14:paraId="2B11D818">
      <w:pPr>
        <w:sectPr>
          <w:pgSz w:w="11906" w:h="16838"/>
          <w:pgMar w:top="1000" w:right="980" w:bottom="1200" w:left="980" w:header="708" w:footer="708" w:gutter="0"/>
          <w:cols w:space="720" w:num="1"/>
          <w:docGrid w:linePitch="360" w:charSpace="0"/>
        </w:sectPr>
      </w:pPr>
    </w:p>
    <w:p w14:paraId="669BDDF8">
      <w:pPr>
        <w:spacing w:before="240" w:after="120" w:line="360" w:lineRule="auto"/>
        <w:rPr>
          <w:rFonts w:hint="default" w:ascii="Calibri" w:hAnsi="Calibri" w:cs="Calibri"/>
          <w:sz w:val="24"/>
          <w:szCs w:val="24"/>
        </w:rPr>
      </w:pPr>
      <w:r>
        <w:rPr>
          <w:rFonts w:hint="default" w:ascii="Calibri" w:hAnsi="Calibri" w:cs="Calibri"/>
          <w:b/>
          <w:bCs/>
          <w:color w:val="0F1F2E"/>
          <w:sz w:val="24"/>
          <w:szCs w:val="24"/>
        </w:rPr>
        <w:t>Section 1 — The Problem</w:t>
      </w:r>
    </w:p>
    <w:p w14:paraId="4D1C14D2">
      <w:pPr>
        <w:spacing w:before="240" w:after="120" w:line="360" w:lineRule="auto"/>
        <w:rPr>
          <w:rFonts w:hint="default" w:ascii="Calibri" w:hAnsi="Calibri" w:cs="Calibri"/>
          <w:b w:val="0"/>
          <w:bCs w:val="0"/>
          <w:color w:val="0F1F2E"/>
          <w:sz w:val="24"/>
          <w:szCs w:val="24"/>
        </w:rPr>
      </w:pPr>
      <w:r>
        <w:rPr>
          <w:rFonts w:hint="default" w:ascii="Calibri" w:hAnsi="Calibri" w:cs="Calibri"/>
          <w:b w:val="0"/>
          <w:bCs w:val="0"/>
          <w:color w:val="0F1F2E"/>
          <w:sz w:val="24"/>
          <w:szCs w:val="24"/>
        </w:rPr>
        <w:t>Drink-driving and fatigue driving are preventable risks, but many drivers still rely on self-judgement before and during driving. This is especially problematic for people who drive older vehicles without built-in driver monitoring or modern warning systems. A tired driver may not notice early signs of reduced attention, and a driver who has consumed alcohol may underestimate the risk before starting the vehicle. Current workarounds are limited: families may give reminders, drivers may use separate alcohol testers, or they may simply decide for themselves whether they feel safe. These methods are inconsistent and do not provide clear, immediate feedback inside the vehicle. As a result, ordinary drivers need a simple and affordable way to recognise risk before it becomes dangerous.</w:t>
      </w:r>
    </w:p>
    <w:p w14:paraId="0440E655">
      <w:pPr>
        <w:spacing w:before="240" w:after="120" w:line="360" w:lineRule="auto"/>
        <w:rPr>
          <w:rFonts w:hint="default" w:ascii="Calibri" w:hAnsi="Calibri" w:cs="Calibri"/>
          <w:sz w:val="24"/>
          <w:szCs w:val="24"/>
        </w:rPr>
      </w:pPr>
      <w:r>
        <w:rPr>
          <w:rFonts w:hint="default" w:ascii="Calibri" w:hAnsi="Calibri" w:cs="Calibri"/>
          <w:b/>
          <w:bCs/>
          <w:color w:val="0F1F2E"/>
          <w:sz w:val="24"/>
          <w:szCs w:val="24"/>
        </w:rPr>
        <w:t>Section 2 — Target Users</w:t>
      </w:r>
    </w:p>
    <w:p w14:paraId="589291F9">
      <w:pPr>
        <w:spacing w:before="240" w:after="120" w:line="360" w:lineRule="auto"/>
        <w:rPr>
          <w:rFonts w:hint="default" w:ascii="Calibri" w:hAnsi="Calibri" w:cs="Calibri"/>
          <w:b w:val="0"/>
          <w:bCs w:val="0"/>
          <w:color w:val="0F1F2E"/>
          <w:sz w:val="24"/>
          <w:szCs w:val="24"/>
        </w:rPr>
      </w:pPr>
      <w:r>
        <w:rPr>
          <w:rFonts w:hint="default" w:ascii="Calibri" w:hAnsi="Calibri" w:cs="Calibri"/>
          <w:b w:val="0"/>
          <w:bCs w:val="0"/>
          <w:color w:val="0F1F2E"/>
          <w:sz w:val="24"/>
          <w:szCs w:val="24"/>
        </w:rPr>
        <w:t>Our primary user is an older driver who owns a 10- to 15-year-old family car and uses it for daily errands, family visits, and occasional night driving. This driver values independence and safety but may not want to replace the vehicle or install an expensive commercial monitoring system. They need warnings that are easy to see, hear, and understand quickly. Family members are also indirect users because they want reassurance that the driver receives timely alerts when alcohol, fatigue, or drowsiness risk appears.</w:t>
      </w:r>
    </w:p>
    <w:p w14:paraId="6A4E0642">
      <w:pPr>
        <w:spacing w:before="240" w:after="120" w:line="360" w:lineRule="auto"/>
        <w:rPr>
          <w:rFonts w:hint="default" w:ascii="Calibri" w:hAnsi="Calibri" w:cs="Calibri"/>
          <w:sz w:val="24"/>
          <w:szCs w:val="24"/>
        </w:rPr>
      </w:pPr>
      <w:r>
        <w:rPr>
          <w:rFonts w:hint="default" w:ascii="Calibri" w:hAnsi="Calibri" w:cs="Calibri"/>
          <w:b/>
          <w:bCs/>
          <w:color w:val="0F1F2E"/>
          <w:sz w:val="24"/>
          <w:szCs w:val="24"/>
        </w:rPr>
        <w:t>Section 3 — The Solution</w:t>
      </w:r>
    </w:p>
    <w:p w14:paraId="532A8D7F">
      <w:pPr>
        <w:spacing w:before="180" w:after="60" w:line="360" w:lineRule="auto"/>
        <w:rPr>
          <w:rFonts w:hint="default" w:ascii="Calibri" w:hAnsi="Calibri" w:cs="Calibri"/>
          <w:b/>
          <w:bCs/>
          <w:color w:val="0F1F2E"/>
          <w:sz w:val="24"/>
          <w:szCs w:val="24"/>
        </w:rPr>
      </w:pPr>
      <w:r>
        <w:rPr>
          <w:rFonts w:hint="default" w:ascii="Calibri" w:hAnsi="Calibri" w:cs="Calibri"/>
          <w:b w:val="0"/>
          <w:bCs w:val="0"/>
          <w:color w:val="0F1F2E"/>
          <w:sz w:val="24"/>
          <w:szCs w:val="24"/>
        </w:rPr>
        <w:t>We are building the Connected Driver Safety Assistant, a low-cost in-car safety prototype that helps drivers recognise alcohol and fatigue-related risk. Before driving, the user can check whether alcohol risk is present. During driving, the system monitors fatigue or drowsiness indicators and provides clear feedback when risk appears. Instead of giving only a simple beep, the product combines screen prompts, sound/light warning, and voice reminders so the user can understand the reason for the alert. When alcohol risk is detected, the prototype also simulates an ignition-lock response. The connected APP interface gives an additional way to view system status and support basic monitoring or control.</w:t>
      </w:r>
    </w:p>
    <w:p w14:paraId="3E71F024">
      <w:pPr>
        <w:spacing w:before="180" w:after="60" w:line="360" w:lineRule="auto"/>
        <w:rPr>
          <w:rFonts w:hint="default" w:ascii="Calibri" w:hAnsi="Calibri" w:cs="Calibri"/>
          <w:b/>
          <w:bCs/>
          <w:color w:val="0F1F2E"/>
          <w:sz w:val="24"/>
          <w:szCs w:val="24"/>
        </w:rPr>
      </w:pPr>
      <w:r>
        <w:rPr>
          <w:rFonts w:hint="default" w:ascii="Calibri" w:hAnsi="Calibri" w:cs="Calibri"/>
          <w:b/>
          <w:bCs/>
          <w:color w:val="0F1F2E"/>
          <w:sz w:val="24"/>
          <w:szCs w:val="24"/>
        </w:rPr>
        <w:t>Key Features</w:t>
      </w:r>
    </w:p>
    <w:p w14:paraId="2A3BF6FF">
      <w:pPr>
        <w:bidi w:val="0"/>
        <w:spacing w:line="360" w:lineRule="auto"/>
        <w:rPr>
          <w:rFonts w:hint="default"/>
          <w:sz w:val="24"/>
          <w:szCs w:val="24"/>
        </w:rPr>
      </w:pPr>
      <w:r>
        <w:rPr>
          <w:rFonts w:hint="eastAsia" w:eastAsia="宋体"/>
          <w:sz w:val="24"/>
          <w:szCs w:val="24"/>
          <w:lang w:val="en-US" w:eastAsia="zh-CN"/>
        </w:rPr>
        <w:t>·</w:t>
      </w:r>
      <w:r>
        <w:rPr>
          <w:rFonts w:hint="default"/>
          <w:sz w:val="24"/>
          <w:szCs w:val="24"/>
        </w:rPr>
        <w:t>Alcohol risk check — Checks alcohol-related risk before driving.</w:t>
      </w:r>
    </w:p>
    <w:p w14:paraId="39D609E2">
      <w:pPr>
        <w:bidi w:val="0"/>
        <w:spacing w:line="360" w:lineRule="auto"/>
        <w:rPr>
          <w:rFonts w:hint="default"/>
          <w:sz w:val="24"/>
          <w:szCs w:val="24"/>
        </w:rPr>
      </w:pPr>
      <w:r>
        <w:rPr>
          <w:rFonts w:hint="eastAsia" w:eastAsia="宋体"/>
          <w:sz w:val="24"/>
          <w:szCs w:val="24"/>
          <w:lang w:val="en-US" w:eastAsia="zh-CN"/>
        </w:rPr>
        <w:t>·</w:t>
      </w:r>
      <w:r>
        <w:rPr>
          <w:rFonts w:hint="default"/>
          <w:sz w:val="24"/>
          <w:szCs w:val="24"/>
        </w:rPr>
        <w:t>Fatigue and drowsiness monitoring — Monitors long driving time and low-head behaviour during driving.</w:t>
      </w:r>
    </w:p>
    <w:p w14:paraId="1A824CAE">
      <w:pPr>
        <w:bidi w:val="0"/>
        <w:spacing w:line="360" w:lineRule="auto"/>
        <w:rPr>
          <w:rFonts w:hint="default"/>
          <w:sz w:val="24"/>
          <w:szCs w:val="24"/>
        </w:rPr>
      </w:pPr>
      <w:r>
        <w:rPr>
          <w:rFonts w:hint="eastAsia" w:eastAsia="宋体"/>
          <w:sz w:val="24"/>
          <w:szCs w:val="24"/>
          <w:lang w:val="en-US" w:eastAsia="zh-CN"/>
        </w:rPr>
        <w:t>·</w:t>
      </w:r>
      <w:r>
        <w:rPr>
          <w:rFonts w:hint="default"/>
          <w:sz w:val="24"/>
          <w:szCs w:val="24"/>
        </w:rPr>
        <w:t>Multi-modal warning — Uses OLED display, buzzer/LED, and voice reminder to explain alerts.</w:t>
      </w:r>
    </w:p>
    <w:p w14:paraId="19FE3757">
      <w:pPr>
        <w:bidi w:val="0"/>
        <w:spacing w:line="360" w:lineRule="auto"/>
        <w:rPr>
          <w:rFonts w:hint="default"/>
          <w:sz w:val="24"/>
          <w:szCs w:val="24"/>
        </w:rPr>
      </w:pPr>
      <w:r>
        <w:rPr>
          <w:rFonts w:hint="eastAsia" w:eastAsia="宋体"/>
          <w:sz w:val="24"/>
          <w:szCs w:val="24"/>
          <w:lang w:val="en-US" w:eastAsia="zh-CN"/>
        </w:rPr>
        <w:t>·</w:t>
      </w:r>
      <w:r>
        <w:rPr>
          <w:rFonts w:hint="default"/>
          <w:sz w:val="24"/>
          <w:szCs w:val="24"/>
        </w:rPr>
        <w:t>Ignition-lock simulation — Uses a relay output to demonstrate safer control when alcohol risk appears.</w:t>
      </w:r>
    </w:p>
    <w:p w14:paraId="2341A35E">
      <w:pPr>
        <w:bidi w:val="0"/>
        <w:spacing w:line="360" w:lineRule="auto"/>
        <w:rPr>
          <w:rFonts w:hint="default"/>
          <w:sz w:val="24"/>
          <w:szCs w:val="24"/>
        </w:rPr>
      </w:pPr>
      <w:r>
        <w:rPr>
          <w:rFonts w:hint="eastAsia" w:eastAsia="宋体"/>
          <w:sz w:val="24"/>
          <w:szCs w:val="24"/>
          <w:lang w:val="en-US" w:eastAsia="zh-CN"/>
        </w:rPr>
        <w:t>·</w:t>
      </w:r>
      <w:r>
        <w:rPr>
          <w:rFonts w:hint="default"/>
          <w:sz w:val="24"/>
          <w:szCs w:val="24"/>
        </w:rPr>
        <w:t>APP connection — Supports Wi-Fi/Bluetooth monitoring and basic interaction.</w:t>
      </w:r>
    </w:p>
    <w:p w14:paraId="72207EA2">
      <w:pPr>
        <w:pStyle w:val="8"/>
        <w:numPr>
          <w:ilvl w:val="0"/>
          <w:numId w:val="0"/>
        </w:numPr>
        <w:spacing w:after="40" w:line="360" w:lineRule="auto"/>
        <w:ind w:leftChars="0"/>
        <w:rPr>
          <w:rFonts w:hint="default" w:ascii="Calibri" w:hAnsi="Calibri" w:eastAsia="Times New Roman" w:cs="Calibri"/>
          <w:b w:val="0"/>
          <w:bCs w:val="0"/>
          <w:sz w:val="24"/>
          <w:szCs w:val="24"/>
        </w:rPr>
      </w:pPr>
    </w:p>
    <w:p w14:paraId="4E128A01">
      <w:pPr>
        <w:spacing w:before="240" w:after="120" w:line="360" w:lineRule="auto"/>
        <w:rPr>
          <w:rFonts w:hint="default" w:ascii="Calibri" w:hAnsi="Calibri" w:cs="Calibri"/>
          <w:sz w:val="24"/>
          <w:szCs w:val="24"/>
        </w:rPr>
      </w:pPr>
      <w:r>
        <w:rPr>
          <w:rFonts w:hint="default" w:ascii="Calibri" w:hAnsi="Calibri" w:cs="Calibri"/>
          <w:b/>
          <w:bCs/>
          <w:color w:val="0F1F2E"/>
          <w:sz w:val="24"/>
          <w:szCs w:val="24"/>
        </w:rPr>
        <w:t>Section 4 — Success Metrics</w:t>
      </w:r>
    </w:p>
    <w:p w14:paraId="0B0B8A6E">
      <w:pPr>
        <w:spacing w:before="240" w:after="120" w:line="360" w:lineRule="auto"/>
        <w:rPr>
          <w:rFonts w:hint="default" w:ascii="Calibri" w:hAnsi="Calibri" w:cs="Calibri"/>
          <w:b w:val="0"/>
          <w:bCs w:val="0"/>
          <w:color w:val="0F1F2E"/>
          <w:sz w:val="24"/>
          <w:szCs w:val="24"/>
        </w:rPr>
      </w:pPr>
      <w:r>
        <w:rPr>
          <w:rFonts w:hint="default" w:ascii="Calibri" w:hAnsi="Calibri" w:cs="Calibri"/>
          <w:b w:val="0"/>
          <w:bCs w:val="0"/>
          <w:color w:val="0F1F2E"/>
          <w:sz w:val="24"/>
          <w:szCs w:val="24"/>
        </w:rPr>
        <w:t>We will judge success through user-centred and functional testing. The prototype should allow users to understand the alert reason quickly, respond to warnings, and complete the demo journey without confusion.</w:t>
      </w:r>
    </w:p>
    <w:p w14:paraId="6365AE01">
      <w:pPr>
        <w:spacing w:before="240" w:after="120" w:line="360" w:lineRule="auto"/>
        <w:rPr>
          <w:rFonts w:hint="default" w:ascii="Calibri" w:hAnsi="Calibri" w:cs="Calibri"/>
          <w:b w:val="0"/>
          <w:bCs w:val="0"/>
          <w:color w:val="0F1F2E"/>
          <w:sz w:val="24"/>
          <w:szCs w:val="24"/>
        </w:rPr>
      </w:pPr>
      <w:r>
        <w:rPr>
          <w:rFonts w:hint="eastAsia" w:eastAsia="宋体" w:cs="Calibri"/>
          <w:b w:val="0"/>
          <w:bCs w:val="0"/>
          <w:color w:val="0F1F2E"/>
          <w:sz w:val="24"/>
          <w:szCs w:val="24"/>
          <w:lang w:val="en-US" w:eastAsia="zh-CN"/>
        </w:rPr>
        <w:t>·</w:t>
      </w:r>
      <w:r>
        <w:rPr>
          <w:rFonts w:hint="default" w:ascii="Calibri" w:hAnsi="Calibri" w:cs="Calibri"/>
          <w:b w:val="0"/>
          <w:bCs w:val="0"/>
          <w:color w:val="0F1F2E"/>
          <w:sz w:val="24"/>
          <w:szCs w:val="24"/>
        </w:rPr>
        <w:t>At least 4 out of 5 test users can identify the warning reason within 5 seconds.</w:t>
      </w:r>
    </w:p>
    <w:p w14:paraId="31D299C4">
      <w:pPr>
        <w:spacing w:before="240" w:after="120" w:line="360" w:lineRule="auto"/>
        <w:rPr>
          <w:rFonts w:hint="default" w:ascii="Calibri" w:hAnsi="Calibri" w:cs="Calibri"/>
          <w:b w:val="0"/>
          <w:bCs w:val="0"/>
          <w:color w:val="0F1F2E"/>
          <w:sz w:val="24"/>
          <w:szCs w:val="24"/>
        </w:rPr>
      </w:pPr>
      <w:r>
        <w:rPr>
          <w:rFonts w:hint="eastAsia" w:eastAsia="宋体" w:cs="Calibri"/>
          <w:b w:val="0"/>
          <w:bCs w:val="0"/>
          <w:color w:val="0F1F2E"/>
          <w:sz w:val="24"/>
          <w:szCs w:val="24"/>
          <w:lang w:val="en-US" w:eastAsia="zh-CN"/>
        </w:rPr>
        <w:t>·</w:t>
      </w:r>
      <w:r>
        <w:rPr>
          <w:rFonts w:hint="default" w:ascii="Calibri" w:hAnsi="Calibri" w:cs="Calibri"/>
          <w:b w:val="0"/>
          <w:bCs w:val="0"/>
          <w:color w:val="0F1F2E"/>
          <w:sz w:val="24"/>
          <w:szCs w:val="24"/>
        </w:rPr>
        <w:t>Alcohol-risk simulation triggers OLED, buz</w:t>
      </w:r>
      <w:bookmarkStart w:id="0" w:name="_GoBack"/>
      <w:bookmarkEnd w:id="0"/>
      <w:r>
        <w:rPr>
          <w:rFonts w:hint="default" w:ascii="Calibri" w:hAnsi="Calibri" w:cs="Calibri"/>
          <w:b w:val="0"/>
          <w:bCs w:val="0"/>
          <w:color w:val="0F1F2E"/>
          <w:sz w:val="24"/>
          <w:szCs w:val="24"/>
        </w:rPr>
        <w:t>zer/voice warning, and relay lock in at least 80% of test attempts.</w:t>
      </w:r>
    </w:p>
    <w:p w14:paraId="2487349F">
      <w:pPr>
        <w:spacing w:before="240" w:after="120" w:line="360" w:lineRule="auto"/>
        <w:rPr>
          <w:rFonts w:hint="default" w:ascii="Calibri" w:hAnsi="Calibri" w:cs="Calibri"/>
          <w:b w:val="0"/>
          <w:bCs w:val="0"/>
          <w:color w:val="0F1F2E"/>
          <w:sz w:val="24"/>
          <w:szCs w:val="24"/>
        </w:rPr>
      </w:pPr>
      <w:r>
        <w:rPr>
          <w:rFonts w:hint="eastAsia" w:eastAsia="宋体" w:cs="Calibri"/>
          <w:b w:val="0"/>
          <w:bCs w:val="0"/>
          <w:color w:val="0F1F2E"/>
          <w:sz w:val="24"/>
          <w:szCs w:val="24"/>
          <w:lang w:val="en-US" w:eastAsia="zh-CN"/>
        </w:rPr>
        <w:t>·</w:t>
      </w:r>
      <w:r>
        <w:rPr>
          <w:rFonts w:hint="default" w:ascii="Calibri" w:hAnsi="Calibri" w:cs="Calibri"/>
          <w:b w:val="0"/>
          <w:bCs w:val="0"/>
          <w:color w:val="0F1F2E"/>
          <w:sz w:val="24"/>
          <w:szCs w:val="24"/>
        </w:rPr>
        <w:t>Fatigue/drowsiness simulation triggers the correct warning without more than two false alerts during a short demo session.</w:t>
      </w:r>
    </w:p>
    <w:p w14:paraId="601CA490">
      <w:pPr>
        <w:spacing w:before="240" w:after="120" w:line="360" w:lineRule="auto"/>
        <w:rPr>
          <w:rFonts w:hint="default" w:ascii="Calibri" w:hAnsi="Calibri" w:cs="Calibri"/>
          <w:b w:val="0"/>
          <w:bCs w:val="0"/>
          <w:color w:val="0F1F2E"/>
          <w:sz w:val="24"/>
          <w:szCs w:val="24"/>
        </w:rPr>
      </w:pPr>
      <w:r>
        <w:rPr>
          <w:rFonts w:hint="eastAsia" w:eastAsia="宋体" w:cs="Calibri"/>
          <w:b w:val="0"/>
          <w:bCs w:val="0"/>
          <w:color w:val="0F1F2E"/>
          <w:sz w:val="24"/>
          <w:szCs w:val="24"/>
          <w:lang w:val="en-US" w:eastAsia="zh-CN"/>
        </w:rPr>
        <w:t>·</w:t>
      </w:r>
      <w:r>
        <w:rPr>
          <w:rFonts w:hint="default" w:ascii="Calibri" w:hAnsi="Calibri" w:cs="Calibri"/>
          <w:b w:val="0"/>
          <w:bCs w:val="0"/>
          <w:color w:val="0F1F2E"/>
          <w:sz w:val="24"/>
          <w:szCs w:val="24"/>
        </w:rPr>
        <w:t>APP connection can display or control basic system status during final testing.</w:t>
      </w:r>
    </w:p>
    <w:p w14:paraId="0261AA73">
      <w:pPr>
        <w:spacing w:before="240" w:after="120" w:line="360" w:lineRule="auto"/>
        <w:rPr>
          <w:rFonts w:hint="default" w:ascii="Calibri" w:hAnsi="Calibri" w:cs="Calibri"/>
          <w:b w:val="0"/>
          <w:bCs w:val="0"/>
          <w:color w:val="0F1F2E"/>
          <w:sz w:val="24"/>
          <w:szCs w:val="24"/>
        </w:rPr>
      </w:pPr>
      <w:r>
        <w:rPr>
          <w:rFonts w:hint="eastAsia" w:eastAsia="宋体" w:cs="Calibri"/>
          <w:b w:val="0"/>
          <w:bCs w:val="0"/>
          <w:color w:val="0F1F2E"/>
          <w:sz w:val="24"/>
          <w:szCs w:val="24"/>
          <w:lang w:val="en-US" w:eastAsia="zh-CN"/>
        </w:rPr>
        <w:t>·</w:t>
      </w:r>
      <w:r>
        <w:rPr>
          <w:rFonts w:hint="default" w:ascii="Calibri" w:hAnsi="Calibri" w:cs="Calibri"/>
          <w:b w:val="0"/>
          <w:bCs w:val="0"/>
          <w:color w:val="0F1F2E"/>
          <w:sz w:val="24"/>
          <w:szCs w:val="24"/>
        </w:rPr>
        <w:t>At least 4 out of 5 users report that the warning is clear and useful.</w:t>
      </w:r>
    </w:p>
    <w:p w14:paraId="171E32E5">
      <w:pPr>
        <w:spacing w:before="240" w:after="120" w:line="360" w:lineRule="auto"/>
        <w:rPr>
          <w:rFonts w:hint="default" w:ascii="Calibri" w:hAnsi="Calibri" w:cs="Calibri"/>
          <w:b w:val="0"/>
          <w:bCs w:val="0"/>
          <w:color w:val="0F1F2E"/>
          <w:sz w:val="24"/>
          <w:szCs w:val="24"/>
        </w:rPr>
      </w:pPr>
    </w:p>
    <w:p w14:paraId="4DA06509">
      <w:pPr>
        <w:spacing w:before="240" w:after="120" w:line="360" w:lineRule="auto"/>
        <w:rPr>
          <w:rFonts w:hint="default" w:ascii="Calibri" w:hAnsi="Calibri" w:cs="Calibri"/>
          <w:sz w:val="24"/>
          <w:szCs w:val="24"/>
        </w:rPr>
      </w:pPr>
      <w:r>
        <w:rPr>
          <w:rFonts w:hint="default" w:ascii="Calibri" w:hAnsi="Calibri" w:cs="Calibri"/>
          <w:b/>
          <w:bCs/>
          <w:color w:val="0F1F2E"/>
          <w:sz w:val="24"/>
          <w:szCs w:val="24"/>
        </w:rPr>
        <w:t>Development Log Link</w:t>
      </w:r>
    </w:p>
    <w:p w14:paraId="671860D9">
      <w:pPr>
        <w:spacing w:before="120" w:after="120" w:line="360" w:lineRule="auto"/>
        <w:rPr>
          <w:rFonts w:hint="default" w:ascii="Calibri" w:hAnsi="Calibri" w:cs="Calibri"/>
          <w:b/>
          <w:bCs/>
          <w:sz w:val="24"/>
          <w:szCs w:val="24"/>
        </w:rPr>
      </w:pPr>
      <w:r>
        <w:rPr>
          <w:rFonts w:hint="default" w:ascii="Calibri" w:hAnsi="Calibri" w:cs="Calibri"/>
          <w:b/>
          <w:bCs/>
          <w:sz w:val="24"/>
          <w:szCs w:val="24"/>
        </w:rPr>
        <w:t>Development Log (SharePoint):</w:t>
      </w:r>
    </w:p>
    <w:p w14:paraId="44686B0A">
      <w:pPr>
        <w:spacing w:before="120" w:after="120" w:line="360" w:lineRule="auto"/>
        <w:rPr>
          <w:rFonts w:hint="default" w:ascii="Calibri" w:hAnsi="Calibri" w:cs="Calibri"/>
          <w:b w:val="0"/>
          <w:bCs w:val="0"/>
          <w:i/>
          <w:iCs/>
          <w:color w:val="999999"/>
          <w:sz w:val="24"/>
          <w:szCs w:val="24"/>
        </w:rPr>
      </w:pPr>
      <w:r>
        <w:rPr>
          <w:rFonts w:hint="default" w:ascii="Calibri" w:hAnsi="Calibri" w:cs="Calibri"/>
          <w:b w:val="0"/>
          <w:bCs w:val="0"/>
          <w:sz w:val="24"/>
          <w:szCs w:val="24"/>
        </w:rPr>
        <w:t xml:space="preserve"> https://xjtlums-my.sharepoint.com/:w:/g/personal/yutong_yao2302_student_xjtlu_edu_cn/IQA9No82RoWiTYbAAEjEQjSwAdv1mXfw5gG2sSa5pShJJsw?e=BeJcKH</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AF84E">
    <w:pPr>
      <w:jc w:val="center"/>
    </w:pPr>
    <w:r>
      <w:rPr>
        <w:color w:val="999999"/>
        <w:sz w:val="16"/>
        <w:szCs w:val="16"/>
      </w:rPr>
      <w:t xml:space="preserve">Page </w:t>
    </w:r>
    <w:r>
      <w:rPr>
        <w:color w:val="999999"/>
        <w:sz w:val="16"/>
        <w:szCs w:val="16"/>
      </w:rPr>
      <w:fldChar w:fldCharType="begin"/>
    </w:r>
    <w:r>
      <w:rPr>
        <w:color w:val="999999"/>
        <w:sz w:val="16"/>
        <w:szCs w:val="16"/>
      </w:rPr>
      <w:instrText xml:space="preserve">PAGE</w:instrText>
    </w:r>
    <w:r>
      <w:rPr>
        <w:color w:val="999999"/>
        <w:sz w:val="16"/>
        <w:szCs w:val="16"/>
      </w:rPr>
      <w:fldChar w:fldCharType="separate"/>
    </w:r>
    <w:r>
      <w:rPr>
        <w:color w:val="999999"/>
        <w:sz w:val="16"/>
        <w:szCs w:val="16"/>
      </w:rPr>
      <w:t>2</w:t>
    </w:r>
    <w:r>
      <w:rPr>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3A1FB">
    <w:r>
      <w:rPr>
        <w:b/>
        <w:bCs/>
        <w:color w:val="666666"/>
        <w:sz w:val="16"/>
        <w:szCs w:val="16"/>
      </w:rPr>
      <w:t>ENT208TC</w:t>
    </w:r>
    <w:r>
      <w:rPr>
        <w:color w:val="999999"/>
        <w:sz w:val="16"/>
        <w:szCs w:val="16"/>
      </w:rPr>
      <w:t xml:space="preserve"> —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E47BB3"/>
    <w:multiLevelType w:val="singleLevel"/>
    <w:tmpl w:val="32E47BB3"/>
    <w:lvl w:ilvl="0" w:tentative="0">
      <w:start w:val="1"/>
      <w:numFmt w:val="bullet"/>
      <w:pStyle w:val="8"/>
      <w:lvlText w:val=""/>
      <w:lvlJc w:val="left"/>
      <w:pPr>
        <w:tabs>
          <w:tab w:val="left" w:pos="360"/>
        </w:tabs>
        <w:ind w:left="360" w:hanging="360"/>
      </w:pPr>
      <w:rPr>
        <w:rFonts w:hint="default" w:ascii="Wingdings" w:hAnsi="Wingdings"/>
      </w:rPr>
    </w:lvl>
  </w:abstractNum>
  <w:abstractNum w:abstractNumId="1">
    <w:nsid w:val="4E5F52D9"/>
    <w:multiLevelType w:val="multilevel"/>
    <w:tmpl w:val="4E5F52D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63C"/>
    <w:rsid w:val="00034D8A"/>
    <w:rsid w:val="00093010"/>
    <w:rsid w:val="000A063C"/>
    <w:rsid w:val="005B5D4A"/>
    <w:rsid w:val="00ED44AE"/>
    <w:rsid w:val="03271B39"/>
    <w:rsid w:val="0CF93AD9"/>
    <w:rsid w:val="0F8019BE"/>
    <w:rsid w:val="14B97E8C"/>
    <w:rsid w:val="19584A22"/>
    <w:rsid w:val="1A18186E"/>
    <w:rsid w:val="1C8F7A67"/>
    <w:rsid w:val="21A80913"/>
    <w:rsid w:val="2BBF4052"/>
    <w:rsid w:val="35C93BCD"/>
    <w:rsid w:val="42F8776E"/>
    <w:rsid w:val="45E325BC"/>
    <w:rsid w:val="47D66741"/>
    <w:rsid w:val="53427D28"/>
    <w:rsid w:val="58140590"/>
    <w:rsid w:val="63A42106"/>
    <w:rsid w:val="69E228CC"/>
    <w:rsid w:val="6DE8785D"/>
    <w:rsid w:val="6E992F04"/>
    <w:rsid w:val="726E34C9"/>
    <w:rsid w:val="76592B3A"/>
    <w:rsid w:val="7807154E"/>
    <w:rsid w:val="7843265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lang w:val="zh-CN" w:eastAsia="zh-CN" w:bidi="ar-SA"/>
    </w:rPr>
  </w:style>
  <w:style w:type="paragraph" w:styleId="2">
    <w:name w:val="heading 1"/>
    <w:qFormat/>
    <w:uiPriority w:val="9"/>
    <w:pPr>
      <w:outlineLvl w:val="0"/>
    </w:pPr>
    <w:rPr>
      <w:rFonts w:ascii="Calibri" w:hAnsi="Calibri" w:eastAsia="Calibri" w:cs="Calibri"/>
      <w:color w:val="2E74B5"/>
      <w:sz w:val="32"/>
      <w:szCs w:val="32"/>
      <w:lang w:val="zh-CN" w:eastAsia="zh-CN" w:bidi="ar-SA"/>
    </w:rPr>
  </w:style>
  <w:style w:type="paragraph" w:styleId="3">
    <w:name w:val="heading 2"/>
    <w:semiHidden/>
    <w:unhideWhenUsed/>
    <w:qFormat/>
    <w:uiPriority w:val="9"/>
    <w:pPr>
      <w:outlineLvl w:val="1"/>
    </w:pPr>
    <w:rPr>
      <w:rFonts w:ascii="Calibri" w:hAnsi="Calibri" w:eastAsia="Calibri" w:cs="Calibri"/>
      <w:color w:val="2E74B5"/>
      <w:sz w:val="26"/>
      <w:szCs w:val="26"/>
      <w:lang w:val="zh-CN" w:eastAsia="zh-CN" w:bidi="ar-SA"/>
    </w:rPr>
  </w:style>
  <w:style w:type="paragraph" w:styleId="4">
    <w:name w:val="heading 3"/>
    <w:semiHidden/>
    <w:unhideWhenUsed/>
    <w:qFormat/>
    <w:uiPriority w:val="9"/>
    <w:pPr>
      <w:outlineLvl w:val="2"/>
    </w:pPr>
    <w:rPr>
      <w:rFonts w:ascii="Calibri" w:hAnsi="Calibri" w:eastAsia="Calibri" w:cs="Calibri"/>
      <w:color w:val="1F4D78"/>
      <w:sz w:val="24"/>
      <w:szCs w:val="24"/>
      <w:lang w:val="zh-CN" w:eastAsia="zh-CN" w:bidi="ar-SA"/>
    </w:rPr>
  </w:style>
  <w:style w:type="paragraph" w:styleId="5">
    <w:name w:val="heading 4"/>
    <w:semiHidden/>
    <w:unhideWhenUsed/>
    <w:qFormat/>
    <w:uiPriority w:val="9"/>
    <w:pPr>
      <w:outlineLvl w:val="3"/>
    </w:pPr>
    <w:rPr>
      <w:rFonts w:ascii="Calibri" w:hAnsi="Calibri" w:eastAsia="Calibri" w:cs="Calibri"/>
      <w:i/>
      <w:iCs/>
      <w:color w:val="2E74B5"/>
      <w:sz w:val="24"/>
      <w:szCs w:val="24"/>
      <w:lang w:val="zh-CN" w:eastAsia="zh-CN" w:bidi="ar-SA"/>
    </w:rPr>
  </w:style>
  <w:style w:type="paragraph" w:styleId="6">
    <w:name w:val="heading 5"/>
    <w:semiHidden/>
    <w:unhideWhenUsed/>
    <w:qFormat/>
    <w:uiPriority w:val="9"/>
    <w:pPr>
      <w:outlineLvl w:val="4"/>
    </w:pPr>
    <w:rPr>
      <w:rFonts w:ascii="Calibri" w:hAnsi="Calibri" w:eastAsia="Calibri" w:cs="Calibri"/>
      <w:color w:val="2E74B5"/>
      <w:sz w:val="24"/>
      <w:szCs w:val="24"/>
      <w:lang w:val="zh-CN" w:eastAsia="zh-CN" w:bidi="ar-SA"/>
    </w:rPr>
  </w:style>
  <w:style w:type="paragraph" w:styleId="7">
    <w:name w:val="heading 6"/>
    <w:semiHidden/>
    <w:unhideWhenUsed/>
    <w:qFormat/>
    <w:uiPriority w:val="9"/>
    <w:pPr>
      <w:outlineLvl w:val="5"/>
    </w:pPr>
    <w:rPr>
      <w:rFonts w:ascii="Calibri" w:hAnsi="Calibri" w:eastAsia="Calibri" w:cs="Calibri"/>
      <w:color w:val="1F4D78"/>
      <w:sz w:val="24"/>
      <w:szCs w:val="24"/>
      <w:lang w:val="zh-CN" w:eastAsia="zh-CN" w:bidi="ar-SA"/>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8">
    <w:name w:val="List Bullet"/>
    <w:basedOn w:val="1"/>
    <w:semiHidden/>
    <w:unhideWhenUsed/>
    <w:uiPriority w:val="99"/>
    <w:pPr>
      <w:numPr>
        <w:ilvl w:val="0"/>
        <w:numId w:val="1"/>
      </w:numPr>
    </w:pPr>
  </w:style>
  <w:style w:type="paragraph" w:styleId="9">
    <w:name w:val="endnote text"/>
    <w:link w:val="22"/>
    <w:semiHidden/>
    <w:unhideWhenUsed/>
    <w:uiPriority w:val="99"/>
    <w:rPr>
      <w:rFonts w:ascii="Calibri" w:hAnsi="Calibri" w:eastAsia="Calibri" w:cs="Calibri"/>
      <w:sz w:val="20"/>
      <w:szCs w:val="20"/>
      <w:lang w:val="zh-CN" w:eastAsia="zh-CN" w:bidi="ar-SA"/>
    </w:rPr>
  </w:style>
  <w:style w:type="paragraph" w:styleId="10">
    <w:name w:val="footnote text"/>
    <w:link w:val="21"/>
    <w:semiHidden/>
    <w:unhideWhenUsed/>
    <w:uiPriority w:val="99"/>
    <w:rPr>
      <w:rFonts w:ascii="Calibri" w:hAnsi="Calibri" w:eastAsia="Calibri" w:cs="Calibri"/>
      <w:sz w:val="20"/>
      <w:szCs w:val="20"/>
      <w:lang w:val="zh-CN" w:eastAsia="zh-CN" w:bidi="ar-SA"/>
    </w:rPr>
  </w:style>
  <w:style w:type="paragraph" w:styleId="11">
    <w:name w:val="Normal (Web)"/>
    <w:basedOn w:val="1"/>
    <w:semiHidden/>
    <w:unhideWhenUsed/>
    <w:qFormat/>
    <w:uiPriority w:val="99"/>
    <w:rPr>
      <w:sz w:val="24"/>
    </w:rPr>
  </w:style>
  <w:style w:type="paragraph" w:styleId="12">
    <w:name w:val="Title"/>
    <w:qFormat/>
    <w:uiPriority w:val="10"/>
    <w:rPr>
      <w:rFonts w:ascii="Calibri" w:hAnsi="Calibri" w:eastAsia="Calibri" w:cs="Calibri"/>
      <w:sz w:val="56"/>
      <w:szCs w:val="56"/>
      <w:lang w:val="zh-CN" w:eastAsia="zh-CN" w:bidi="ar-SA"/>
    </w:rPr>
  </w:style>
  <w:style w:type="character" w:styleId="15">
    <w:name w:val="Strong"/>
    <w:basedOn w:val="14"/>
    <w:qFormat/>
    <w:uiPriority w:val="22"/>
    <w:rPr>
      <w:b/>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customStyle="1" w:styleId="19">
    <w:name w:val="Strong1"/>
    <w:qFormat/>
    <w:uiPriority w:val="0"/>
    <w:rPr>
      <w:rFonts w:ascii="Calibri" w:hAnsi="Calibri" w:eastAsia="Calibri" w:cs="Calibri"/>
      <w:b/>
      <w:bCs/>
      <w:sz w:val="24"/>
      <w:szCs w:val="24"/>
      <w:lang w:val="zh-CN" w:eastAsia="zh-CN" w:bidi="ar-SA"/>
    </w:rPr>
  </w:style>
  <w:style w:type="paragraph" w:styleId="20">
    <w:name w:val="List Paragraph"/>
    <w:qFormat/>
    <w:uiPriority w:val="0"/>
    <w:rPr>
      <w:rFonts w:ascii="Calibri" w:hAnsi="Calibri" w:eastAsia="Calibri" w:cs="Calibri"/>
      <w:sz w:val="24"/>
      <w:szCs w:val="24"/>
      <w:lang w:val="zh-CN" w:eastAsia="zh-CN" w:bidi="ar-SA"/>
    </w:rPr>
  </w:style>
  <w:style w:type="character" w:customStyle="1" w:styleId="21">
    <w:name w:val="Footnote Text Char"/>
    <w:link w:val="10"/>
    <w:semiHidden/>
    <w:unhideWhenUsed/>
    <w:qFormat/>
    <w:uiPriority w:val="99"/>
    <w:rPr>
      <w:sz w:val="20"/>
      <w:szCs w:val="20"/>
    </w:rPr>
  </w:style>
  <w:style w:type="character" w:customStyle="1" w:styleId="22">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718</Words>
  <Characters>3990</Characters>
  <Lines>19</Lines>
  <Paragraphs>5</Paragraphs>
  <TotalTime>1</TotalTime>
  <ScaleCrop>false</ScaleCrop>
  <LinksUpToDate>false</LinksUpToDate>
  <CharactersWithSpaces>4642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2026-03-20T00:11:00Z</dcterms:created>
  <dc:creator>Un-named</dc:creator>
  <cp:lastModifiedBy>吾同</cp:lastModifiedBy>
  <dcterms:modified xsi:type="dcterms:W3CDTF">2026-05-13T14:13:16Z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0B3214330D1940B3A132308527F77F3F_13</vt:lpwstr>
  </property>
  <property fmtid="{D5CDD505-2E9C-101B-9397-08002B2CF9AE}" pid="4" name="KSOTemplateDocerSaveRecord">
    <vt:lpwstr>eyJoZGlkIjoiNGVhYTgyYzk2NTRhYTQ0M2ZiNDAzNmU4OTVhNzYxMTciLCJ1c2VySWQiOiI3MDU3Mjc5MTAifQ==</vt:lpwstr>
  </property>
</Properties>
</file>