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8324F"/>
          <w:sz w:val="36"/>
        </w:rPr>
        <w:t>Social Generative Interfaces as Co-Designers</w:t>
      </w:r>
    </w:p>
    <w:p>
      <w:pPr>
        <w:pStyle w:val="Subtitle"/>
      </w:pPr>
      <w:r>
        <w:rPr>
          <w:rFonts w:ascii="Calibri" w:hAnsi="Calibri"/>
          <w:color w:val="565D65"/>
          <w:sz w:val="16"/>
        </w:rPr>
        <w:t>Independent Study Proposal  ·  CASA, Generative UI, and Agentic Interaction</w:t>
      </w:r>
    </w:p>
    <w:p>
      <w:pPr>
        <w:pStyle w:val="CompactMetadata"/>
        <w:pBdr>
          <w:bottom w:val="single" w:sz="6" w:space="3" w:color="D8DDE3"/>
        </w:pBdr>
      </w:pPr>
      <w:r>
        <w:rPr>
          <w:rFonts w:ascii="Calibri" w:hAnsi="Calibri"/>
          <w:color w:val="565D65"/>
          <w:sz w:val="16"/>
        </w:rPr>
        <w:t>Student: ____________________   ·   Faculty supervisor: Professor José Sánchez   ·   Fall 2026   ·   Target: mid-December   ·   Testbed: EVA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Project premise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Investigate how CASA (Computers Are Social Actors) changes when the social actor is not only a voice or character, but a voice-enabled agent and its dynamically generated workspace acting as one entity.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Use EVA to study a system that listens, displays affective behavior, retrieves remembered preferences, and constructs or revises task-specific interfaces in real time.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 xml:space="preserve">Treat EVA's apparent emotion as </w:t>
      </w:r>
      <w:r>
        <w:rPr>
          <w:rFonts w:ascii="Calibri" w:hAnsi="Calibri"/>
          <w:b/>
          <w:color w:val="1A1E22"/>
          <w:sz w:val="19"/>
        </w:rPr>
        <w:t>bounded computational affect</w:t>
      </w:r>
      <w:r>
        <w:rPr>
          <w:rFonts w:ascii="Calibri" w:hAnsi="Calibri"/>
          <w:color w:val="1A1E22"/>
          <w:sz w:val="19"/>
        </w:rPr>
        <w:t xml:space="preserve"> expressed through voice, language, timing, memory, motion, and eye behavior; the study examines human interpretation rather than claiming machine sentience.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Connect three design layers: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b/>
          <w:color w:val="1A1E22"/>
          <w:sz w:val="19"/>
        </w:rPr>
        <w:t>Relational:</w:t>
      </w:r>
      <w:r>
        <w:rPr>
          <w:rFonts w:ascii="Calibri" w:hAnsi="Calibri"/>
          <w:color w:val="1A1E22"/>
          <w:sz w:val="19"/>
        </w:rPr>
        <w:t xml:space="preserve"> voice, social eye, affect, personality, turn-taking, and shared history.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b/>
          <w:color w:val="1A1E22"/>
          <w:sz w:val="19"/>
        </w:rPr>
        <w:t>Generative:</w:t>
      </w:r>
      <w:r>
        <w:rPr>
          <w:rFonts w:ascii="Calibri" w:hAnsi="Calibri"/>
          <w:color w:val="1A1E22"/>
          <w:sz w:val="19"/>
        </w:rPr>
        <w:t xml:space="preserve"> constrained components, layouts, semantic revisions, and temporal continuity.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b/>
          <w:color w:val="1A1E22"/>
          <w:sz w:val="19"/>
        </w:rPr>
        <w:t>Constitutional:</w:t>
      </w:r>
      <w:r>
        <w:rPr>
          <w:rFonts w:ascii="Calibri" w:hAnsi="Calibri"/>
          <w:color w:val="1A1E22"/>
          <w:sz w:val="19"/>
        </w:rPr>
        <w:t xml:space="preserve"> provenance, reversible interaction, inspectable memory, deterministic permissions, and safety-owned controls.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Extend Sánchez's research on generative interfaces, combinatorial systems, and player design agency into human-AI co-design.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Primary research question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How does embodying a constrained generative UI system as a voice-enabled, emotionally expressive social co-designer, rather than an instrumental generator, affect users' perceived shared authorship during iterative dashboard creation?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Supporting questions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What component, layout, and revision rules let EVA conversationally extend an interface without disrupting visual or interaction continuity?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How do voice, eye behavior, remembered preferences, conversational timing, and affect make EVA and its workspace appear to be one social actor?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How can social expression coexist with calibrated reliance, inspectable provenance, user control, and safety boundaries?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Intended contributions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 CASA-informed design framework for generative interfaces that operate as social co-designers.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 constrained generative UI grammar for task-specific, conversationally revised dashboards.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An agentic interaction model supporting voice, semantic direct manipulation, memory, interruption, and reversible revisions.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 trust-and-safety model separating expressive generated UI from deterministic authority and safety-owned controls.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Empirical evidence about shared authorship, trust and reliance, personality or intent attribution, and task support.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Prototype and conditions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Build two mocked workflows using the same component grammar: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color w:val="1A1E22"/>
          <w:sz w:val="19"/>
        </w:rPr>
        <w:t>a seven-day weather dashboard that can add wind, comparison, or detail layers;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color w:val="1A1E22"/>
          <w:sz w:val="19"/>
        </w:rPr>
        <w:t>a calendar-planning dashboard that can reorganize commitments and priorities.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Demonstrate the interaction loop: voice activation, social eye, visible generation, initial dashboard, conversational revision, real-time interface patch, and explicit conversational closure.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Visualize retrieval across inspectable memory regions: episodic, semantic, preference, relational, affective, identity, and procedural memory.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Compare two functionally equivalent conditions: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b/>
          <w:color w:val="1A1E22"/>
          <w:sz w:val="19"/>
        </w:rPr>
        <w:t>Relational co-designer:</w:t>
      </w:r>
      <w:r>
        <w:rPr>
          <w:rFonts w:ascii="Calibri" w:hAnsi="Calibri"/>
          <w:color w:val="1A1E22"/>
          <w:sz w:val="19"/>
        </w:rPr>
        <w:t xml:space="preserve"> affective voice delivery, social eye behavior, collaborative language, interpreted-intent explanations, and references to shared memory.</w:t>
      </w:r>
    </w:p>
    <w:p>
      <w:pPr>
        <w:keepLines/>
        <w:widowControl/>
        <w:numPr>
          <w:ilvl w:val="1"/>
          <w:numId w:val="10"/>
        </w:numPr>
      </w:pPr>
      <w:r>
        <w:rPr>
          <w:rFonts w:ascii="Calibri" w:hAnsi="Calibri"/>
          <w:b/>
          <w:color w:val="1A1E22"/>
          <w:sz w:val="19"/>
        </w:rPr>
        <w:t>Instrumental generator:</w:t>
      </w:r>
      <w:r>
        <w:rPr>
          <w:rFonts w:ascii="Calibri" w:hAnsi="Calibri"/>
          <w:color w:val="1A1E22"/>
          <w:sz w:val="19"/>
        </w:rPr>
        <w:t xml:space="preserve"> the same voice identity, data, capabilities, memory, grammar, and response timing, but functional language, nonsocial status behavior, and silent preference application.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Treat relational framing as one bundled condition. The study will not claim to isolate the individual effects of voice, sarcasm, eye behavior, memory, or affect.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Retain restrained sarcasm as part of the relational prototype while flagging cultural and linguistic variability; later study materials will consider literal wit, warm understatement, adjustable sarcasm, and non-ironic alternatives.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Study design and measures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Plan a counterbalanced within-subject comparison using the weather and planning tasks; finalize recruitment and sample size with faculty and institutional human-subject guidance.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Hold functionality, generated results, voice identity, timing, visual grammar, and memory capability constant across conditions.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Primary outcome:</w:t>
      </w:r>
      <w:r>
        <w:rPr>
          <w:rFonts w:ascii="Calibri" w:hAnsi="Calibri"/>
          <w:color w:val="1A1E22"/>
          <w:sz w:val="19"/>
        </w:rPr>
        <w:t xml:space="preserve"> perceived shared authorship and co-agency over the resulting interface.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Secondary outcomes:</w:t>
      </w:r>
      <w:r>
        <w:rPr>
          <w:rFonts w:ascii="Calibri" w:hAnsi="Calibri"/>
          <w:color w:val="1A1E22"/>
          <w:sz w:val="19"/>
        </w:rPr>
        <w:t xml:space="preserve"> perceived control, task success, trust and reliance, personality or intent attribution, willingness to accept revisions, and correction behavior.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Collect post-condition scales, interaction logs, generated-artifact comparisons, and semi-structured interview responses.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Use synthetic data and no production account access or consequential device actions.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Obtain required institutional approval before recruitment; if timing delays recruitment, complete a faculty-reviewed pilot and submission-ready study protocol without weakening the prototype deliverable.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Trust-and-safety requirements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Generate validated declarative UI data rather than executable model-generated code.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Apply identical deterministic safety policy to both experimental conditions.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Keep provenance, uncertainty, memory use, and revision history inspectable.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Prevent personality, eye behavior, or generated cards from imitating or weakening safety-owned confirmation surfaces.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Treat silence as no further request, never as approval or satisfaction.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Allow users to interrupt, reject, correct, rewind, or dismiss EVA without emotional pressure or loss of control.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Prohibit sarcasm during uncertainty, failure, privacy, distress, confirmation, or security events.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Semester curriculum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Weeks 1-2:</w:t>
      </w:r>
      <w:r>
        <w:rPr>
          <w:rFonts w:ascii="Calibri" w:hAnsi="Calibri"/>
          <w:color w:val="1A1E22"/>
          <w:sz w:val="19"/>
        </w:rPr>
        <w:t xml:space="preserve"> CASA, affective computing, mixed-initiative interaction, generative design, agentic UI, and trust literature; finalize constructs and protocol.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Weeks 3-4:</w:t>
      </w:r>
      <w:r>
        <w:rPr>
          <w:rFonts w:ascii="Calibri" w:hAnsi="Calibri"/>
          <w:color w:val="1A1E22"/>
          <w:sz w:val="19"/>
        </w:rPr>
        <w:t xml:space="preserve"> Define the three-layer framework, component ontology, UI schema, affect rules, memory regions, and safety invariants.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Weeks 5-7:</w:t>
      </w:r>
      <w:r>
        <w:rPr>
          <w:rFonts w:ascii="Calibri" w:hAnsi="Calibri"/>
          <w:color w:val="1A1E22"/>
          <w:sz w:val="19"/>
        </w:rPr>
        <w:t xml:space="preserve"> Implement weather and calendar workflows, voice and eye behavior, progressive generation, semantic revision, and simulated memory.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 8:</w:t>
      </w:r>
      <w:r>
        <w:rPr>
          <w:rFonts w:ascii="Calibri" w:hAnsi="Calibri"/>
          <w:color w:val="1A1E22"/>
          <w:sz w:val="19"/>
        </w:rPr>
        <w:t xml:space="preserve"> Integrate both research conditions; conduct faculty and lab critique.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 9:</w:t>
      </w:r>
      <w:r>
        <w:rPr>
          <w:rFonts w:ascii="Calibri" w:hAnsi="Calibri"/>
          <w:color w:val="1A1E22"/>
          <w:sz w:val="19"/>
        </w:rPr>
        <w:t xml:space="preserve"> Pilot the tasks, instruments, logs, and interview guide; freeze the study protocol and complete required ethics steps.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Weeks 10-11:</w:t>
      </w:r>
      <w:r>
        <w:rPr>
          <w:rFonts w:ascii="Calibri" w:hAnsi="Calibri"/>
          <w:color w:val="1A1E22"/>
          <w:sz w:val="19"/>
        </w:rPr>
        <w:t xml:space="preserve"> Conduct the participant study, subject to approval, while maintaining anonymized research records.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 12:</w:t>
      </w:r>
      <w:r>
        <w:rPr>
          <w:rFonts w:ascii="Calibri" w:hAnsi="Calibri"/>
          <w:color w:val="1A1E22"/>
          <w:sz w:val="19"/>
        </w:rPr>
        <w:t xml:space="preserve"> Analyze quantitative, behavioral, artifact, and interview evidence; document limitations and counterevidence.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Weeks 13-14:</w:t>
      </w:r>
      <w:r>
        <w:rPr>
          <w:rFonts w:ascii="Calibri" w:hAnsi="Calibri"/>
          <w:color w:val="1A1E22"/>
          <w:sz w:val="19"/>
        </w:rPr>
        <w:t xml:space="preserve"> Finalize the design framework, constrained grammar, prototype, conference-style manuscript, recorded demonstration, and presentation.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Deliverables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Annotated bibliography, precedent matrix, research protocol, and study instruments.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8324F"/>
          <w:sz w:val="19"/>
        </w:rPr>
        <w:t>GENERATIVE_UI_DESIGN.md</w:t>
      </w:r>
      <w:r>
        <w:rPr>
          <w:rFonts w:ascii="Calibri" w:hAnsi="Calibri"/>
          <w:color w:val="1A1E22"/>
          <w:sz w:val="19"/>
        </w:rPr>
        <w:t>: framework, grammar, components, affect, memory, motion, trust states, safety rules, and anti-patterns.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Versioned declarative UI schema, mocked datasets, and interactive two-task EVA prototype.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Participant-study results with anonymized data, analysis materials, limitations, and design recommendations, subject to institutional policy.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Conference-style manuscript prepared for later revision and potential submission to CHI or another appropriate HCI venue; acceptance or deadline alignment is not assumed.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Portfolio-ready recorded demonstration, final presentation, and concise resume project description.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Assessment proposal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15%</w:t>
      </w:r>
      <w:r>
        <w:rPr>
          <w:rFonts w:ascii="Calibri" w:hAnsi="Calibri"/>
          <w:color w:val="1A1E22"/>
          <w:sz w:val="19"/>
        </w:rPr>
        <w:t xml:space="preserve"> research foundation and precedent synthesis.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20%</w:t>
      </w:r>
      <w:r>
        <w:rPr>
          <w:rFonts w:ascii="Calibri" w:hAnsi="Calibri"/>
          <w:color w:val="1A1E22"/>
          <w:sz w:val="19"/>
        </w:rPr>
        <w:t xml:space="preserve"> CASA-informed framework and constrained UI grammar.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25%</w:t>
      </w:r>
      <w:r>
        <w:rPr>
          <w:rFonts w:ascii="Calibri" w:hAnsi="Calibri"/>
          <w:color w:val="1A1E22"/>
          <w:sz w:val="19"/>
        </w:rPr>
        <w:t xml:space="preserve"> iterative prototypes and integrated two-task system.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20%</w:t>
      </w:r>
      <w:r>
        <w:rPr>
          <w:rFonts w:ascii="Calibri" w:hAnsi="Calibri"/>
          <w:color w:val="1A1E22"/>
          <w:sz w:val="19"/>
        </w:rPr>
        <w:t xml:space="preserve"> participant-study design, execution, and analysis.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15%</w:t>
      </w:r>
      <w:r>
        <w:rPr>
          <w:rFonts w:ascii="Calibri" w:hAnsi="Calibri"/>
          <w:color w:val="1A1E22"/>
          <w:sz w:val="19"/>
        </w:rPr>
        <w:t xml:space="preserve"> conference-style manuscript and critical reflection.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5%</w:t>
      </w:r>
      <w:r>
        <w:rPr>
          <w:rFonts w:ascii="Calibri" w:hAnsi="Calibri"/>
          <w:color w:val="1A1E22"/>
          <w:sz w:val="19"/>
        </w:rPr>
        <w:t xml:space="preserve"> final presentation and recorded demonstration.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Scope and interpretation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 xml:space="preserve">Focus on the research surface of </w:t>
      </w:r>
      <w:r>
        <w:rPr>
          <w:rFonts w:ascii="Calibri" w:hAnsi="Calibri"/>
          <w:b/>
          <w:color w:val="18324F"/>
          <w:sz w:val="19"/>
        </w:rPr>
        <w:t>EVA's planning document</w:t>
      </w:r>
      <w:r>
        <w:rPr>
          <w:rFonts w:ascii="Calibri" w:hAnsi="Calibri"/>
          <w:color w:val="1A1E22"/>
          <w:sz w:val="19"/>
        </w:rPr>
        <w:t>; full backend completion, production connectors, unrestricted device control, and Live2D integration remain outside the semester scope.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Do not claim that EVA experiences subjective emotion; study how users interpret and respond to computational affect.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Do not generalize the bundled relational comparison into causal claims about individual personality cues.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Treat personal-use personality preferences as product configuration, not research evidence.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color w:val="1A1E22"/>
          <w:sz w:val="19"/>
        </w:rPr>
        <w:t>Present the resulting framework as provisional beyond the tested weather and planning workflows.</w:t>
      </w:r>
    </w:p>
    <w:p>
      <w:pPr>
        <w:pStyle w:val="Heading1"/>
      </w:pPr>
      <w:r>
        <w:rPr>
          <w:rFonts w:ascii="Calibri" w:hAnsi="Calibri"/>
          <w:color w:val="18324F"/>
          <w:sz w:val="21"/>
        </w:rPr>
        <w:t>Initial references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CASA:</w:t>
      </w:r>
      <w:r>
        <w:rPr>
          <w:rFonts w:ascii="Calibri" w:hAnsi="Calibri"/>
          <w:color w:val="1A1E22"/>
          <w:sz w:val="19"/>
        </w:rPr>
        <w:t xml:space="preserve"> Nass, Steuer, and Tauber, </w:t>
      </w:r>
      <w:hyperlink r:id="rId11">
        <w:r>
          <w:rPr>
            <w:rFonts w:ascii="Calibri" w:hAnsi="Calibri"/>
            <w:color w:val="1D5E8C"/>
            <w:u w:val="single"/>
            <w:sz w:val="19"/>
            <w:szCs w:val="19"/>
          </w:rPr>
          <w:t>Computers Are Social Actors</w:t>
        </w:r>
      </w:hyperlink>
      <w:r>
        <w:rPr>
          <w:rFonts w:ascii="Calibri" w:hAnsi="Calibri"/>
          <w:color w:val="1A1E22"/>
          <w:sz w:val="19"/>
        </w:rPr>
        <w:t xml:space="preserve">, CHI 1994; Nass and Moon, </w:t>
      </w:r>
      <w:hyperlink r:id="rId12">
        <w:r>
          <w:rPr>
            <w:rFonts w:ascii="Calibri" w:hAnsi="Calibri"/>
            <w:color w:val="1D5E8C"/>
            <w:u w:val="single"/>
            <w:sz w:val="19"/>
            <w:szCs w:val="19"/>
          </w:rPr>
          <w:t>Machines and Mindlessness</w:t>
        </w:r>
      </w:hyperlink>
      <w:r>
        <w:rPr>
          <w:rFonts w:ascii="Calibri" w:hAnsi="Calibri"/>
          <w:color w:val="1A1E22"/>
          <w:sz w:val="19"/>
        </w:rPr>
        <w:t>, 2000.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Affect and mixed initiative:</w:t>
      </w:r>
      <w:r>
        <w:rPr>
          <w:rFonts w:ascii="Calibri" w:hAnsi="Calibri"/>
          <w:color w:val="1A1E22"/>
          <w:sz w:val="19"/>
        </w:rPr>
        <w:t xml:space="preserve"> Picard, </w:t>
      </w:r>
      <w:hyperlink r:id="rId13">
        <w:r>
          <w:rPr>
            <w:rFonts w:ascii="Calibri" w:hAnsi="Calibri"/>
            <w:color w:val="1D5E8C"/>
            <w:u w:val="single"/>
            <w:sz w:val="19"/>
            <w:szCs w:val="19"/>
          </w:rPr>
          <w:t>Affective Computing</w:t>
        </w:r>
      </w:hyperlink>
      <w:r>
        <w:rPr>
          <w:rFonts w:ascii="Calibri" w:hAnsi="Calibri"/>
          <w:color w:val="1A1E22"/>
          <w:sz w:val="19"/>
        </w:rPr>
        <w:t xml:space="preserve">, 2000; Horvitz, </w:t>
      </w:r>
      <w:hyperlink r:id="rId14">
        <w:r>
          <w:rPr>
            <w:rFonts w:ascii="Calibri" w:hAnsi="Calibri"/>
            <w:color w:val="1D5E8C"/>
            <w:u w:val="single"/>
            <w:sz w:val="19"/>
            <w:szCs w:val="19"/>
          </w:rPr>
          <w:t>Principles of Mixed-Initiative User Interfaces</w:t>
        </w:r>
      </w:hyperlink>
      <w:r>
        <w:rPr>
          <w:rFonts w:ascii="Calibri" w:hAnsi="Calibri"/>
          <w:color w:val="1A1E22"/>
          <w:sz w:val="19"/>
        </w:rPr>
        <w:t xml:space="preserve">, CHI 1999; Amershi et al., </w:t>
      </w:r>
      <w:hyperlink r:id="rId15">
        <w:r>
          <w:rPr>
            <w:rFonts w:ascii="Calibri" w:hAnsi="Calibri"/>
            <w:color w:val="1D5E8C"/>
            <w:u w:val="single"/>
            <w:sz w:val="19"/>
            <w:szCs w:val="19"/>
          </w:rPr>
          <w:t>Guidelines for Human-AI Interaction</w:t>
        </w:r>
      </w:hyperlink>
      <w:r>
        <w:rPr>
          <w:rFonts w:ascii="Calibri" w:hAnsi="Calibri"/>
          <w:color w:val="1A1E22"/>
          <w:sz w:val="19"/>
        </w:rPr>
        <w:t>, CHI 2019.</w:t>
      </w:r>
    </w:p>
    <w:p>
      <w:pPr>
        <w:keepLines/>
        <w:widowControl/>
        <w:numPr>
          <w:ilvl w:val="0"/>
          <w:numId w:val="10"/>
        </w:numPr>
      </w:pPr>
      <w:r>
        <w:rPr>
          <w:rFonts w:ascii="Calibri" w:hAnsi="Calibri"/>
          <w:b/>
          <w:color w:val="1A1E22"/>
          <w:sz w:val="19"/>
        </w:rPr>
        <w:t>Generative design:</w:t>
      </w:r>
      <w:r>
        <w:rPr>
          <w:rFonts w:ascii="Calibri" w:hAnsi="Calibri"/>
          <w:color w:val="1A1E22"/>
          <w:sz w:val="19"/>
        </w:rPr>
        <w:t xml:space="preserve"> Sánchez, </w:t>
      </w:r>
      <w:hyperlink r:id="rId16">
        <w:r>
          <w:rPr>
            <w:rFonts w:ascii="Calibri" w:hAnsi="Calibri"/>
            <w:color w:val="1D5E8C"/>
            <w:u w:val="single"/>
            <w:sz w:val="19"/>
            <w:szCs w:val="19"/>
          </w:rPr>
          <w:t>Temporal and Spatial Combinatorics in Games for Design</w:t>
        </w:r>
      </w:hyperlink>
      <w:r>
        <w:rPr>
          <w:rFonts w:ascii="Calibri" w:hAnsi="Calibri"/>
          <w:color w:val="1A1E22"/>
          <w:sz w:val="19"/>
        </w:rPr>
        <w:t>, ACADIA 2015.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922" w:bottom="504" w:left="92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65D65"/>
        <w:sz w:val="14"/>
      </w:rPr>
      <w:t xml:space="preserve">SOCIAL GENERATIVE INTERFACES  ·  </w:t>
    </w:r>
    <w:r>
      <w:rPr>
        <w:rFonts w:ascii="Calibri" w:hAnsi="Calibri"/>
        <w:color w:val="565D65"/>
        <w:sz w:val="15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350"/>
        </w:tabs>
        <w:ind w:left="350" w:hanging="170"/>
        <w:spacing w:before="0" w:after="16" w:line="246" w:lineRule="auto"/>
      </w:pPr>
      <w:rPr>
        <w:rFonts w:ascii="Calibri" w:hAnsi="Calibri"/>
      </w:rPr>
    </w:lvl>
    <w:lvl w:ilvl="1">
      <w:start w:val="1"/>
      <w:numFmt w:val="bullet"/>
      <w:lvlText w:val="–"/>
      <w:suff w:val="tab"/>
      <w:pPr>
        <w:tabs>
          <w:tab w:val="num" w:pos="680"/>
        </w:tabs>
        <w:ind w:left="680" w:hanging="170"/>
        <w:spacing w:before="0" w:after="16" w:line="246" w:lineRule="auto"/>
      </w:pPr>
      <w:rPr>
        <w:rFonts w:ascii="Calibri" w:hAnsi="Calibri"/>
      </w:rPr>
    </w:lvl>
    <w:lvl w:ilvl="2">
      <w:start w:val="1"/>
      <w:numFmt w:val="bullet"/>
      <w:lvlText w:val="◦"/>
      <w:suff w:val="tab"/>
      <w:pPr>
        <w:tabs>
          <w:tab w:val="num" w:pos="1010"/>
        </w:tabs>
        <w:ind w:left="1010" w:hanging="170"/>
        <w:spacing w:before="0" w:after="16" w:line="246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6" w:lineRule="auto"/>
    </w:pPr>
    <w:rPr>
      <w:rFonts w:ascii="Calibri" w:hAnsi="Calibri"/>
      <w:color w:val="1A1E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4" w:after="32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18324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4" w:after="24"/>
      <w:outlineLvl w:val="1"/>
    </w:pPr>
    <w:rPr>
      <w:rFonts w:asciiTheme="majorHAnsi" w:eastAsiaTheme="majorEastAsia" w:hAnsiTheme="majorHAnsi" w:cstheme="majorBidi" w:ascii="Calibri" w:hAnsi="Calibri"/>
      <w:b/>
      <w:bCs/>
      <w:color w:val="A6641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5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8324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80" w:line="240" w:lineRule="auto"/>
      <w:jc w:val="center"/>
    </w:pPr>
    <w:rPr>
      <w:rFonts w:asciiTheme="majorHAnsi" w:eastAsiaTheme="majorEastAsia" w:hAnsiTheme="majorHAnsi" w:cstheme="majorBidi" w:ascii="Calibri" w:hAnsi="Calibri"/>
      <w:i w:val="0"/>
      <w:iCs/>
      <w:color w:val="565D65"/>
      <w:spacing w:val="15"/>
      <w:sz w:val="1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Metadata">
    <w:name w:val="Compact Metadata"/>
    <w:pPr>
      <w:spacing w:before="0" w:after="16" w:line="240" w:lineRule="auto"/>
      <w:jc w:val="center"/>
    </w:pPr>
    <w:rPr>
      <w:rFonts w:ascii="Calibri" w:hAnsi="Calibri"/>
      <w:color w:val="565D6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1145/191666.191703" TargetMode="External"/><Relationship Id="rId12" Type="http://schemas.openxmlformats.org/officeDocument/2006/relationships/hyperlink" Target="https://doi.org/10.1111/0022-4537.00153" TargetMode="External"/><Relationship Id="rId13" Type="http://schemas.openxmlformats.org/officeDocument/2006/relationships/hyperlink" Target="https://mitpress.mit.edu/9780262661157/affective-computing/" TargetMode="External"/><Relationship Id="rId14" Type="http://schemas.openxmlformats.org/officeDocument/2006/relationships/hyperlink" Target="https://doi.org/10.1145/302979.303030" TargetMode="External"/><Relationship Id="rId15" Type="http://schemas.openxmlformats.org/officeDocument/2006/relationships/hyperlink" Target="https://doi.org/10.1145/3290605.3300233" TargetMode="External"/><Relationship Id="rId16" Type="http://schemas.openxmlformats.org/officeDocument/2006/relationships/hyperlink" Target="https://pages.sandpoints.org/sandpoints/acadiaarchive-46619c43/article/temporal-spatial-combinatorics-games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Study Proposal: Social Generative Interfaces as Co-Designers</dc:title>
  <dc:subject>CASA, generative UI, shared authorship, and agentic interaction</dc:subject>
  <dc:creator/>
  <cp:keywords>CASA, generative UI, agentic UI, shared authorship, affective computing, EVA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