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51C" w:rsidRPr="00E038E4" w:rsidRDefault="0078551C" w:rsidP="0078551C">
      <w:pPr>
        <w:pStyle w:val="a3"/>
        <w:jc w:val="center"/>
      </w:pPr>
      <w:r w:rsidRPr="0078551C">
        <w:rPr>
          <w:lang w:val="en-US"/>
        </w:rPr>
        <w:t>PROJECT</w:t>
      </w:r>
      <w:r w:rsidRPr="00E038E4">
        <w:t>: “</w:t>
      </w:r>
      <w:r w:rsidRPr="0078551C">
        <w:rPr>
          <w:lang w:val="en-US"/>
        </w:rPr>
        <w:t>DATA</w:t>
      </w:r>
      <w:r w:rsidRPr="00E038E4">
        <w:t xml:space="preserve"> </w:t>
      </w:r>
      <w:r w:rsidRPr="0078551C">
        <w:rPr>
          <w:lang w:val="en-US"/>
        </w:rPr>
        <w:t>STRUCTURES</w:t>
      </w:r>
      <w:r w:rsidRPr="00E038E4">
        <w:t xml:space="preserve"> 2019”</w:t>
      </w:r>
    </w:p>
    <w:p w:rsidR="0078551C" w:rsidRPr="00E038E4" w:rsidRDefault="0078551C" w:rsidP="0078551C">
      <w:pPr>
        <w:pStyle w:val="a4"/>
        <w:rPr>
          <w:color w:val="17365D" w:themeColor="text2" w:themeShade="BF"/>
        </w:rPr>
      </w:pPr>
      <w:r w:rsidRPr="0078551C">
        <w:rPr>
          <w:color w:val="17365D" w:themeColor="text2" w:themeShade="BF"/>
        </w:rPr>
        <w:t>Συμμετέχοντες</w:t>
      </w:r>
      <w:r w:rsidRPr="00E038E4">
        <w:rPr>
          <w:color w:val="17365D" w:themeColor="text2" w:themeShade="BF"/>
        </w:rPr>
        <w:t>:</w:t>
      </w:r>
      <w:bookmarkStart w:id="0" w:name="_GoBack"/>
      <w:bookmarkEnd w:id="0"/>
    </w:p>
    <w:p w:rsidR="0078551C" w:rsidRPr="0078551C" w:rsidRDefault="0078551C" w:rsidP="0078551C">
      <w:pPr>
        <w:pStyle w:val="a4"/>
        <w:rPr>
          <w:color w:val="17365D" w:themeColor="text2" w:themeShade="BF"/>
        </w:rPr>
      </w:pPr>
      <w:r w:rsidRPr="0078551C">
        <w:rPr>
          <w:color w:val="17365D" w:themeColor="text2" w:themeShade="BF"/>
        </w:rPr>
        <w:t>Νίκος Μπούσης ΑΜ: 1062661</w:t>
      </w:r>
    </w:p>
    <w:p w:rsidR="0078551C" w:rsidRPr="00BF54F2" w:rsidRDefault="0078551C" w:rsidP="0078551C">
      <w:pPr>
        <w:pStyle w:val="a4"/>
        <w:rPr>
          <w:color w:val="17365D" w:themeColor="text2" w:themeShade="BF"/>
        </w:rPr>
      </w:pPr>
      <w:r w:rsidRPr="0078551C">
        <w:rPr>
          <w:color w:val="17365D" w:themeColor="text2" w:themeShade="BF"/>
        </w:rPr>
        <w:t>Γιάννης Χριστοδουλάκος ΑΜ: 1062664</w:t>
      </w:r>
    </w:p>
    <w:p w:rsidR="00BF54F2" w:rsidRPr="00BF54F2" w:rsidRDefault="00BF54F2" w:rsidP="00BF54F2">
      <w:pPr>
        <w:pStyle w:val="a4"/>
        <w:rPr>
          <w:color w:val="17365D" w:themeColor="text2" w:themeShade="BF"/>
        </w:rPr>
      </w:pPr>
      <w:r w:rsidRPr="00BF54F2">
        <w:rPr>
          <w:color w:val="17365D" w:themeColor="text2" w:themeShade="BF"/>
        </w:rPr>
        <w:t xml:space="preserve">Γλώσσα που χρησιμοποιήθηκε για τη γραφή τον προγραμμάτων: </w:t>
      </w:r>
      <w:r w:rsidRPr="00BF54F2">
        <w:rPr>
          <w:color w:val="17365D" w:themeColor="text2" w:themeShade="BF"/>
          <w:lang w:val="en-US"/>
        </w:rPr>
        <w:t>C</w:t>
      </w:r>
    </w:p>
    <w:p w:rsidR="0078551C" w:rsidRDefault="0078551C" w:rsidP="0078551C">
      <w:pPr>
        <w:pStyle w:val="a4"/>
      </w:pPr>
      <w:r>
        <w:tab/>
      </w:r>
    </w:p>
    <w:p w:rsidR="0078551C" w:rsidRDefault="0078551C" w:rsidP="0078551C">
      <w:pPr>
        <w:pStyle w:val="1"/>
        <w:rPr>
          <w:color w:val="0F243E" w:themeColor="text2" w:themeShade="80"/>
          <w:lang w:val="en-US"/>
        </w:rPr>
      </w:pPr>
      <w:r w:rsidRPr="00020852">
        <w:rPr>
          <w:color w:val="0F243E" w:themeColor="text2" w:themeShade="80"/>
          <w:lang w:val="en-US"/>
        </w:rPr>
        <w:t>PART I: “Sorting and Searching Algorithms”</w:t>
      </w:r>
    </w:p>
    <w:p w:rsidR="00F32089" w:rsidRDefault="00F32089" w:rsidP="00F32089">
      <w:pPr>
        <w:pStyle w:val="1"/>
      </w:pPr>
      <w:r>
        <w:t>(</w:t>
      </w:r>
      <w:r w:rsidR="00020852" w:rsidRPr="00020852">
        <w:t xml:space="preserve">1) </w:t>
      </w:r>
    </w:p>
    <w:p w:rsidR="00F55155" w:rsidRDefault="00F55155" w:rsidP="00F32089"/>
    <w:p w:rsidR="008D4801" w:rsidRDefault="00A02EA6" w:rsidP="00020852">
      <w:r>
        <w:t xml:space="preserve">Χρησιμοποιώντας το ίδιο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set</w:t>
      </w:r>
      <w:r>
        <w:t>, για τους τρεις αλγόριθμους</w:t>
      </w:r>
      <w:r w:rsidR="00E5413E">
        <w:t>,</w:t>
      </w:r>
      <w:r>
        <w:t xml:space="preserve"> </w:t>
      </w:r>
      <w:r w:rsidRPr="00FA1C9B">
        <w:rPr>
          <w:b/>
        </w:rPr>
        <w:t>I</w:t>
      </w:r>
      <w:r w:rsidR="00E5413E" w:rsidRPr="00FA1C9B">
        <w:rPr>
          <w:b/>
        </w:rPr>
        <w:t>nsertion Sort</w:t>
      </w:r>
      <w:r w:rsidR="00E5413E">
        <w:t xml:space="preserve">, </w:t>
      </w:r>
      <w:r w:rsidRPr="00FA1C9B">
        <w:rPr>
          <w:b/>
        </w:rPr>
        <w:t xml:space="preserve">Selection </w:t>
      </w:r>
      <w:r w:rsidRPr="00FA1C9B">
        <w:rPr>
          <w:b/>
          <w:lang w:val="en-US"/>
        </w:rPr>
        <w:t>Sort</w:t>
      </w:r>
      <w:r w:rsidR="00E5413E">
        <w:t xml:space="preserve"> και </w:t>
      </w:r>
      <w:r w:rsidR="00E5413E" w:rsidRPr="00FA1C9B">
        <w:rPr>
          <w:b/>
        </w:rPr>
        <w:t>Bubble Sort</w:t>
      </w:r>
      <w:r w:rsidR="00E5413E">
        <w:t xml:space="preserve"> </w:t>
      </w:r>
      <w:r>
        <w:t xml:space="preserve">παρατηρούμε πως έντονες διαφορές φαίνονται κυρίως μεταξύ του </w:t>
      </w:r>
      <w:r w:rsidR="00E5413E">
        <w:t>τελευταίου</w:t>
      </w:r>
      <w:r>
        <w:t xml:space="preserve"> με τους άλλους δύο. Όπως φαίνεται και </w:t>
      </w:r>
      <w:r w:rsidR="00536DAF">
        <w:t xml:space="preserve">στο </w:t>
      </w:r>
      <w:r>
        <w:t xml:space="preserve">παρακάτω </w:t>
      </w:r>
      <w:r w:rsidR="00536DAF">
        <w:t xml:space="preserve">γράφημα </w:t>
      </w:r>
      <w:r>
        <w:t xml:space="preserve">για </w:t>
      </w:r>
      <w:r w:rsidR="00536DAF">
        <w:t xml:space="preserve">την ταξινόμηση </w:t>
      </w:r>
      <w:r>
        <w:t xml:space="preserve">πίνακα </w:t>
      </w:r>
      <w:r w:rsidR="00536DAF">
        <w:t>1.</w:t>
      </w:r>
      <w:r>
        <w:t xml:space="preserve">000 στοιχείων </w:t>
      </w:r>
      <w:r w:rsidR="00E5413E">
        <w:t>οι χρόνοι</w:t>
      </w:r>
      <w:r>
        <w:t xml:space="preserve"> εκτέλεσης των δύο </w:t>
      </w:r>
      <w:r w:rsidR="00536DAF">
        <w:t>πρώτων</w:t>
      </w:r>
      <w:r>
        <w:t xml:space="preserve"> αλγορίθμων </w:t>
      </w:r>
      <w:r w:rsidR="00536DAF">
        <w:t>πλησιάζουν τα 0,002</w:t>
      </w:r>
      <w:r w:rsidRPr="00A02EA6">
        <w:t xml:space="preserve"> </w:t>
      </w:r>
      <w:r>
        <w:rPr>
          <w:lang w:val="en-US"/>
        </w:rPr>
        <w:t>sec</w:t>
      </w:r>
      <w:r w:rsidRPr="00A02EA6">
        <w:t xml:space="preserve"> </w:t>
      </w:r>
      <w:r>
        <w:t xml:space="preserve">ενώ η διαφορά τους  με τον </w:t>
      </w:r>
      <w:r w:rsidR="00E5413E">
        <w:t>τελευταίο</w:t>
      </w:r>
      <w:r w:rsidR="00536DAF">
        <w:t xml:space="preserve"> ανέρχεται στα 0,007</w:t>
      </w:r>
      <w:r w:rsidR="00E5413E">
        <w:t xml:space="preserve"> </w:t>
      </w:r>
      <w:r w:rsidR="00E5413E">
        <w:rPr>
          <w:lang w:val="en-US"/>
        </w:rPr>
        <w:t>sec</w:t>
      </w:r>
      <w:r w:rsidR="00E5413E" w:rsidRPr="00E5413E">
        <w:t xml:space="preserve">. </w:t>
      </w:r>
      <w:r w:rsidR="00E5413E">
        <w:t xml:space="preserve">Σημαντική αύξηση στους χρόνους παρατηρούμε για ταξινόμηση πινάκων με πάνω από 30.000 στοιχεία όπου εκεί ξεπερνάμε ακόμα και το 1 </w:t>
      </w:r>
      <w:r w:rsidR="00E5413E">
        <w:rPr>
          <w:lang w:val="en-US"/>
        </w:rPr>
        <w:t>sec</w:t>
      </w:r>
      <w:r w:rsidR="00E5413E" w:rsidRPr="00E5413E">
        <w:t xml:space="preserve"> </w:t>
      </w:r>
      <w:r w:rsidR="00E5413E">
        <w:t xml:space="preserve">με τον τελευταίο </w:t>
      </w:r>
      <w:r w:rsidR="00536DAF">
        <w:t xml:space="preserve">και πιο αργό </w:t>
      </w:r>
      <w:r w:rsidR="00E5413E">
        <w:t>αλγόρι</w:t>
      </w:r>
      <w:r w:rsidR="00536DAF">
        <w:t xml:space="preserve">θμο να φτάνει τα </w:t>
      </w:r>
      <w:r w:rsidR="00E5413E">
        <w:t>6</w:t>
      </w:r>
      <w:r w:rsidR="00E5413E" w:rsidRPr="00E5413E">
        <w:t xml:space="preserve"> </w:t>
      </w:r>
      <w:r w:rsidR="00E5413E">
        <w:rPr>
          <w:lang w:val="en-US"/>
        </w:rPr>
        <w:t>sec</w:t>
      </w:r>
      <w:r w:rsidR="00536DAF" w:rsidRPr="00536DAF">
        <w:t xml:space="preserve">. </w:t>
      </w:r>
      <w:r w:rsidR="00536DAF">
        <w:t xml:space="preserve">Τέλος είναι δύσκολο να μετρήσουμε τους χρόνους ταξινόμησης σε πίνακες με λιγότερα από 500 στοιχεία καθώς οι αλγόριθμοι εκτελούνται σχεδόν ακαριαία. </w:t>
      </w:r>
    </w:p>
    <w:p w:rsidR="00020852" w:rsidRDefault="00536DAF" w:rsidP="0002085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076575"/>
            <wp:effectExtent l="0" t="0" r="21590" b="9525"/>
            <wp:docPr id="4" name="Γράφημα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92A58" w:rsidRDefault="00492A58" w:rsidP="00FA1C9B">
      <w:pPr>
        <w:pStyle w:val="1"/>
      </w:pPr>
      <w:r w:rsidRPr="00492A58">
        <w:lastRenderedPageBreak/>
        <w:t>(2)</w:t>
      </w:r>
    </w:p>
    <w:p w:rsidR="00FA1C9B" w:rsidRPr="00FA1C9B" w:rsidRDefault="00FA1C9B" w:rsidP="00FA1C9B"/>
    <w:p w:rsidR="00805DCA" w:rsidRPr="00492A58" w:rsidRDefault="00805DCA" w:rsidP="00805DCA">
      <w:r w:rsidRPr="00492A58">
        <w:t xml:space="preserve">Για τους αλγόριθμους </w:t>
      </w:r>
      <w:r w:rsidRPr="00FA1C9B">
        <w:rPr>
          <w:b/>
          <w:lang w:val="en-US"/>
        </w:rPr>
        <w:t>Merge</w:t>
      </w:r>
      <w:r w:rsidRPr="00FA1C9B">
        <w:rPr>
          <w:b/>
        </w:rPr>
        <w:t xml:space="preserve"> </w:t>
      </w:r>
      <w:r w:rsidRPr="00FA1C9B">
        <w:rPr>
          <w:b/>
          <w:lang w:val="en-US"/>
        </w:rPr>
        <w:t>Sort</w:t>
      </w:r>
      <w:r w:rsidRPr="00492A58">
        <w:t xml:space="preserve"> και </w:t>
      </w:r>
      <w:r w:rsidRPr="00FA1C9B">
        <w:rPr>
          <w:b/>
          <w:lang w:val="en-US"/>
        </w:rPr>
        <w:t>Quick</w:t>
      </w:r>
      <w:r w:rsidRPr="00FA1C9B">
        <w:rPr>
          <w:b/>
        </w:rPr>
        <w:t xml:space="preserve"> </w:t>
      </w:r>
      <w:r w:rsidRPr="00FA1C9B">
        <w:rPr>
          <w:b/>
          <w:lang w:val="en-US"/>
        </w:rPr>
        <w:t>Sort</w:t>
      </w:r>
      <w:r w:rsidRPr="00492A58">
        <w:t xml:space="preserve"> χρησιμοποιόντας το ίδιο </w:t>
      </w:r>
      <w:r w:rsidRPr="00492A58">
        <w:rPr>
          <w:lang w:val="en-US"/>
        </w:rPr>
        <w:t>data</w:t>
      </w:r>
      <w:r w:rsidRPr="00492A58">
        <w:t xml:space="preserve"> </w:t>
      </w:r>
      <w:r w:rsidRPr="00492A58">
        <w:rPr>
          <w:lang w:val="en-US"/>
        </w:rPr>
        <w:t>set</w:t>
      </w:r>
      <w:r w:rsidRPr="00492A58">
        <w:t xml:space="preserve"> δεν παρατηρούμε μεγάλη διαφορά ως πρός τον  χρόνο εκτέλεσης.  Για παράδειγμα , σε </w:t>
      </w:r>
      <w:r w:rsidRPr="00492A58">
        <w:rPr>
          <w:lang w:val="en-US"/>
        </w:rPr>
        <w:t>Data</w:t>
      </w:r>
      <w:r w:rsidRPr="00492A58">
        <w:t xml:space="preserve"> </w:t>
      </w:r>
      <w:r w:rsidRPr="00492A58">
        <w:rPr>
          <w:lang w:val="en-US"/>
        </w:rPr>
        <w:t>set</w:t>
      </w:r>
      <w:r w:rsidRPr="00492A58">
        <w:t xml:space="preserve"> με μέγεθος  &lt; 1000 στοιχεία, παρατηρούμε ότι οι χρόνοι εκτέλεσης παραμένουν ίδιοι και σχεδόν μηδενικοί . Ωστόσο αν αυξήσουμε το μέγεθος στα 1000</w:t>
      </w:r>
      <w:r w:rsidR="00745D83">
        <w:t>0 νούμερα αρχίζουμε να παρατηρού</w:t>
      </w:r>
      <w:r w:rsidRPr="00492A58">
        <w:t xml:space="preserve">με μια μικρή διαφορά, της τάξεως του 1 </w:t>
      </w:r>
      <w:proofErr w:type="spellStart"/>
      <w:r w:rsidRPr="00492A58">
        <w:rPr>
          <w:lang w:val="en-US"/>
        </w:rPr>
        <w:t>msec</w:t>
      </w:r>
      <w:proofErr w:type="spellEnd"/>
      <w:r w:rsidRPr="00492A58">
        <w:t xml:space="preserve"> (0.001) . Από ότι βλέπουμε,  με μια πρώτη ματία μπορούμε να θεωρήσουμε ότι δεν είναι σημαντική η συγκεκριμένη διαφορά . Παρόλα αυτά αν έχουμε να κάνουμε με πιο «βαριά» </w:t>
      </w:r>
      <w:r w:rsidRPr="00492A58">
        <w:rPr>
          <w:lang w:val="en-US"/>
        </w:rPr>
        <w:t>Data</w:t>
      </w:r>
      <w:r w:rsidRPr="00492A58">
        <w:t xml:space="preserve">  ή πολύ περισσότερα νούμερα  και τρέξουμε και τους δύο αλγόριθμους,  θα διαπιστώσουμε σημαντική ανομοιομορφία στους χρόνους εκτέλεσης, των δύο αλγορίθμων. Παρακάτω δίνεται το γράφημα με τους χρόνους :</w:t>
      </w:r>
    </w:p>
    <w:p w:rsidR="00805DCA" w:rsidRPr="00492A58" w:rsidRDefault="00805DCA" w:rsidP="00805DCA">
      <w:r w:rsidRPr="00492A58">
        <w:rPr>
          <w:noProof/>
          <w:lang w:eastAsia="el-GR"/>
        </w:rPr>
        <w:drawing>
          <wp:inline distT="0" distB="0" distL="0" distR="0" wp14:anchorId="082296B6" wp14:editId="31FC88FA">
            <wp:extent cx="5274310" cy="3076575"/>
            <wp:effectExtent l="0" t="0" r="2159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492A58">
        <w:t>΄</w:t>
      </w:r>
    </w:p>
    <w:p w:rsidR="00FA1C9B" w:rsidRDefault="00805DCA" w:rsidP="00805DCA">
      <w:r w:rsidRPr="00492A58">
        <w:t>Α</w:t>
      </w:r>
      <w:r w:rsidR="00FA1C9B">
        <w:t>ντίθετα με τα παραπάνω δείγματα</w:t>
      </w:r>
      <w:r w:rsidRPr="00492A58">
        <w:t xml:space="preserve">, γνωρίζουμε από την θεωρία ότι η </w:t>
      </w:r>
      <w:r w:rsidRPr="00FA1C9B">
        <w:rPr>
          <w:b/>
          <w:lang w:val="en-US"/>
        </w:rPr>
        <w:t>Quick</w:t>
      </w:r>
      <w:r w:rsidRPr="00FA1C9B">
        <w:rPr>
          <w:b/>
        </w:rPr>
        <w:t xml:space="preserve"> </w:t>
      </w:r>
      <w:r w:rsidRPr="00FA1C9B">
        <w:rPr>
          <w:b/>
          <w:lang w:val="en-US"/>
        </w:rPr>
        <w:t>Sort</w:t>
      </w:r>
      <w:r w:rsidRPr="00FA1C9B">
        <w:rPr>
          <w:b/>
        </w:rPr>
        <w:t xml:space="preserve">  </w:t>
      </w:r>
      <w:r w:rsidRPr="00492A58">
        <w:t xml:space="preserve">για ανομοιγενή και πολλά δειγματα παρουσιάζει αστάθεια,  με τον χρόνο της  χειρότερης περίπτωσης να φτάνει σε  </w:t>
      </w:r>
      <w:r w:rsidRPr="00492A58">
        <w:rPr>
          <w:lang w:val="en-US"/>
        </w:rPr>
        <w:t>n</w:t>
      </w:r>
      <w:r w:rsidR="00FA1C9B">
        <w:rPr>
          <w:vertAlign w:val="superscript"/>
        </w:rPr>
        <w:t>2</w:t>
      </w:r>
      <w:r w:rsidRPr="00492A58">
        <w:t>.</w:t>
      </w:r>
      <w:r w:rsidR="00FA1C9B">
        <w:t xml:space="preserve"> Τέλος</w:t>
      </w:r>
      <w:r w:rsidRPr="00492A58">
        <w:t xml:space="preserve">, η </w:t>
      </w:r>
      <w:r w:rsidRPr="00FA1C9B">
        <w:rPr>
          <w:b/>
          <w:lang w:val="en-US"/>
        </w:rPr>
        <w:t>Merge</w:t>
      </w:r>
      <w:r w:rsidRPr="00FA1C9B">
        <w:rPr>
          <w:b/>
        </w:rPr>
        <w:t xml:space="preserve"> </w:t>
      </w:r>
      <w:r w:rsidRPr="00FA1C9B">
        <w:rPr>
          <w:b/>
          <w:lang w:val="en-US"/>
        </w:rPr>
        <w:t>Sort</w:t>
      </w:r>
      <w:r w:rsidRPr="00492A58">
        <w:t xml:space="preserve"> με μεγαλύτερη ευστάθεια και </w:t>
      </w:r>
      <w:proofErr w:type="spellStart"/>
      <w:r w:rsidRPr="00492A58">
        <w:t>αυστηρα</w:t>
      </w:r>
      <w:proofErr w:type="spellEnd"/>
      <w:r w:rsidRPr="00492A58">
        <w:t xml:space="preserve"> όρια της τάξεως Θ(</w:t>
      </w:r>
      <w:proofErr w:type="spellStart"/>
      <w:r w:rsidRPr="00492A58">
        <w:rPr>
          <w:lang w:val="en-US"/>
        </w:rPr>
        <w:t>nlogn</w:t>
      </w:r>
      <w:proofErr w:type="spellEnd"/>
      <w:r w:rsidR="00FA1C9B">
        <w:t xml:space="preserve"> ),  θεωρείται</w:t>
      </w:r>
      <w:r w:rsidRPr="00492A58">
        <w:t xml:space="preserve"> ένας από τους </w:t>
      </w:r>
      <w:r w:rsidR="00FA1C9B">
        <w:t>πιο γρήγορ</w:t>
      </w:r>
      <w:r w:rsidRPr="00492A58">
        <w:t>ους και αξιόπιστους αλγόριθμους ταξινόμησης .</w:t>
      </w:r>
    </w:p>
    <w:p w:rsidR="00FA1C9B" w:rsidRDefault="00FA1C9B" w:rsidP="00805DCA"/>
    <w:p w:rsidR="00FA1C9B" w:rsidRDefault="00FA1C9B" w:rsidP="00FA1C9B">
      <w:pPr>
        <w:pStyle w:val="1"/>
      </w:pPr>
      <w:r>
        <w:t>(3)</w:t>
      </w:r>
    </w:p>
    <w:p w:rsidR="00FA1C9B" w:rsidRPr="00FA1C9B" w:rsidRDefault="00FA1C9B" w:rsidP="00FA1C9B"/>
    <w:p w:rsidR="00FA1C9B" w:rsidRDefault="00805DCA" w:rsidP="00805DCA">
      <w:r w:rsidRPr="00492A58">
        <w:t xml:space="preserve">Η ταξινόμηση </w:t>
      </w:r>
      <w:r w:rsidRPr="00492A58">
        <w:rPr>
          <w:lang w:val="en-US"/>
        </w:rPr>
        <w:t>Heap</w:t>
      </w:r>
      <w:r w:rsidRPr="00492A58">
        <w:t xml:space="preserve"> </w:t>
      </w:r>
      <w:r w:rsidRPr="00492A58">
        <w:rPr>
          <w:lang w:val="en-US"/>
        </w:rPr>
        <w:t>Sort</w:t>
      </w:r>
      <w:r w:rsidRPr="00492A58">
        <w:t xml:space="preserve">  είναι ένας από τους πιο γνωστους αλγόριθμους . Παρουσιάζει  μεγάλη ευστάθεια στους χρόνους της,  με αυστηρό ασυμπτωτικό όριο Θ(</w:t>
      </w:r>
      <w:r w:rsidRPr="00492A58">
        <w:rPr>
          <w:lang w:val="en-US"/>
        </w:rPr>
        <w:t>n</w:t>
      </w:r>
      <w:r w:rsidRPr="00492A58">
        <w:t xml:space="preserve"> </w:t>
      </w:r>
      <w:proofErr w:type="spellStart"/>
      <w:r w:rsidRPr="00492A58">
        <w:rPr>
          <w:lang w:val="en-US"/>
        </w:rPr>
        <w:t>logn</w:t>
      </w:r>
      <w:proofErr w:type="spellEnd"/>
      <w:r w:rsidRPr="00492A58">
        <w:t xml:space="preserve">) . </w:t>
      </w:r>
      <w:r w:rsidR="00996AE7">
        <w:t xml:space="preserve">Συγκρίνοντας </w:t>
      </w:r>
      <w:r w:rsidRPr="00492A58">
        <w:t xml:space="preserve"> τους χρόνους  με τις υπόλοιπες ταξινομήσεις </w:t>
      </w:r>
      <w:r w:rsidR="00996AE7">
        <w:t>είναι εύκολο να  επιβεβαιώθεί</w:t>
      </w:r>
      <w:r w:rsidRPr="00492A58">
        <w:t xml:space="preserve"> </w:t>
      </w:r>
      <w:r w:rsidR="00996AE7">
        <w:t>ο παραπά</w:t>
      </w:r>
      <w:r w:rsidRPr="00492A58">
        <w:t xml:space="preserve">νω </w:t>
      </w:r>
      <w:r w:rsidR="00FA1C9B">
        <w:t>ι</w:t>
      </w:r>
      <w:r w:rsidRPr="00492A58">
        <w:t>σχυρισμό</w:t>
      </w:r>
      <w:r w:rsidR="00996AE7">
        <w:t>ς</w:t>
      </w:r>
      <w:r w:rsidRPr="00492A58">
        <w:t xml:space="preserve"> . Πιο αναλυτικα στο παρακάτω γράφημα τα </w:t>
      </w:r>
      <w:r w:rsidR="00996AE7">
        <w:t xml:space="preserve">παρουσιάζονται </w:t>
      </w:r>
      <w:r w:rsidRPr="00492A58">
        <w:t>αποτελέσματα των χρόνων</w:t>
      </w:r>
      <w:r w:rsidR="00996AE7">
        <w:t xml:space="preserve"> εκτέλεσης αλγορίθμων</w:t>
      </w:r>
      <w:r w:rsidRPr="00492A58">
        <w:t xml:space="preserve"> .</w:t>
      </w:r>
    </w:p>
    <w:p w:rsidR="00805DCA" w:rsidRPr="00492A58" w:rsidRDefault="00805DCA" w:rsidP="00805DCA">
      <w:r w:rsidRPr="00492A58">
        <w:rPr>
          <w:noProof/>
          <w:lang w:eastAsia="el-GR"/>
        </w:rPr>
        <w:lastRenderedPageBreak/>
        <w:drawing>
          <wp:inline distT="0" distB="0" distL="0" distR="0" wp14:anchorId="401FB5E3" wp14:editId="1B91A1DB">
            <wp:extent cx="5274310" cy="3076575"/>
            <wp:effectExtent l="0" t="0" r="2159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05DCA" w:rsidRPr="00492A58" w:rsidRDefault="00805DCA" w:rsidP="00805DCA">
      <w:r w:rsidRPr="00492A58">
        <w:t>Με λίγα λόγια επαληθεύουμε την θεώρια και ταξινομούμε τους αλγόριθμους με βάση τους  χρόνους εκ</w:t>
      </w:r>
      <w:r w:rsidR="00996AE7">
        <w:t>τέλεσης  κατά φθίνουσα σειρά</w:t>
      </w:r>
      <w:r w:rsidR="00996AE7" w:rsidRPr="00996AE7">
        <w:t>,</w:t>
      </w:r>
      <w:r w:rsidR="00996AE7">
        <w:t xml:space="preserve"> με τους τρεις τελευταίους να έχουν ως χρόνο εκτέλεσης λιγότερο από 0</w:t>
      </w:r>
      <w:r w:rsidR="00996AE7" w:rsidRPr="00996AE7">
        <w:t>,01</w:t>
      </w:r>
      <w:r w:rsidR="00996AE7">
        <w:rPr>
          <w:lang w:val="en-US"/>
        </w:rPr>
        <w:t>sec</w:t>
      </w:r>
      <w:r w:rsidR="00996AE7">
        <w:t xml:space="preserve">: </w:t>
      </w:r>
    </w:p>
    <w:p w:rsidR="00805DCA" w:rsidRPr="00492A58" w:rsidRDefault="00805DCA" w:rsidP="00805DCA">
      <w:pPr>
        <w:pStyle w:val="a5"/>
        <w:numPr>
          <w:ilvl w:val="0"/>
          <w:numId w:val="4"/>
        </w:numPr>
      </w:pPr>
      <w:r w:rsidRPr="00492A58">
        <w:rPr>
          <w:lang w:val="en-US"/>
        </w:rPr>
        <w:t>Bubble Sort</w:t>
      </w:r>
    </w:p>
    <w:p w:rsidR="00805DCA" w:rsidRPr="00492A58" w:rsidRDefault="00805DCA" w:rsidP="00805DCA">
      <w:pPr>
        <w:pStyle w:val="a5"/>
        <w:numPr>
          <w:ilvl w:val="0"/>
          <w:numId w:val="4"/>
        </w:numPr>
      </w:pPr>
      <w:r w:rsidRPr="00492A58">
        <w:rPr>
          <w:lang w:val="en-US"/>
        </w:rPr>
        <w:t>Selection Sort</w:t>
      </w:r>
    </w:p>
    <w:p w:rsidR="00805DCA" w:rsidRPr="00492A58" w:rsidRDefault="00805DCA" w:rsidP="00805DCA">
      <w:pPr>
        <w:pStyle w:val="a5"/>
        <w:numPr>
          <w:ilvl w:val="0"/>
          <w:numId w:val="4"/>
        </w:numPr>
      </w:pPr>
      <w:r w:rsidRPr="00492A58">
        <w:rPr>
          <w:lang w:val="en-US"/>
        </w:rPr>
        <w:t>Insertion Sort</w:t>
      </w:r>
    </w:p>
    <w:p w:rsidR="00805DCA" w:rsidRPr="00492A58" w:rsidRDefault="00805DCA" w:rsidP="00805DCA">
      <w:pPr>
        <w:pStyle w:val="a5"/>
        <w:numPr>
          <w:ilvl w:val="0"/>
          <w:numId w:val="4"/>
        </w:numPr>
      </w:pPr>
      <w:r w:rsidRPr="00492A58">
        <w:rPr>
          <w:lang w:val="en-US"/>
        </w:rPr>
        <w:t>Heap Sort</w:t>
      </w:r>
    </w:p>
    <w:p w:rsidR="00805DCA" w:rsidRPr="00492A58" w:rsidRDefault="00805DCA" w:rsidP="00805DCA">
      <w:pPr>
        <w:pStyle w:val="a5"/>
        <w:numPr>
          <w:ilvl w:val="0"/>
          <w:numId w:val="4"/>
        </w:numPr>
      </w:pPr>
      <w:r w:rsidRPr="00492A58">
        <w:rPr>
          <w:lang w:val="en-US"/>
        </w:rPr>
        <w:t>Merge Sort</w:t>
      </w:r>
    </w:p>
    <w:p w:rsidR="00805DCA" w:rsidRPr="00492A58" w:rsidRDefault="00805DCA" w:rsidP="00805DCA">
      <w:pPr>
        <w:pStyle w:val="a5"/>
        <w:numPr>
          <w:ilvl w:val="0"/>
          <w:numId w:val="4"/>
        </w:numPr>
      </w:pPr>
      <w:r w:rsidRPr="00492A58">
        <w:rPr>
          <w:lang w:val="en-US"/>
        </w:rPr>
        <w:t>Quick Sort</w:t>
      </w:r>
    </w:p>
    <w:p w:rsidR="00805DCA" w:rsidRDefault="00805DCA" w:rsidP="00805DCA">
      <w:pPr>
        <w:rPr>
          <w:sz w:val="24"/>
          <w:szCs w:val="24"/>
        </w:rPr>
      </w:pPr>
    </w:p>
    <w:p w:rsidR="00805DCA" w:rsidRDefault="00680DF3" w:rsidP="00680DF3">
      <w:pPr>
        <w:pStyle w:val="1"/>
      </w:pPr>
      <w:r>
        <w:t>(4)</w:t>
      </w:r>
    </w:p>
    <w:p w:rsidR="00680DF3" w:rsidRDefault="00680DF3" w:rsidP="00680DF3"/>
    <w:p w:rsidR="00521126" w:rsidRDefault="00AA0D3E" w:rsidP="00680DF3">
      <w:r>
        <w:t xml:space="preserve">Χρησιμοποιώντας το ίδιο </w:t>
      </w:r>
      <w:r w:rsidR="00730837">
        <w:rPr>
          <w:lang w:val="en-US"/>
        </w:rPr>
        <w:t>Data</w:t>
      </w:r>
      <w:r w:rsidR="00730837" w:rsidRPr="00730837">
        <w:t xml:space="preserve"> </w:t>
      </w:r>
      <w:r w:rsidR="00730837">
        <w:rPr>
          <w:lang w:val="en-US"/>
        </w:rPr>
        <w:t>Set</w:t>
      </w:r>
      <w:r>
        <w:t xml:space="preserve"> για τους αλγόριθμους </w:t>
      </w:r>
      <w:r w:rsidR="00730837">
        <w:t xml:space="preserve">αναζήτησης </w:t>
      </w:r>
      <w:r>
        <w:t xml:space="preserve">παρατηρήσαμε πως μικρότερο χρόνο εκτέλεσης έχει η </w:t>
      </w:r>
      <w:r>
        <w:rPr>
          <w:b/>
        </w:rPr>
        <w:t xml:space="preserve">Δυαδική αναζήτηση </w:t>
      </w:r>
      <w:r>
        <w:t xml:space="preserve">στη συνέχεια ακολουθεί η </w:t>
      </w:r>
      <w:r>
        <w:rPr>
          <w:b/>
        </w:rPr>
        <w:t>Αναζήτηση</w:t>
      </w:r>
      <w:r w:rsidRPr="00AA0D3E">
        <w:rPr>
          <w:b/>
        </w:rPr>
        <w:t xml:space="preserve"> με Παρεμβολή</w:t>
      </w:r>
      <w:r>
        <w:rPr>
          <w:b/>
        </w:rPr>
        <w:t xml:space="preserve"> </w:t>
      </w:r>
      <w:r>
        <w:t xml:space="preserve">και τέλος έρχεται η </w:t>
      </w:r>
      <w:r>
        <w:rPr>
          <w:b/>
        </w:rPr>
        <w:t xml:space="preserve">Γραμμική αναζήτηση. </w:t>
      </w:r>
      <w:r>
        <w:t xml:space="preserve">Βέβαια σημαντικό ρόλο παίζει η κατανομή των στοιχείων στον πίνακα </w:t>
      </w:r>
      <w:r w:rsidR="00730837">
        <w:t>καθώς ο χρόνος εκτέλεσης τους εξαρτάται και από το κατά πόσο πυκνά είναι τα δεδομένα</w:t>
      </w:r>
      <w:r w:rsidR="00521126">
        <w:t xml:space="preserve"> </w:t>
      </w:r>
      <w:r w:rsidR="00730837">
        <w:t xml:space="preserve">γύρω από </w:t>
      </w:r>
      <w:r w:rsidR="00521126">
        <w:t>το στοιχείο που ψάχνουμε γι αυτό το λόγο για τη μέση περίπτωση θα θεωρούμε πως παρουσιάζεται ομοιόμορφη κατανομή στα στοιχεία του πίνακα.</w:t>
      </w:r>
    </w:p>
    <w:p w:rsidR="00680DF3" w:rsidRDefault="00521126" w:rsidP="00521126">
      <w:pPr>
        <w:pStyle w:val="1"/>
      </w:pPr>
      <w:r>
        <w:t xml:space="preserve">(5) </w:t>
      </w:r>
    </w:p>
    <w:p w:rsidR="00521126" w:rsidRDefault="00521126" w:rsidP="00521126"/>
    <w:p w:rsidR="00521126" w:rsidRPr="00D8196F" w:rsidRDefault="00521126" w:rsidP="00521126">
      <w:r>
        <w:t xml:space="preserve">Για τον αλγόριθμο </w:t>
      </w:r>
      <w:r w:rsidRPr="00521126">
        <w:rPr>
          <w:b/>
        </w:rPr>
        <w:t>Δυι</w:t>
      </w:r>
      <w:r>
        <w:rPr>
          <w:b/>
        </w:rPr>
        <w:t>κής Αναζήτησης Παρεμβολής (BIS)</w:t>
      </w:r>
      <w:r>
        <w:t xml:space="preserve"> παρατηρούμε πως μπορεί να γίνει βελτίωση της χειρότερης περίπτωσης αλλά</w:t>
      </w:r>
      <w:r w:rsidR="004E447D">
        <w:t xml:space="preserve">ζοντας το βήμα του αλγορίθμου από </w:t>
      </w:r>
      <w:proofErr w:type="spellStart"/>
      <w:r w:rsidR="004E447D">
        <w:rPr>
          <w:lang w:val="en-US"/>
        </w:rPr>
        <w:t>i</w:t>
      </w:r>
      <w:proofErr w:type="spellEnd"/>
      <w:r w:rsidR="004E447D" w:rsidRPr="004E447D">
        <w:t xml:space="preserve">+1 </w:t>
      </w:r>
      <w:r w:rsidR="006D4126">
        <w:t>σε</w:t>
      </w:r>
      <w:r w:rsidR="004E447D">
        <w:t xml:space="preserve"> </w:t>
      </w:r>
      <w:r w:rsidR="004E447D" w:rsidRPr="004E447D">
        <w:t>2*</w:t>
      </w:r>
      <w:proofErr w:type="spellStart"/>
      <w:r w:rsidR="004E447D">
        <w:rPr>
          <w:lang w:val="en-US"/>
        </w:rPr>
        <w:t>i</w:t>
      </w:r>
      <w:proofErr w:type="spellEnd"/>
      <w:r w:rsidR="004E447D">
        <w:t>. Κατά αυτόν τον τ</w:t>
      </w:r>
      <w:r w:rsidR="00D8196F">
        <w:t xml:space="preserve">ρόπο γίνονται μεγαλύτερα άλματα κρατώντας το αριστερό άκρο σταθερό </w:t>
      </w:r>
      <w:r w:rsidR="00D8196F">
        <w:lastRenderedPageBreak/>
        <w:t xml:space="preserve">με αποτέλεσμα το τελευταίο υποδιάστημα να είναι πολύ πιο μεγάλο από </w:t>
      </w:r>
      <w:r w:rsidR="00D8196F">
        <w:rPr>
          <w:rFonts w:cstheme="minorHAnsi"/>
        </w:rPr>
        <w:t>√</w:t>
      </w:r>
      <w:r w:rsidR="00D8196F">
        <w:rPr>
          <w:lang w:val="en-US"/>
        </w:rPr>
        <w:t>n</w:t>
      </w:r>
      <w:r w:rsidR="00D8196F">
        <w:t>.</w:t>
      </w:r>
      <w:r w:rsidR="00D8196F" w:rsidRPr="00D8196F">
        <w:t xml:space="preserve"> </w:t>
      </w:r>
      <w:r w:rsidR="00D8196F">
        <w:t xml:space="preserve">Μόλις βρεθεί αυτό το υποδιάστημα εφαρμόζουμε τότε αναζήτηση στα στοιχεία μέσα σε αυτό που απέχουν κατά </w:t>
      </w:r>
      <w:r w:rsidR="00D8196F">
        <w:rPr>
          <w:rFonts w:cstheme="minorHAnsi"/>
        </w:rPr>
        <w:t>√</w:t>
      </w:r>
      <w:r w:rsidR="00D8196F">
        <w:rPr>
          <w:lang w:val="en-US"/>
        </w:rPr>
        <w:t>n</w:t>
      </w:r>
      <w:r w:rsidR="00D8196F">
        <w:t xml:space="preserve"> και έτσι προκύπτει το ζητούμενο υποδιάστημα μεγέθους </w:t>
      </w:r>
      <w:r w:rsidR="00D8196F">
        <w:rPr>
          <w:rFonts w:cstheme="minorHAnsi"/>
        </w:rPr>
        <w:t>√</w:t>
      </w:r>
      <w:r w:rsidR="00D8196F">
        <w:rPr>
          <w:lang w:val="en-US"/>
        </w:rPr>
        <w:t>n</w:t>
      </w:r>
      <w:r w:rsidR="00D8196F">
        <w:t>.</w:t>
      </w:r>
    </w:p>
    <w:sectPr w:rsidR="00521126" w:rsidRPr="00D8196F" w:rsidSect="00FA1C9B">
      <w:pgSz w:w="11906" w:h="16838"/>
      <w:pgMar w:top="1080" w:right="1800" w:bottom="99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B25" w:rsidRDefault="000E2B25" w:rsidP="00996AE7">
      <w:pPr>
        <w:spacing w:after="0" w:line="240" w:lineRule="auto"/>
      </w:pPr>
      <w:r>
        <w:separator/>
      </w:r>
    </w:p>
  </w:endnote>
  <w:endnote w:type="continuationSeparator" w:id="0">
    <w:p w:rsidR="000E2B25" w:rsidRDefault="000E2B25" w:rsidP="00996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B25" w:rsidRDefault="000E2B25" w:rsidP="00996AE7">
      <w:pPr>
        <w:spacing w:after="0" w:line="240" w:lineRule="auto"/>
      </w:pPr>
      <w:r>
        <w:separator/>
      </w:r>
    </w:p>
  </w:footnote>
  <w:footnote w:type="continuationSeparator" w:id="0">
    <w:p w:rsidR="000E2B25" w:rsidRDefault="000E2B25" w:rsidP="00996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4F7"/>
    <w:multiLevelType w:val="hybridMultilevel"/>
    <w:tmpl w:val="9A74B9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D1C1A"/>
    <w:multiLevelType w:val="hybridMultilevel"/>
    <w:tmpl w:val="A87E79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210A"/>
    <w:multiLevelType w:val="hybridMultilevel"/>
    <w:tmpl w:val="A7EEF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54AB2"/>
    <w:multiLevelType w:val="hybridMultilevel"/>
    <w:tmpl w:val="CB46CDA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51C"/>
    <w:rsid w:val="00020852"/>
    <w:rsid w:val="000E2B25"/>
    <w:rsid w:val="001131AB"/>
    <w:rsid w:val="00260C9C"/>
    <w:rsid w:val="002C7267"/>
    <w:rsid w:val="00332B93"/>
    <w:rsid w:val="00492A58"/>
    <w:rsid w:val="004E447D"/>
    <w:rsid w:val="00521126"/>
    <w:rsid w:val="00536DAF"/>
    <w:rsid w:val="005930E6"/>
    <w:rsid w:val="00674658"/>
    <w:rsid w:val="00680DF3"/>
    <w:rsid w:val="006D4126"/>
    <w:rsid w:val="00730837"/>
    <w:rsid w:val="00745D83"/>
    <w:rsid w:val="0078551C"/>
    <w:rsid w:val="00804A39"/>
    <w:rsid w:val="00805DCA"/>
    <w:rsid w:val="008D4801"/>
    <w:rsid w:val="00996AE7"/>
    <w:rsid w:val="009C3523"/>
    <w:rsid w:val="00A02EA6"/>
    <w:rsid w:val="00AA0D3E"/>
    <w:rsid w:val="00BF54F2"/>
    <w:rsid w:val="00D12527"/>
    <w:rsid w:val="00D23B94"/>
    <w:rsid w:val="00D8196F"/>
    <w:rsid w:val="00E038E4"/>
    <w:rsid w:val="00E14DD5"/>
    <w:rsid w:val="00E5413E"/>
    <w:rsid w:val="00F32089"/>
    <w:rsid w:val="00F55155"/>
    <w:rsid w:val="00FA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85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855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7855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9"/>
    <w:rsid w:val="00785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7855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Υπότιτλος Char"/>
    <w:basedOn w:val="a0"/>
    <w:link w:val="a4"/>
    <w:uiPriority w:val="11"/>
    <w:rsid w:val="007855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020852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F3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F32089"/>
    <w:rPr>
      <w:rFonts w:ascii="Tahoma" w:hAnsi="Tahoma" w:cs="Tahoma"/>
      <w:sz w:val="16"/>
      <w:szCs w:val="16"/>
    </w:rPr>
  </w:style>
  <w:style w:type="paragraph" w:styleId="a7">
    <w:name w:val="endnote text"/>
    <w:basedOn w:val="a"/>
    <w:link w:val="Char2"/>
    <w:uiPriority w:val="99"/>
    <w:semiHidden/>
    <w:unhideWhenUsed/>
    <w:rsid w:val="00996AE7"/>
    <w:pPr>
      <w:spacing w:after="0" w:line="240" w:lineRule="auto"/>
    </w:pPr>
    <w:rPr>
      <w:sz w:val="20"/>
      <w:szCs w:val="20"/>
    </w:rPr>
  </w:style>
  <w:style w:type="character" w:customStyle="1" w:styleId="Char2">
    <w:name w:val="Κείμενο σημείωσης τέλους Char"/>
    <w:basedOn w:val="a0"/>
    <w:link w:val="a7"/>
    <w:uiPriority w:val="99"/>
    <w:semiHidden/>
    <w:rsid w:val="00996AE7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996AE7"/>
    <w:rPr>
      <w:vertAlign w:val="superscript"/>
    </w:rPr>
  </w:style>
  <w:style w:type="paragraph" w:styleId="a9">
    <w:name w:val="footnote text"/>
    <w:basedOn w:val="a"/>
    <w:link w:val="Char3"/>
    <w:uiPriority w:val="99"/>
    <w:semiHidden/>
    <w:unhideWhenUsed/>
    <w:rsid w:val="00730837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9"/>
    <w:uiPriority w:val="99"/>
    <w:semiHidden/>
    <w:rsid w:val="0073083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3083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85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855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7855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9"/>
    <w:rsid w:val="00785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7855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Υπότιτλος Char"/>
    <w:basedOn w:val="a0"/>
    <w:link w:val="a4"/>
    <w:uiPriority w:val="11"/>
    <w:rsid w:val="007855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020852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F3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F32089"/>
    <w:rPr>
      <w:rFonts w:ascii="Tahoma" w:hAnsi="Tahoma" w:cs="Tahoma"/>
      <w:sz w:val="16"/>
      <w:szCs w:val="16"/>
    </w:rPr>
  </w:style>
  <w:style w:type="paragraph" w:styleId="a7">
    <w:name w:val="endnote text"/>
    <w:basedOn w:val="a"/>
    <w:link w:val="Char2"/>
    <w:uiPriority w:val="99"/>
    <w:semiHidden/>
    <w:unhideWhenUsed/>
    <w:rsid w:val="00996AE7"/>
    <w:pPr>
      <w:spacing w:after="0" w:line="240" w:lineRule="auto"/>
    </w:pPr>
    <w:rPr>
      <w:sz w:val="20"/>
      <w:szCs w:val="20"/>
    </w:rPr>
  </w:style>
  <w:style w:type="character" w:customStyle="1" w:styleId="Char2">
    <w:name w:val="Κείμενο σημείωσης τέλους Char"/>
    <w:basedOn w:val="a0"/>
    <w:link w:val="a7"/>
    <w:uiPriority w:val="99"/>
    <w:semiHidden/>
    <w:rsid w:val="00996AE7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996AE7"/>
    <w:rPr>
      <w:vertAlign w:val="superscript"/>
    </w:rPr>
  </w:style>
  <w:style w:type="paragraph" w:styleId="a9">
    <w:name w:val="footnote text"/>
    <w:basedOn w:val="a"/>
    <w:link w:val="Char3"/>
    <w:uiPriority w:val="99"/>
    <w:semiHidden/>
    <w:unhideWhenUsed/>
    <w:rsid w:val="00730837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9"/>
    <w:uiPriority w:val="99"/>
    <w:semiHidden/>
    <w:rsid w:val="0073083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308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Insertion Sort</c:v>
                </c:pt>
              </c:strCache>
            </c:strRef>
          </c:tx>
          <c:invertIfNegative val="0"/>
          <c:cat>
            <c:strRef>
              <c:f>Φύλλο1!$A$2:$A$4</c:f>
              <c:strCache>
                <c:ptCount val="3"/>
                <c:pt idx="0">
                  <c:v>&lt;1000  </c:v>
                </c:pt>
                <c:pt idx="1">
                  <c:v>&lt;10000</c:v>
                </c:pt>
                <c:pt idx="2">
                  <c:v>&lt;30000</c:v>
                </c:pt>
              </c:strCache>
            </c:strRef>
          </c:cat>
          <c:val>
            <c:numRef>
              <c:f>Φύλλο1!$B$2:$B$4</c:f>
              <c:numCache>
                <c:formatCode>General</c:formatCode>
                <c:ptCount val="3"/>
                <c:pt idx="0">
                  <c:v>1E-3</c:v>
                </c:pt>
                <c:pt idx="1">
                  <c:v>0.14299999999999999</c:v>
                </c:pt>
                <c:pt idx="2">
                  <c:v>0.67</c:v>
                </c:pt>
              </c:numCache>
            </c:numRef>
          </c:val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Slection Sort</c:v>
                </c:pt>
              </c:strCache>
            </c:strRef>
          </c:tx>
          <c:invertIfNegative val="0"/>
          <c:cat>
            <c:strRef>
              <c:f>Φύλλο1!$A$2:$A$4</c:f>
              <c:strCache>
                <c:ptCount val="3"/>
                <c:pt idx="0">
                  <c:v>&lt;1000  </c:v>
                </c:pt>
                <c:pt idx="1">
                  <c:v>&lt;10000</c:v>
                </c:pt>
                <c:pt idx="2">
                  <c:v>&lt;30000</c:v>
                </c:pt>
              </c:strCache>
            </c:strRef>
          </c:cat>
          <c:val>
            <c:numRef>
              <c:f>Φύλλο1!$C$2:$C$4</c:f>
              <c:numCache>
                <c:formatCode>General</c:formatCode>
                <c:ptCount val="3"/>
                <c:pt idx="0">
                  <c:v>2E-3</c:v>
                </c:pt>
                <c:pt idx="1">
                  <c:v>0.20399999999999999</c:v>
                </c:pt>
                <c:pt idx="2">
                  <c:v>1.01</c:v>
                </c:pt>
              </c:numCache>
            </c:numRef>
          </c:val>
        </c:ser>
        <c:ser>
          <c:idx val="2"/>
          <c:order val="2"/>
          <c:tx>
            <c:strRef>
              <c:f>Φύλλο1!$D$1</c:f>
              <c:strCache>
                <c:ptCount val="1"/>
                <c:pt idx="0">
                  <c:v>Bubble Sort</c:v>
                </c:pt>
              </c:strCache>
            </c:strRef>
          </c:tx>
          <c:invertIfNegative val="0"/>
          <c:cat>
            <c:strRef>
              <c:f>Φύλλο1!$A$2:$A$4</c:f>
              <c:strCache>
                <c:ptCount val="3"/>
                <c:pt idx="0">
                  <c:v>&lt;1000  </c:v>
                </c:pt>
                <c:pt idx="1">
                  <c:v>&lt;10000</c:v>
                </c:pt>
                <c:pt idx="2">
                  <c:v>&lt;30000</c:v>
                </c:pt>
              </c:strCache>
            </c:strRef>
          </c:cat>
          <c:val>
            <c:numRef>
              <c:f>Φύλλο1!$D$2:$D$4</c:f>
              <c:numCache>
                <c:formatCode>General</c:formatCode>
                <c:ptCount val="3"/>
                <c:pt idx="0">
                  <c:v>8.9999999999999993E-3</c:v>
                </c:pt>
                <c:pt idx="1">
                  <c:v>0.72099999999999997</c:v>
                </c:pt>
                <c:pt idx="2">
                  <c:v>3.8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399168"/>
        <c:axId val="35400704"/>
      </c:barChart>
      <c:catAx>
        <c:axId val="35399168"/>
        <c:scaling>
          <c:orientation val="minMax"/>
        </c:scaling>
        <c:delete val="0"/>
        <c:axPos val="b"/>
        <c:majorTickMark val="out"/>
        <c:minorTickMark val="none"/>
        <c:tickLblPos val="nextTo"/>
        <c:crossAx val="35400704"/>
        <c:crosses val="autoZero"/>
        <c:auto val="1"/>
        <c:lblAlgn val="ctr"/>
        <c:lblOffset val="100"/>
        <c:noMultiLvlLbl val="0"/>
      </c:catAx>
      <c:valAx>
        <c:axId val="35400704"/>
        <c:scaling>
          <c:orientation val="minMax"/>
          <c:max val="3.8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399168"/>
        <c:crosses val="autoZero"/>
        <c:crossBetween val="between"/>
        <c:majorUnit val="0.30000000000000004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51987454636763"/>
          <c:y val="4.1702867636901425E-2"/>
          <c:w val="0.71547381487061412"/>
          <c:h val="0.850756766859250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&lt; 1000 n</c:v>
                </c:pt>
                <c:pt idx="1">
                  <c:v>&lt; 5000 n</c:v>
                </c:pt>
                <c:pt idx="2">
                  <c:v>&lt;  10.000 n</c:v>
                </c:pt>
                <c:pt idx="3">
                  <c:v> &lt; 20.000 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1E-3</c:v>
                </c:pt>
                <c:pt idx="1">
                  <c:v>2E-3</c:v>
                </c:pt>
                <c:pt idx="2">
                  <c:v>5.0000000000000001E-3</c:v>
                </c:pt>
                <c:pt idx="3">
                  <c:v>0.01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&lt; 1000 n</c:v>
                </c:pt>
                <c:pt idx="1">
                  <c:v>&lt; 5000 n</c:v>
                </c:pt>
                <c:pt idx="2">
                  <c:v>&lt;  10.000 n</c:v>
                </c:pt>
                <c:pt idx="3">
                  <c:v> &lt; 20.000 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6.0000000000000001E-3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4938240"/>
        <c:axId val="204945280"/>
      </c:barChart>
      <c:catAx>
        <c:axId val="204938240"/>
        <c:scaling>
          <c:orientation val="minMax"/>
        </c:scaling>
        <c:delete val="0"/>
        <c:axPos val="b"/>
        <c:majorTickMark val="out"/>
        <c:minorTickMark val="none"/>
        <c:tickLblPos val="nextTo"/>
        <c:crossAx val="204945280"/>
        <c:crosses val="autoZero"/>
        <c:auto val="1"/>
        <c:lblAlgn val="ctr"/>
        <c:lblOffset val="100"/>
        <c:noMultiLvlLbl val="0"/>
      </c:catAx>
      <c:valAx>
        <c:axId val="204945280"/>
        <c:scaling>
          <c:orientation val="minMax"/>
          <c:max val="1.0000000000000002E-2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938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481442833454125E-2"/>
          <c:y val="2.5216027563118078E-2"/>
          <c:w val="0.73132239098574037"/>
          <c:h val="0.8600060131802410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 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&lt; 1000 n</c:v>
                </c:pt>
                <c:pt idx="1">
                  <c:v>&lt; 10000 n</c:v>
                </c:pt>
                <c:pt idx="2">
                  <c:v>&lt; 20000 n</c:v>
                </c:pt>
                <c:pt idx="3">
                  <c:v>&lt; 30000 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8.9999999999999993E-3</c:v>
                </c:pt>
                <c:pt idx="1">
                  <c:v>0.4</c:v>
                </c:pt>
                <c:pt idx="2">
                  <c:v>1.4</c:v>
                </c:pt>
                <c:pt idx="3">
                  <c:v>3.5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 Sort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&lt; 1000 n</c:v>
                </c:pt>
                <c:pt idx="1">
                  <c:v>&lt; 10000 n</c:v>
                </c:pt>
                <c:pt idx="2">
                  <c:v>&lt; 20000 n</c:v>
                </c:pt>
                <c:pt idx="3">
                  <c:v>&lt; 30000 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2E-3</c:v>
                </c:pt>
                <c:pt idx="1">
                  <c:v>0.12</c:v>
                </c:pt>
                <c:pt idx="2">
                  <c:v>0.4</c:v>
                </c:pt>
                <c:pt idx="3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Insertion Sort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&lt; 1000 n</c:v>
                </c:pt>
                <c:pt idx="1">
                  <c:v>&lt; 10000 n</c:v>
                </c:pt>
                <c:pt idx="2">
                  <c:v>&lt; 20000 n</c:v>
                </c:pt>
                <c:pt idx="3">
                  <c:v>&lt; 30000 n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2E-3</c:v>
                </c:pt>
                <c:pt idx="1">
                  <c:v>7.0000000000000007E-2</c:v>
                </c:pt>
                <c:pt idx="2">
                  <c:v>0.25</c:v>
                </c:pt>
                <c:pt idx="3">
                  <c:v>0.5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Merge Sort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&lt; 1000 n</c:v>
                </c:pt>
                <c:pt idx="1">
                  <c:v>&lt; 10000 n</c:v>
                </c:pt>
                <c:pt idx="2">
                  <c:v>&lt; 20000 n</c:v>
                </c:pt>
                <c:pt idx="3">
                  <c:v>&lt; 30000 n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Quick Sort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&lt; 1000 n</c:v>
                </c:pt>
                <c:pt idx="1">
                  <c:v>&lt; 10000 n</c:v>
                </c:pt>
                <c:pt idx="2">
                  <c:v>&lt; 20000 n</c:v>
                </c:pt>
                <c:pt idx="3">
                  <c:v>&lt; 30000 n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HeapSort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&lt; 1000 n</c:v>
                </c:pt>
                <c:pt idx="1">
                  <c:v>&lt; 10000 n</c:v>
                </c:pt>
                <c:pt idx="2">
                  <c:v>&lt; 20000 n</c:v>
                </c:pt>
                <c:pt idx="3">
                  <c:v>&lt; 30000 n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7.0000000000000001E-3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635456"/>
        <c:axId val="35652352"/>
      </c:barChart>
      <c:catAx>
        <c:axId val="213635456"/>
        <c:scaling>
          <c:orientation val="minMax"/>
        </c:scaling>
        <c:delete val="0"/>
        <c:axPos val="b"/>
        <c:majorTickMark val="out"/>
        <c:minorTickMark val="none"/>
        <c:tickLblPos val="nextTo"/>
        <c:crossAx val="35652352"/>
        <c:crosses val="autoZero"/>
        <c:auto val="1"/>
        <c:lblAlgn val="ctr"/>
        <c:lblOffset val="100"/>
        <c:noMultiLvlLbl val="0"/>
      </c:catAx>
      <c:valAx>
        <c:axId val="35652352"/>
        <c:scaling>
          <c:orientation val="minMax"/>
          <c:max val="4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635456"/>
        <c:crosses val="autoZero"/>
        <c:crossBetween val="between"/>
        <c:majorUnit val="0.2"/>
        <c:minorUnit val="0.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1491E-BAD1-4F64-8C27-F36CE8E4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591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Magaiver-007</dc:creator>
  <cp:lastModifiedBy>Magaiver-007</cp:lastModifiedBy>
  <cp:revision>6</cp:revision>
  <dcterms:created xsi:type="dcterms:W3CDTF">2019-06-07T20:07:00Z</dcterms:created>
  <dcterms:modified xsi:type="dcterms:W3CDTF">2019-06-11T12:27:00Z</dcterms:modified>
</cp:coreProperties>
</file>