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F4E79"/>
          <w:sz w:val="58"/>
        </w:rPr>
        <w:t>Classical Computer Vision Ball Detection</w:t>
      </w:r>
    </w:p>
    <w:p>
      <w:pPr>
        <w:jc w:val="center"/>
      </w:pPr>
      <w:r>
        <w:rPr>
          <w:color w:val="444444"/>
          <w:sz w:val="30"/>
        </w:rPr>
        <w:t>Detection Pipeline &amp; Accuracy Evaluation — Technical Documentation</w:t>
      </w:r>
    </w:p>
    <w:p>
      <w:pPr>
        <w:jc w:val="center"/>
      </w:pPr>
      <w:r>
        <w:rPr>
          <w:sz w:val="22"/>
        </w:rPr>
        <w:t>Author: Nesma</w:t>
      </w:r>
    </w:p>
    <w:p>
      <w:pPr>
        <w:jc w:val="center"/>
      </w:pPr>
      <w:r>
        <w:rPr>
          <w:sz w:val="22"/>
        </w:rPr>
        <w:t>Task 1.2 — Detect the Pattern (Red / Blue Balls)</w:t>
      </w:r>
    </w:p>
    <w:p>
      <w:pPr>
        <w:jc w:val="center"/>
      </w:pPr>
      <w:r>
        <w:rPr>
          <w:i/>
          <w:color w:val="666666"/>
          <w:sz w:val="22"/>
        </w:rPr>
        <w:t>Files: detect_balls.py · evaluate_accuracy.py</w:t>
      </w:r>
    </w:p>
    <w:p>
      <w:r>
        <w:br w:type="page"/>
      </w:r>
    </w:p>
    <w:p>
      <w:pPr>
        <w:pStyle w:val="Heading1"/>
      </w:pPr>
      <w:r>
        <w:t>1. Overview</w:t>
      </w:r>
    </w:p>
    <w:p>
      <w:r>
        <w:t>This project detects red and blue balls in images using classical computer vision (OpenCV only — no deep learning) and outputs bounding boxes in YOLO label format. A second script then measures how accurate those detections are against hand-made ground-truth labels.</w:t>
      </w:r>
    </w:p>
    <w:p>
      <w:r>
        <w:t>The pipeline has two independent stages:</w:t>
      </w:r>
    </w:p>
    <w:p>
      <w:pPr>
        <w:pStyle w:val="ListNumber"/>
        <w:spacing w:after="80"/>
      </w:pPr>
      <w:r>
        <w:t>detect_balls.py — reads every image in an input folder, detects balls by color and shape, and writes one YOLO-format .txt label file per image.</w:t>
      </w:r>
    </w:p>
    <w:p>
      <w:pPr>
        <w:pStyle w:val="ListNumber"/>
        <w:spacing w:after="80"/>
      </w:pPr>
      <w:r>
        <w:t>evaluate_accuracy.py — compares the predicted .txt files against ground-truth .txt files and reports TP / FP / FN counts and an overall accuracy score.</w:t>
      </w:r>
    </w:p>
    <w:p>
      <w:pPr>
        <w:pStyle w:val="Heading2"/>
      </w:pPr>
      <w:r>
        <w:t>1.1 YOLO Label Format</w:t>
      </w:r>
    </w:p>
    <w:p>
      <w:r>
        <w:t>Each line in a label file describes one detected ball as normalized (0–1) coordinates relative to image width/height:</w:t>
      </w:r>
    </w:p>
    <w:p>
      <w:pPr>
        <w:spacing w:after="160"/>
        <w:ind w:left="216" w:right="216"/>
        <w:shd w:fill="F2F2F2"/>
      </w:pPr>
      <w:r>
        <w:rPr>
          <w:rFonts w:ascii="Consolas" w:hAnsi="Consolas"/>
          <w:sz w:val="17"/>
        </w:rPr>
        <w:t>class_id  x_center  y_center  width  height</w:t>
      </w:r>
    </w:p>
    <w:tbl>
      <w:tblPr>
        <w:tblStyle w:val="TableGrid"/>
        <w:tblW w:type="auto" w:w="0"/>
        <w:jc w:val="center"/>
        <w:tblLook w:firstColumn="1" w:firstRow="1" w:lastColumn="0" w:lastRow="0" w:noHBand="0" w:noVBand="1" w:val="04A0"/>
      </w:tblPr>
      <w:tblGrid>
        <w:gridCol w:w="5040"/>
        <w:gridCol w:w="5040"/>
      </w:tblGrid>
      <w:tr>
        <w:tc>
          <w:tcPr>
            <w:tcW w:type="dxa" w:w="1728"/>
            <w:vAlign w:val="center"/>
            <w:shd w:fill="1F4E79"/>
          </w:tcPr>
          <w:p>
            <w:pPr>
              <w:spacing w:after="0"/>
            </w:pPr>
            <w:r/>
            <w:r>
              <w:rPr>
                <w:rFonts w:ascii="Aptos" w:hAnsi="Aptos"/>
                <w:b/>
                <w:color w:val="FFFFFF"/>
                <w:sz w:val="18"/>
              </w:rPr>
              <w:t>Class ID</w:t>
            </w:r>
          </w:p>
        </w:tc>
        <w:tc>
          <w:tcPr>
            <w:tcW w:type="dxa" w:w="4320"/>
            <w:vAlign w:val="center"/>
            <w:shd w:fill="1F4E79"/>
          </w:tcPr>
          <w:p>
            <w:pPr>
              <w:spacing w:after="0"/>
            </w:pPr>
            <w:r/>
            <w:r>
              <w:rPr>
                <w:rFonts w:ascii="Aptos" w:hAnsi="Aptos"/>
                <w:b/>
                <w:color w:val="FFFFFF"/>
                <w:sz w:val="18"/>
              </w:rPr>
              <w:t>Color</w:t>
            </w:r>
          </w:p>
        </w:tc>
      </w:tr>
      <w:tr>
        <w:tc>
          <w:tcPr>
            <w:tcW w:type="dxa" w:w="1728"/>
            <w:vAlign w:val="center"/>
          </w:tcPr>
          <w:p>
            <w:pPr>
              <w:spacing w:after="0"/>
            </w:pPr>
            <w:r/>
            <w:r>
              <w:rPr>
                <w:rFonts w:ascii="Aptos" w:hAnsi="Aptos"/>
                <w:b w:val="0"/>
                <w:sz w:val="17"/>
              </w:rPr>
              <w:t>0</w:t>
            </w:r>
          </w:p>
        </w:tc>
        <w:tc>
          <w:tcPr>
            <w:tcW w:type="dxa" w:w="4320"/>
            <w:vAlign w:val="center"/>
          </w:tcPr>
          <w:p>
            <w:pPr>
              <w:spacing w:after="0"/>
            </w:pPr>
            <w:r/>
            <w:r>
              <w:rPr>
                <w:rFonts w:ascii="Aptos" w:hAnsi="Aptos"/>
                <w:b w:val="0"/>
                <w:sz w:val="17"/>
              </w:rPr>
              <w:t>Blue</w:t>
            </w:r>
          </w:p>
        </w:tc>
      </w:tr>
      <w:tr>
        <w:tc>
          <w:tcPr>
            <w:tcW w:type="dxa" w:w="1728"/>
            <w:vAlign w:val="center"/>
            <w:shd w:fill="EAF1F8"/>
          </w:tcPr>
          <w:p>
            <w:pPr>
              <w:spacing w:after="0"/>
            </w:pPr>
            <w:r/>
            <w:r>
              <w:rPr>
                <w:rFonts w:ascii="Aptos" w:hAnsi="Aptos"/>
                <w:b w:val="0"/>
                <w:sz w:val="17"/>
              </w:rPr>
              <w:t>1</w:t>
            </w:r>
          </w:p>
        </w:tc>
        <w:tc>
          <w:tcPr>
            <w:tcW w:type="dxa" w:w="4320"/>
            <w:vAlign w:val="center"/>
            <w:shd w:fill="EAF1F8"/>
          </w:tcPr>
          <w:p>
            <w:pPr>
              <w:spacing w:after="0"/>
            </w:pPr>
            <w:r/>
            <w:r>
              <w:rPr>
                <w:rFonts w:ascii="Aptos" w:hAnsi="Aptos"/>
                <w:b w:val="0"/>
                <w:sz w:val="17"/>
              </w:rPr>
              <w:t>Red</w:t>
            </w:r>
          </w:p>
        </w:tc>
      </w:tr>
    </w:tbl>
    <w:p>
      <w:pPr>
        <w:spacing w:after="20"/>
      </w:pPr>
    </w:p>
    <w:p>
      <w:pPr>
        <w:pStyle w:val="Heading1"/>
      </w:pPr>
      <w:r>
        <w:t>2. Detection Pipeline (detect_balls.py)</w:t>
      </w:r>
    </w:p>
    <w:p>
      <w:r>
        <w:t>The detector does not use any trained model. It relies purely on color thresholding in HSV space plus geometric shape filters (circularity, aspect ratio, extent) to decide whether a blob of pixels is a ball. It is the 'IMPROVED VERSION' of an earlier attempt, with four key upgrades made to raise recall without letting false positives explode:</w:t>
      </w:r>
    </w:p>
    <w:p>
      <w:pPr>
        <w:pStyle w:val="ListBullet"/>
        <w:spacing w:after="80"/>
      </w:pPr>
      <w:r>
        <w:t>Wider HSV ranges for both colors, so balls that are partly in shadow (lower saturation/value) still get picked up.</w:t>
      </w:r>
    </w:p>
    <w:p>
      <w:pPr>
        <w:pStyle w:val="ListBullet"/>
        <w:spacing w:after="80"/>
      </w:pPr>
      <w:r>
        <w:t>Relaxed shape filters so partially shadowed or slightly occluded balls survive validation.</w:t>
      </w:r>
    </w:p>
    <w:p>
      <w:pPr>
        <w:pStyle w:val="ListBullet"/>
        <w:spacing w:after="80"/>
      </w:pPr>
      <w:r>
        <w:t>A smaller morphological closing kernel, so two different nearby balls are less likely to be fused into one blob.</w:t>
      </w:r>
    </w:p>
    <w:p>
      <w:pPr>
        <w:pStyle w:val="ListBullet"/>
        <w:spacing w:after="80"/>
      </w:pPr>
      <w:r>
        <w:t>A new distance-transform + watershed splitting step, which separates a blob that actually represents two touching/overlapping balls of the same color instead of losing it entirely.</w:t>
      </w:r>
    </w:p>
    <w:p>
      <w:pPr>
        <w:pStyle w:val="Heading2"/>
      </w:pPr>
      <w:r>
        <w:t>2.1 Pipeline Steps</w:t>
      </w:r>
    </w:p>
    <w:p>
      <w:pPr>
        <w:pStyle w:val="Heading3"/>
      </w:pPr>
      <w:r>
        <w:t>Step 1 — Load and Prepare</w:t>
      </w:r>
    </w:p>
    <w:p>
      <w:r>
        <w:t>Each image is resized to a fixed width (TARGET_WIDTH = 800 px, aspect ratio preserved) so that every threshold in the pipeline behaves consistently regardless of the original photo resolution. It is then converted to HSV, and CLAHE (adaptive histogram equalization) is applied to the V (brightness) channel to boost contrast in dark/shadowed areas before color thresholding.</w:t>
      </w:r>
    </w:p>
    <w:p>
      <w:pPr>
        <w:pStyle w:val="Heading3"/>
      </w:pPr>
      <w:r>
        <w:t>Step 2 — Build a Color Mask</w:t>
      </w:r>
    </w:p>
    <w:p>
      <w:r>
        <w:t>For each class (red, blue), the HSV ranges below are combined into a binary mask:</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vAlign w:val="center"/>
            <w:shd w:fill="1F4E79"/>
          </w:tcPr>
          <w:p>
            <w:pPr>
              <w:spacing w:after="0"/>
            </w:pPr>
            <w:r/>
            <w:r>
              <w:rPr>
                <w:rFonts w:ascii="Aptos" w:hAnsi="Aptos"/>
                <w:b/>
                <w:color w:val="FFFFFF"/>
                <w:sz w:val="18"/>
              </w:rPr>
              <w:t>Class</w:t>
            </w:r>
          </w:p>
        </w:tc>
        <w:tc>
          <w:tcPr>
            <w:tcW w:type="dxa" w:w="3312"/>
            <w:vAlign w:val="center"/>
            <w:shd w:fill="1F4E79"/>
          </w:tcPr>
          <w:p>
            <w:pPr>
              <w:spacing w:after="0"/>
            </w:pPr>
            <w:r/>
            <w:r>
              <w:rPr>
                <w:rFonts w:ascii="Aptos" w:hAnsi="Aptos"/>
                <w:b/>
                <w:color w:val="FFFFFF"/>
                <w:sz w:val="18"/>
              </w:rPr>
              <w:t>Hue range(s)</w:t>
            </w:r>
          </w:p>
        </w:tc>
        <w:tc>
          <w:tcPr>
            <w:tcW w:type="dxa" w:w="1440"/>
            <w:vAlign w:val="center"/>
            <w:shd w:fill="1F4E79"/>
          </w:tcPr>
          <w:p>
            <w:pPr>
              <w:spacing w:after="0"/>
            </w:pPr>
            <w:r/>
            <w:r>
              <w:rPr>
                <w:rFonts w:ascii="Aptos" w:hAnsi="Aptos"/>
                <w:b/>
                <w:color w:val="FFFFFF"/>
                <w:sz w:val="18"/>
              </w:rPr>
              <w:t>Sat. min</w:t>
            </w:r>
          </w:p>
        </w:tc>
        <w:tc>
          <w:tcPr>
            <w:tcW w:type="dxa" w:w="1440"/>
            <w:vAlign w:val="center"/>
            <w:shd w:fill="1F4E79"/>
          </w:tcPr>
          <w:p>
            <w:pPr>
              <w:spacing w:after="0"/>
            </w:pPr>
            <w:r/>
            <w:r>
              <w:rPr>
                <w:rFonts w:ascii="Aptos" w:hAnsi="Aptos"/>
                <w:b/>
                <w:color w:val="FFFFFF"/>
                <w:sz w:val="18"/>
              </w:rPr>
              <w:t>Val. min</w:t>
            </w:r>
          </w:p>
        </w:tc>
      </w:tr>
      <w:tr>
        <w:tc>
          <w:tcPr>
            <w:tcW w:type="dxa" w:w="1728"/>
            <w:vAlign w:val="center"/>
          </w:tcPr>
          <w:p>
            <w:pPr>
              <w:spacing w:after="0"/>
            </w:pPr>
            <w:r/>
            <w:r>
              <w:rPr>
                <w:rFonts w:ascii="Aptos" w:hAnsi="Aptos"/>
                <w:b w:val="0"/>
                <w:sz w:val="17"/>
              </w:rPr>
              <w:t>Red (1)</w:t>
            </w:r>
          </w:p>
        </w:tc>
        <w:tc>
          <w:tcPr>
            <w:tcW w:type="dxa" w:w="3312"/>
            <w:vAlign w:val="center"/>
          </w:tcPr>
          <w:p>
            <w:pPr>
              <w:spacing w:after="0"/>
            </w:pPr>
            <w:r/>
            <w:r>
              <w:rPr>
                <w:rFonts w:ascii="Aptos" w:hAnsi="Aptos"/>
                <w:b w:val="0"/>
                <w:sz w:val="17"/>
              </w:rPr>
              <w:t>0–10 and 170–180 (wraps around)</w:t>
            </w:r>
          </w:p>
        </w:tc>
        <w:tc>
          <w:tcPr>
            <w:tcW w:type="dxa" w:w="1440"/>
            <w:vAlign w:val="center"/>
          </w:tcPr>
          <w:p>
            <w:pPr>
              <w:spacing w:after="0"/>
            </w:pPr>
            <w:r/>
            <w:r>
              <w:rPr>
                <w:rFonts w:ascii="Aptos" w:hAnsi="Aptos"/>
                <w:b w:val="0"/>
                <w:sz w:val="17"/>
              </w:rPr>
              <w:t>110</w:t>
            </w:r>
          </w:p>
        </w:tc>
        <w:tc>
          <w:tcPr>
            <w:tcW w:type="dxa" w:w="1440"/>
            <w:vAlign w:val="center"/>
          </w:tcPr>
          <w:p>
            <w:pPr>
              <w:spacing w:after="0"/>
            </w:pPr>
            <w:r/>
            <w:r>
              <w:rPr>
                <w:rFonts w:ascii="Aptos" w:hAnsi="Aptos"/>
                <w:b w:val="0"/>
                <w:sz w:val="17"/>
              </w:rPr>
              <w:t>55</w:t>
            </w:r>
          </w:p>
        </w:tc>
      </w:tr>
      <w:tr>
        <w:tc>
          <w:tcPr>
            <w:tcW w:type="dxa" w:w="1728"/>
            <w:vAlign w:val="center"/>
            <w:shd w:fill="EAF1F8"/>
          </w:tcPr>
          <w:p>
            <w:pPr>
              <w:spacing w:after="0"/>
            </w:pPr>
            <w:r/>
            <w:r>
              <w:rPr>
                <w:rFonts w:ascii="Aptos" w:hAnsi="Aptos"/>
                <w:b w:val="0"/>
                <w:sz w:val="17"/>
              </w:rPr>
              <w:t>Blue (0)</w:t>
            </w:r>
          </w:p>
        </w:tc>
        <w:tc>
          <w:tcPr>
            <w:tcW w:type="dxa" w:w="3312"/>
            <w:vAlign w:val="center"/>
            <w:shd w:fill="EAF1F8"/>
          </w:tcPr>
          <w:p>
            <w:pPr>
              <w:spacing w:after="0"/>
            </w:pPr>
            <w:r/>
            <w:r>
              <w:rPr>
                <w:rFonts w:ascii="Aptos" w:hAnsi="Aptos"/>
                <w:b w:val="0"/>
                <w:sz w:val="17"/>
              </w:rPr>
              <w:t>100–130</w:t>
            </w:r>
          </w:p>
        </w:tc>
        <w:tc>
          <w:tcPr>
            <w:tcW w:type="dxa" w:w="1440"/>
            <w:vAlign w:val="center"/>
            <w:shd w:fill="EAF1F8"/>
          </w:tcPr>
          <w:p>
            <w:pPr>
              <w:spacing w:after="0"/>
            </w:pPr>
            <w:r/>
            <w:r>
              <w:rPr>
                <w:rFonts w:ascii="Aptos" w:hAnsi="Aptos"/>
                <w:b w:val="0"/>
                <w:sz w:val="17"/>
              </w:rPr>
              <w:t>70</w:t>
            </w:r>
          </w:p>
        </w:tc>
        <w:tc>
          <w:tcPr>
            <w:tcW w:type="dxa" w:w="1440"/>
            <w:vAlign w:val="center"/>
            <w:shd w:fill="EAF1F8"/>
          </w:tcPr>
          <w:p>
            <w:pPr>
              <w:spacing w:after="0"/>
            </w:pPr>
            <w:r/>
            <w:r>
              <w:rPr>
                <w:rFonts w:ascii="Aptos" w:hAnsi="Aptos"/>
                <w:b w:val="0"/>
                <w:sz w:val="17"/>
              </w:rPr>
              <w:t>35</w:t>
            </w:r>
          </w:p>
        </w:tc>
      </w:tr>
    </w:tbl>
    <w:p>
      <w:pPr>
        <w:spacing w:after="20"/>
      </w:pPr>
    </w:p>
    <w:p>
      <w:r>
        <w:t>Red needed two separate hue ranges because red sits at both ends of the HSV hue wheel. Its saturation/value minimums were deliberately raised back up during tuning because warm-toned shadows and brownish surfaces (cloth, shaded pavement) were being misclassified as red balls under looser thresholds.</w:t>
      </w:r>
    </w:p>
    <w:p>
      <w:r>
        <w:t>The mask is then cleaned in two morphological passes:</w:t>
      </w:r>
    </w:p>
    <w:p>
      <w:pPr>
        <w:pStyle w:val="ListBullet"/>
        <w:spacing w:after="80"/>
      </w:pPr>
      <w:r>
        <w:t>Opening (3×3 kernel) — removes thin noise/wires without eating into small, distant balls.</w:t>
      </w:r>
    </w:p>
    <w:p>
      <w:pPr>
        <w:pStyle w:val="ListBullet"/>
        <w:spacing w:after="80"/>
      </w:pPr>
      <w:r>
        <w:t>Closing (18×18 square kernel) — reconnects a single ball's own color patches into one solid blob. A square kernel was found empirically to outperform an elliptical one on this dataset.</w:t>
      </w:r>
    </w:p>
    <w:p>
      <w:pPr>
        <w:pStyle w:val="Heading3"/>
      </w:pPr>
      <w:r>
        <w:t>Step 3 — Validate Each Blob as a Ball</w:t>
      </w:r>
    </w:p>
    <w:p>
      <w:r>
        <w:t>Every contour found in the mask is checked against four geometric filters before it is accepted as a ball:</w:t>
      </w:r>
    </w:p>
    <w:tbl>
      <w:tblPr>
        <w:tblStyle w:val="TableGrid"/>
        <w:tblW w:type="auto" w:w="0"/>
        <w:jc w:val="center"/>
        <w:tblLook w:firstColumn="1" w:firstRow="1" w:lastColumn="0" w:lastRow="0" w:noHBand="0" w:noVBand="1" w:val="04A0"/>
      </w:tblPr>
      <w:tblGrid>
        <w:gridCol w:w="3360"/>
        <w:gridCol w:w="3360"/>
        <w:gridCol w:w="3360"/>
      </w:tblGrid>
      <w:tr>
        <w:tc>
          <w:tcPr>
            <w:tcW w:type="dxa" w:w="2304"/>
            <w:vAlign w:val="center"/>
            <w:shd w:fill="1F4E79"/>
          </w:tcPr>
          <w:p>
            <w:pPr>
              <w:spacing w:after="0"/>
            </w:pPr>
            <w:r/>
            <w:r>
              <w:rPr>
                <w:rFonts w:ascii="Aptos" w:hAnsi="Aptos"/>
                <w:b/>
                <w:color w:val="FFFFFF"/>
                <w:sz w:val="18"/>
              </w:rPr>
              <w:t>Filter</w:t>
            </w:r>
          </w:p>
        </w:tc>
        <w:tc>
          <w:tcPr>
            <w:tcW w:type="dxa" w:w="1872"/>
            <w:vAlign w:val="center"/>
            <w:shd w:fill="1F4E79"/>
          </w:tcPr>
          <w:p>
            <w:pPr>
              <w:spacing w:after="0"/>
            </w:pPr>
            <w:r/>
            <w:r>
              <w:rPr>
                <w:rFonts w:ascii="Aptos" w:hAnsi="Aptos"/>
                <w:b/>
                <w:color w:val="FFFFFF"/>
                <w:sz w:val="18"/>
              </w:rPr>
              <w:t>Threshold</w:t>
            </w:r>
          </w:p>
        </w:tc>
        <w:tc>
          <w:tcPr>
            <w:tcW w:type="dxa" w:w="4032"/>
            <w:vAlign w:val="center"/>
            <w:shd w:fill="1F4E79"/>
          </w:tcPr>
          <w:p>
            <w:pPr>
              <w:spacing w:after="0"/>
            </w:pPr>
            <w:r/>
            <w:r>
              <w:rPr>
                <w:rFonts w:ascii="Aptos" w:hAnsi="Aptos"/>
                <w:b/>
                <w:color w:val="FFFFFF"/>
                <w:sz w:val="18"/>
              </w:rPr>
              <w:t>Purpose</w:t>
            </w:r>
          </w:p>
        </w:tc>
      </w:tr>
      <w:tr>
        <w:tc>
          <w:tcPr>
            <w:tcW w:type="dxa" w:w="2304"/>
            <w:vAlign w:val="center"/>
          </w:tcPr>
          <w:p>
            <w:pPr>
              <w:spacing w:after="0"/>
            </w:pPr>
            <w:r/>
            <w:r>
              <w:rPr>
                <w:rFonts w:ascii="Aptos" w:hAnsi="Aptos"/>
                <w:b w:val="0"/>
                <w:sz w:val="17"/>
              </w:rPr>
              <w:t>Min area ratio</w:t>
            </w:r>
          </w:p>
        </w:tc>
        <w:tc>
          <w:tcPr>
            <w:tcW w:type="dxa" w:w="1872"/>
            <w:vAlign w:val="center"/>
          </w:tcPr>
          <w:p>
            <w:pPr>
              <w:spacing w:after="0"/>
            </w:pPr>
            <w:r/>
            <w:r>
              <w:rPr>
                <w:rFonts w:ascii="Aptos" w:hAnsi="Aptos"/>
                <w:b w:val="0"/>
                <w:sz w:val="17"/>
              </w:rPr>
              <w:t>0.0002 × image area</w:t>
            </w:r>
          </w:p>
        </w:tc>
        <w:tc>
          <w:tcPr>
            <w:tcW w:type="dxa" w:w="4032"/>
            <w:vAlign w:val="center"/>
          </w:tcPr>
          <w:p>
            <w:pPr>
              <w:spacing w:after="0"/>
            </w:pPr>
            <w:r/>
            <w:r>
              <w:rPr>
                <w:rFonts w:ascii="Aptos" w:hAnsi="Aptos"/>
                <w:b w:val="0"/>
                <w:sz w:val="17"/>
              </w:rPr>
              <w:t>Rejects tiny specks of noise.</w:t>
            </w:r>
          </w:p>
        </w:tc>
      </w:tr>
      <w:tr>
        <w:tc>
          <w:tcPr>
            <w:tcW w:type="dxa" w:w="2304"/>
            <w:vAlign w:val="center"/>
            <w:shd w:fill="EAF1F8"/>
          </w:tcPr>
          <w:p>
            <w:pPr>
              <w:spacing w:after="0"/>
            </w:pPr>
            <w:r/>
            <w:r>
              <w:rPr>
                <w:rFonts w:ascii="Aptos" w:hAnsi="Aptos"/>
                <w:b w:val="0"/>
                <w:sz w:val="17"/>
              </w:rPr>
              <w:t>Circularity (convex-hull based)</w:t>
            </w:r>
          </w:p>
        </w:tc>
        <w:tc>
          <w:tcPr>
            <w:tcW w:type="dxa" w:w="1872"/>
            <w:vAlign w:val="center"/>
            <w:shd w:fill="EAF1F8"/>
          </w:tcPr>
          <w:p>
            <w:pPr>
              <w:spacing w:after="0"/>
            </w:pPr>
            <w:r/>
            <w:r>
              <w:rPr>
                <w:rFonts w:ascii="Aptos" w:hAnsi="Aptos"/>
                <w:b w:val="0"/>
                <w:sz w:val="17"/>
              </w:rPr>
              <w:t>≥ 0.85</w:t>
            </w:r>
          </w:p>
        </w:tc>
        <w:tc>
          <w:tcPr>
            <w:tcW w:type="dxa" w:w="4032"/>
            <w:vAlign w:val="center"/>
            <w:shd w:fill="EAF1F8"/>
          </w:tcPr>
          <w:p>
            <w:pPr>
              <w:spacing w:after="0"/>
            </w:pPr>
            <w:r/>
            <w:r>
              <w:rPr>
                <w:rFonts w:ascii="Aptos" w:hAnsi="Aptos"/>
                <w:b w:val="0"/>
                <w:sz w:val="17"/>
              </w:rPr>
              <w:t>Rejects elongated / irregular blobs; 1.0 = perfect circle.</w:t>
            </w:r>
          </w:p>
        </w:tc>
      </w:tr>
      <w:tr>
        <w:tc>
          <w:tcPr>
            <w:tcW w:type="dxa" w:w="2304"/>
            <w:vAlign w:val="center"/>
          </w:tcPr>
          <w:p>
            <w:pPr>
              <w:spacing w:after="0"/>
            </w:pPr>
            <w:r/>
            <w:r>
              <w:rPr>
                <w:rFonts w:ascii="Aptos" w:hAnsi="Aptos"/>
                <w:b w:val="0"/>
                <w:sz w:val="17"/>
              </w:rPr>
              <w:t>Aspect ratio (w/h)</w:t>
            </w:r>
          </w:p>
        </w:tc>
        <w:tc>
          <w:tcPr>
            <w:tcW w:type="dxa" w:w="1872"/>
            <w:vAlign w:val="center"/>
          </w:tcPr>
          <w:p>
            <w:pPr>
              <w:spacing w:after="0"/>
            </w:pPr>
            <w:r/>
            <w:r>
              <w:rPr>
                <w:rFonts w:ascii="Aptos" w:hAnsi="Aptos"/>
                <w:b w:val="0"/>
                <w:sz w:val="17"/>
              </w:rPr>
              <w:t>0.65 – 1.15</w:t>
            </w:r>
          </w:p>
        </w:tc>
        <w:tc>
          <w:tcPr>
            <w:tcW w:type="dxa" w:w="4032"/>
            <w:vAlign w:val="center"/>
          </w:tcPr>
          <w:p>
            <w:pPr>
              <w:spacing w:after="0"/>
            </w:pPr>
            <w:r/>
            <w:r>
              <w:rPr>
                <w:rFonts w:ascii="Aptos" w:hAnsi="Aptos"/>
                <w:b w:val="0"/>
                <w:sz w:val="17"/>
              </w:rPr>
              <w:t>Rejects stretched or squashed bounding boxes.</w:t>
            </w:r>
          </w:p>
        </w:tc>
      </w:tr>
      <w:tr>
        <w:tc>
          <w:tcPr>
            <w:tcW w:type="dxa" w:w="2304"/>
            <w:vAlign w:val="center"/>
            <w:shd w:fill="EAF1F8"/>
          </w:tcPr>
          <w:p>
            <w:pPr>
              <w:spacing w:after="0"/>
            </w:pPr>
            <w:r/>
            <w:r>
              <w:rPr>
                <w:rFonts w:ascii="Aptos" w:hAnsi="Aptos"/>
                <w:b w:val="0"/>
                <w:sz w:val="17"/>
              </w:rPr>
              <w:t>Extent (area / bbox area)</w:t>
            </w:r>
          </w:p>
        </w:tc>
        <w:tc>
          <w:tcPr>
            <w:tcW w:type="dxa" w:w="1872"/>
            <w:vAlign w:val="center"/>
            <w:shd w:fill="EAF1F8"/>
          </w:tcPr>
          <w:p>
            <w:pPr>
              <w:spacing w:after="0"/>
            </w:pPr>
            <w:r/>
            <w:r>
              <w:rPr>
                <w:rFonts w:ascii="Aptos" w:hAnsi="Aptos"/>
                <w:b w:val="0"/>
                <w:sz w:val="17"/>
              </w:rPr>
              <w:t>≥ 0.62</w:t>
            </w:r>
          </w:p>
        </w:tc>
        <w:tc>
          <w:tcPr>
            <w:tcW w:type="dxa" w:w="4032"/>
            <w:vAlign w:val="center"/>
            <w:shd w:fill="EAF1F8"/>
          </w:tcPr>
          <w:p>
            <w:pPr>
              <w:spacing w:after="0"/>
            </w:pPr>
            <w:r/>
            <w:r>
              <w:rPr>
                <w:rFonts w:ascii="Aptos" w:hAnsi="Aptos"/>
                <w:b w:val="0"/>
                <w:sz w:val="17"/>
              </w:rPr>
              <w:t>Rejects blobs that only loosely fill their bounding box.</w:t>
            </w:r>
          </w:p>
        </w:tc>
      </w:tr>
    </w:tbl>
    <w:p>
      <w:pPr>
        <w:spacing w:after="20"/>
      </w:pPr>
    </w:p>
    <w:p>
      <w:pPr>
        <w:pStyle w:val="Heading3"/>
      </w:pPr>
      <w:r>
        <w:t>Step 4 — Recover Balls Merged by a Thin Bridge</w:t>
      </w:r>
    </w:p>
    <w:p>
      <w:r>
        <w:t>Sometimes a real ball touches a nearby object of a similar color (e.g. a tank or cable) through a thin strip of pixels, which ruins its circularity and gets the whole blob rejected. To recover it, the blob is isolated into its own mask and progressively opened (erosion + dilation) with growing elliptical kernels (5, 7, 9, 11, 15). Opening breaks thin bridges while leaving large round blobs mostly intact.</w:t>
      </w:r>
    </w:p>
    <w:p>
      <w:r>
        <w:t>This recovery is only attempted when two safety conditions hold, so background clutter isn't mistaken for a ball:</w:t>
      </w:r>
    </w:p>
    <w:p>
      <w:pPr>
        <w:pStyle w:val="ListBullet"/>
        <w:spacing w:after="80"/>
      </w:pPr>
      <w:r>
        <w:t>The original (un-opened) blob must already be reasonably round (circularity ≥ 0.40) — a real ball with a bridge is still roughly round overall; chaotic textures (wood grain, shelving) are not.</w:t>
      </w:r>
    </w:p>
    <w:p>
      <w:pPr>
        <w:pStyle w:val="ListBullet"/>
        <w:spacing w:after="80"/>
      </w:pPr>
      <w:r>
        <w:t>After opening, the surviving fragment must retain at least 45% of the original blob's area, so a random small round fragment of clutter isn't mistaken for the trimmed ball.</w:t>
      </w:r>
    </w:p>
    <w:p>
      <w:pPr>
        <w:pStyle w:val="Heading3"/>
      </w:pPr>
      <w:r>
        <w:t>Step 5 — Split Merged/Touching Balls (Watershed)</w:t>
      </w:r>
    </w:p>
    <w:p>
      <w:r>
        <w:t>If a blob fails whole-shape validation AND is clearly larger than a single ball should be (≥ 2.5× the minimum ball area), it is assumed to possibly be two balls merged together. A distance-transform is computed on the isolated blob, thresholded at 50% of its peak value to seed 'sure foreground' markers, and OpenCV's watershed algorithm separates the blob along the resulting boundary. Each resulting sub-region is re-validated with the same Step 3 filters.</w:t>
      </w:r>
    </w:p>
    <w:p>
      <w:pPr>
        <w:pStyle w:val="Heading3"/>
      </w:pPr>
      <w:r>
        <w:t>Step 6 — Remove Duplicate Detections (NMS)</w:t>
      </w:r>
    </w:p>
    <w:p>
      <w:r>
        <w:t>Because the recovery and splitting steps can occasionally produce overlapping boxes for what is really the same ball, a simple greedy Non-Maximum Suppression pass removes duplicates: boxes are sorted largest-first, and any box overlapping an already-kept box by IoU &gt; 0.3 is discarded.</w:t>
      </w:r>
    </w:p>
    <w:p>
      <w:pPr>
        <w:pStyle w:val="Heading3"/>
      </w:pPr>
      <w:r>
        <w:t>Step 7 — Convert to YOLO Format &amp; Write Labels</w:t>
      </w:r>
    </w:p>
    <w:p>
      <w:r>
        <w:t>Final pixel-space boxes (x, y, width, height) are normalized against the image dimensions into YOLO format and written to a .txt file named after the source image, one line per detected ball.</w:t>
      </w:r>
    </w:p>
    <w:p>
      <w:pPr>
        <w:pStyle w:val="Heading2"/>
      </w:pPr>
      <w:r>
        <w:t>2.2 Configuration Reference</w:t>
      </w:r>
    </w:p>
    <w:tbl>
      <w:tblPr>
        <w:tblStyle w:val="TableGrid"/>
        <w:tblW w:type="auto" w:w="0"/>
        <w:jc w:val="center"/>
        <w:tblLook w:firstColumn="1" w:firstRow="1" w:lastColumn="0" w:lastRow="0" w:noHBand="0" w:noVBand="1" w:val="04A0"/>
      </w:tblPr>
      <w:tblGrid>
        <w:gridCol w:w="3360"/>
        <w:gridCol w:w="3360"/>
        <w:gridCol w:w="3360"/>
      </w:tblGrid>
      <w:tr>
        <w:tc>
          <w:tcPr>
            <w:tcW w:type="dxa" w:w="3168"/>
            <w:vAlign w:val="center"/>
            <w:shd w:fill="1F4E79"/>
          </w:tcPr>
          <w:p>
            <w:pPr>
              <w:spacing w:after="0"/>
            </w:pPr>
            <w:r/>
            <w:r>
              <w:rPr>
                <w:rFonts w:ascii="Aptos" w:hAnsi="Aptos"/>
                <w:b/>
                <w:color w:val="FFFFFF"/>
                <w:sz w:val="18"/>
              </w:rPr>
              <w:t>Parameter</w:t>
            </w:r>
          </w:p>
        </w:tc>
        <w:tc>
          <w:tcPr>
            <w:tcW w:type="dxa" w:w="1728"/>
            <w:vAlign w:val="center"/>
            <w:shd w:fill="1F4E79"/>
          </w:tcPr>
          <w:p>
            <w:pPr>
              <w:spacing w:after="0"/>
            </w:pPr>
            <w:r/>
            <w:r>
              <w:rPr>
                <w:rFonts w:ascii="Aptos" w:hAnsi="Aptos"/>
                <w:b/>
                <w:color w:val="FFFFFF"/>
                <w:sz w:val="18"/>
              </w:rPr>
              <w:t>Value</w:t>
            </w:r>
          </w:p>
        </w:tc>
        <w:tc>
          <w:tcPr>
            <w:tcW w:type="dxa" w:w="4608"/>
            <w:vAlign w:val="center"/>
            <w:shd w:fill="1F4E79"/>
          </w:tcPr>
          <w:p>
            <w:pPr>
              <w:spacing w:after="0"/>
            </w:pPr>
            <w:r/>
            <w:r>
              <w:rPr>
                <w:rFonts w:ascii="Aptos" w:hAnsi="Aptos"/>
                <w:b/>
                <w:color w:val="FFFFFF"/>
                <w:sz w:val="18"/>
              </w:rPr>
              <w:t>Meaning</w:t>
            </w:r>
          </w:p>
        </w:tc>
      </w:tr>
      <w:tr>
        <w:tc>
          <w:tcPr>
            <w:tcW w:type="dxa" w:w="3168"/>
            <w:vAlign w:val="center"/>
          </w:tcPr>
          <w:p>
            <w:pPr>
              <w:spacing w:after="0"/>
            </w:pPr>
            <w:r/>
            <w:r>
              <w:rPr>
                <w:rFonts w:ascii="Aptos" w:hAnsi="Aptos"/>
                <w:b w:val="0"/>
                <w:sz w:val="17"/>
              </w:rPr>
              <w:t>TARGET_WIDTH</w:t>
            </w:r>
          </w:p>
        </w:tc>
        <w:tc>
          <w:tcPr>
            <w:tcW w:type="dxa" w:w="1728"/>
            <w:vAlign w:val="center"/>
          </w:tcPr>
          <w:p>
            <w:pPr>
              <w:spacing w:after="0"/>
            </w:pPr>
            <w:r/>
            <w:r>
              <w:rPr>
                <w:rFonts w:ascii="Aptos" w:hAnsi="Aptos"/>
                <w:b w:val="0"/>
                <w:sz w:val="17"/>
              </w:rPr>
              <w:t>800</w:t>
            </w:r>
          </w:p>
        </w:tc>
        <w:tc>
          <w:tcPr>
            <w:tcW w:type="dxa" w:w="4608"/>
            <w:vAlign w:val="center"/>
          </w:tcPr>
          <w:p>
            <w:pPr>
              <w:spacing w:after="0"/>
            </w:pPr>
            <w:r/>
            <w:r>
              <w:rPr>
                <w:rFonts w:ascii="Aptos" w:hAnsi="Aptos"/>
                <w:b w:val="0"/>
                <w:sz w:val="17"/>
              </w:rPr>
              <w:t>Width (px) all images are resized to before processing.</w:t>
            </w:r>
          </w:p>
        </w:tc>
      </w:tr>
      <w:tr>
        <w:tc>
          <w:tcPr>
            <w:tcW w:type="dxa" w:w="3168"/>
            <w:vAlign w:val="center"/>
            <w:shd w:fill="EAF1F8"/>
          </w:tcPr>
          <w:p>
            <w:pPr>
              <w:spacing w:after="0"/>
            </w:pPr>
            <w:r/>
            <w:r>
              <w:rPr>
                <w:rFonts w:ascii="Aptos" w:hAnsi="Aptos"/>
                <w:b w:val="0"/>
                <w:sz w:val="17"/>
              </w:rPr>
              <w:t>MIN_AREA_RATIO</w:t>
            </w:r>
          </w:p>
        </w:tc>
        <w:tc>
          <w:tcPr>
            <w:tcW w:type="dxa" w:w="1728"/>
            <w:vAlign w:val="center"/>
            <w:shd w:fill="EAF1F8"/>
          </w:tcPr>
          <w:p>
            <w:pPr>
              <w:spacing w:after="0"/>
            </w:pPr>
            <w:r/>
            <w:r>
              <w:rPr>
                <w:rFonts w:ascii="Aptos" w:hAnsi="Aptos"/>
                <w:b w:val="0"/>
                <w:sz w:val="17"/>
              </w:rPr>
              <w:t>0.0002</w:t>
            </w:r>
          </w:p>
        </w:tc>
        <w:tc>
          <w:tcPr>
            <w:tcW w:type="dxa" w:w="4608"/>
            <w:vAlign w:val="center"/>
            <w:shd w:fill="EAF1F8"/>
          </w:tcPr>
          <w:p>
            <w:pPr>
              <w:spacing w:after="0"/>
            </w:pPr>
            <w:r/>
            <w:r>
              <w:rPr>
                <w:rFonts w:ascii="Aptos" w:hAnsi="Aptos"/>
                <w:b w:val="0"/>
                <w:sz w:val="17"/>
              </w:rPr>
              <w:t>Minimum blob area, as a fraction of total image area.</w:t>
            </w:r>
          </w:p>
        </w:tc>
      </w:tr>
      <w:tr>
        <w:tc>
          <w:tcPr>
            <w:tcW w:type="dxa" w:w="3168"/>
            <w:vAlign w:val="center"/>
          </w:tcPr>
          <w:p>
            <w:pPr>
              <w:spacing w:after="0"/>
            </w:pPr>
            <w:r/>
            <w:r>
              <w:rPr>
                <w:rFonts w:ascii="Aptos" w:hAnsi="Aptos"/>
                <w:b w:val="0"/>
                <w:sz w:val="17"/>
              </w:rPr>
              <w:t>MIN_CIRCULARITY</w:t>
            </w:r>
          </w:p>
        </w:tc>
        <w:tc>
          <w:tcPr>
            <w:tcW w:type="dxa" w:w="1728"/>
            <w:vAlign w:val="center"/>
          </w:tcPr>
          <w:p>
            <w:pPr>
              <w:spacing w:after="0"/>
            </w:pPr>
            <w:r/>
            <w:r>
              <w:rPr>
                <w:rFonts w:ascii="Aptos" w:hAnsi="Aptos"/>
                <w:b w:val="0"/>
                <w:sz w:val="17"/>
              </w:rPr>
              <w:t>0.85</w:t>
            </w:r>
          </w:p>
        </w:tc>
        <w:tc>
          <w:tcPr>
            <w:tcW w:type="dxa" w:w="4608"/>
            <w:vAlign w:val="center"/>
          </w:tcPr>
          <w:p>
            <w:pPr>
              <w:spacing w:after="0"/>
            </w:pPr>
            <w:r/>
            <w:r>
              <w:rPr>
                <w:rFonts w:ascii="Aptos" w:hAnsi="Aptos"/>
                <w:b w:val="0"/>
                <w:sz w:val="17"/>
              </w:rPr>
              <w:t>Minimum roundness score to accept a blob as a ball.</w:t>
            </w:r>
          </w:p>
        </w:tc>
      </w:tr>
      <w:tr>
        <w:tc>
          <w:tcPr>
            <w:tcW w:type="dxa" w:w="3168"/>
            <w:vAlign w:val="center"/>
            <w:shd w:fill="EAF1F8"/>
          </w:tcPr>
          <w:p>
            <w:pPr>
              <w:spacing w:after="0"/>
            </w:pPr>
            <w:r/>
            <w:r>
              <w:rPr>
                <w:rFonts w:ascii="Aptos" w:hAnsi="Aptos"/>
                <w:b w:val="0"/>
                <w:sz w:val="17"/>
              </w:rPr>
              <w:t>MIN_ASPECT_RATIO / MAX_ASPECT_RATIO</w:t>
            </w:r>
          </w:p>
        </w:tc>
        <w:tc>
          <w:tcPr>
            <w:tcW w:type="dxa" w:w="1728"/>
            <w:vAlign w:val="center"/>
            <w:shd w:fill="EAF1F8"/>
          </w:tcPr>
          <w:p>
            <w:pPr>
              <w:spacing w:after="0"/>
            </w:pPr>
            <w:r/>
            <w:r>
              <w:rPr>
                <w:rFonts w:ascii="Aptos" w:hAnsi="Aptos"/>
                <w:b w:val="0"/>
                <w:sz w:val="17"/>
              </w:rPr>
              <w:t>0.65 / 1.15</w:t>
            </w:r>
          </w:p>
        </w:tc>
        <w:tc>
          <w:tcPr>
            <w:tcW w:type="dxa" w:w="4608"/>
            <w:vAlign w:val="center"/>
            <w:shd w:fill="EAF1F8"/>
          </w:tcPr>
          <w:p>
            <w:pPr>
              <w:spacing w:after="0"/>
            </w:pPr>
            <w:r/>
            <w:r>
              <w:rPr>
                <w:rFonts w:ascii="Aptos" w:hAnsi="Aptos"/>
                <w:b w:val="0"/>
                <w:sz w:val="17"/>
              </w:rPr>
              <w:t>Allowed bounding-box width/height ratio range.</w:t>
            </w:r>
          </w:p>
        </w:tc>
      </w:tr>
      <w:tr>
        <w:tc>
          <w:tcPr>
            <w:tcW w:type="dxa" w:w="3168"/>
            <w:vAlign w:val="center"/>
          </w:tcPr>
          <w:p>
            <w:pPr>
              <w:spacing w:after="0"/>
            </w:pPr>
            <w:r/>
            <w:r>
              <w:rPr>
                <w:rFonts w:ascii="Aptos" w:hAnsi="Aptos"/>
                <w:b w:val="0"/>
                <w:sz w:val="17"/>
              </w:rPr>
              <w:t>MIN_EXTENT</w:t>
            </w:r>
          </w:p>
        </w:tc>
        <w:tc>
          <w:tcPr>
            <w:tcW w:type="dxa" w:w="1728"/>
            <w:vAlign w:val="center"/>
          </w:tcPr>
          <w:p>
            <w:pPr>
              <w:spacing w:after="0"/>
            </w:pPr>
            <w:r/>
            <w:r>
              <w:rPr>
                <w:rFonts w:ascii="Aptos" w:hAnsi="Aptos"/>
                <w:b w:val="0"/>
                <w:sz w:val="17"/>
              </w:rPr>
              <w:t>0.62</w:t>
            </w:r>
          </w:p>
        </w:tc>
        <w:tc>
          <w:tcPr>
            <w:tcW w:type="dxa" w:w="4608"/>
            <w:vAlign w:val="center"/>
          </w:tcPr>
          <w:p>
            <w:pPr>
              <w:spacing w:after="0"/>
            </w:pPr>
            <w:r/>
            <w:r>
              <w:rPr>
                <w:rFonts w:ascii="Aptos" w:hAnsi="Aptos"/>
                <w:b w:val="0"/>
                <w:sz w:val="17"/>
              </w:rPr>
              <w:t>Minimum fraction of the bounding box the blob must fill.</w:t>
            </w:r>
          </w:p>
        </w:tc>
      </w:tr>
      <w:tr>
        <w:tc>
          <w:tcPr>
            <w:tcW w:type="dxa" w:w="3168"/>
            <w:vAlign w:val="center"/>
            <w:shd w:fill="EAF1F8"/>
          </w:tcPr>
          <w:p>
            <w:pPr>
              <w:spacing w:after="0"/>
            </w:pPr>
            <w:r/>
            <w:r>
              <w:rPr>
                <w:rFonts w:ascii="Aptos" w:hAnsi="Aptos"/>
                <w:b w:val="0"/>
                <w:sz w:val="17"/>
              </w:rPr>
              <w:t>SPLIT_AREA_MULTIPLIER</w:t>
            </w:r>
          </w:p>
        </w:tc>
        <w:tc>
          <w:tcPr>
            <w:tcW w:type="dxa" w:w="1728"/>
            <w:vAlign w:val="center"/>
            <w:shd w:fill="EAF1F8"/>
          </w:tcPr>
          <w:p>
            <w:pPr>
              <w:spacing w:after="0"/>
            </w:pPr>
            <w:r/>
            <w:r>
              <w:rPr>
                <w:rFonts w:ascii="Aptos" w:hAnsi="Aptos"/>
                <w:b w:val="0"/>
                <w:sz w:val="17"/>
              </w:rPr>
              <w:t>2.5</w:t>
            </w:r>
          </w:p>
        </w:tc>
        <w:tc>
          <w:tcPr>
            <w:tcW w:type="dxa" w:w="4608"/>
            <w:vAlign w:val="center"/>
            <w:shd w:fill="EAF1F8"/>
          </w:tcPr>
          <w:p>
            <w:pPr>
              <w:spacing w:after="0"/>
            </w:pPr>
            <w:r/>
            <w:r>
              <w:rPr>
                <w:rFonts w:ascii="Aptos" w:hAnsi="Aptos"/>
                <w:b w:val="0"/>
                <w:sz w:val="17"/>
              </w:rPr>
              <w:t>How many times the minimum ball area a blob must exceed before watershed splitting is attempted.</w:t>
            </w:r>
          </w:p>
        </w:tc>
      </w:tr>
      <w:tr>
        <w:tc>
          <w:tcPr>
            <w:tcW w:type="dxa" w:w="3168"/>
            <w:vAlign w:val="center"/>
          </w:tcPr>
          <w:p>
            <w:pPr>
              <w:spacing w:after="0"/>
            </w:pPr>
            <w:r/>
            <w:r>
              <w:rPr>
                <w:rFonts w:ascii="Aptos" w:hAnsi="Aptos"/>
                <w:b w:val="0"/>
                <w:sz w:val="17"/>
              </w:rPr>
              <w:t>WATERSHED_PEAK_RATIO</w:t>
            </w:r>
          </w:p>
        </w:tc>
        <w:tc>
          <w:tcPr>
            <w:tcW w:type="dxa" w:w="1728"/>
            <w:vAlign w:val="center"/>
          </w:tcPr>
          <w:p>
            <w:pPr>
              <w:spacing w:after="0"/>
            </w:pPr>
            <w:r/>
            <w:r>
              <w:rPr>
                <w:rFonts w:ascii="Aptos" w:hAnsi="Aptos"/>
                <w:b w:val="0"/>
                <w:sz w:val="17"/>
              </w:rPr>
              <w:t>0.5</w:t>
            </w:r>
          </w:p>
        </w:tc>
        <w:tc>
          <w:tcPr>
            <w:tcW w:type="dxa" w:w="4608"/>
            <w:vAlign w:val="center"/>
          </w:tcPr>
          <w:p>
            <w:pPr>
              <w:spacing w:after="0"/>
            </w:pPr>
            <w:r/>
            <w:r>
              <w:rPr>
                <w:rFonts w:ascii="Aptos" w:hAnsi="Aptos"/>
                <w:b w:val="0"/>
                <w:sz w:val="17"/>
              </w:rPr>
              <w:t>Fraction of the distance-transform peak used to seed watershed markers; lower = splits more aggressively.</w:t>
            </w:r>
          </w:p>
        </w:tc>
      </w:tr>
      <w:tr>
        <w:tc>
          <w:tcPr>
            <w:tcW w:type="dxa" w:w="3168"/>
            <w:vAlign w:val="center"/>
            <w:shd w:fill="EAF1F8"/>
          </w:tcPr>
          <w:p>
            <w:pPr>
              <w:spacing w:after="0"/>
            </w:pPr>
            <w:r/>
            <w:r>
              <w:rPr>
                <w:rFonts w:ascii="Aptos" w:hAnsi="Aptos"/>
                <w:b w:val="0"/>
                <w:sz w:val="17"/>
              </w:rPr>
              <w:t>NMS_IOU_THRESHOLD</w:t>
            </w:r>
          </w:p>
        </w:tc>
        <w:tc>
          <w:tcPr>
            <w:tcW w:type="dxa" w:w="1728"/>
            <w:vAlign w:val="center"/>
            <w:shd w:fill="EAF1F8"/>
          </w:tcPr>
          <w:p>
            <w:pPr>
              <w:spacing w:after="0"/>
            </w:pPr>
            <w:r/>
            <w:r>
              <w:rPr>
                <w:rFonts w:ascii="Aptos" w:hAnsi="Aptos"/>
                <w:b w:val="0"/>
                <w:sz w:val="17"/>
              </w:rPr>
              <w:t>0.3</w:t>
            </w:r>
          </w:p>
        </w:tc>
        <w:tc>
          <w:tcPr>
            <w:tcW w:type="dxa" w:w="4608"/>
            <w:vAlign w:val="center"/>
            <w:shd w:fill="EAF1F8"/>
          </w:tcPr>
          <w:p>
            <w:pPr>
              <w:spacing w:after="0"/>
            </w:pPr>
            <w:r/>
            <w:r>
              <w:rPr>
                <w:rFonts w:ascii="Aptos" w:hAnsi="Aptos"/>
                <w:b w:val="0"/>
                <w:sz w:val="17"/>
              </w:rPr>
              <w:t>IoU above which two same-class boxes are treated as duplicates.</w:t>
            </w:r>
          </w:p>
        </w:tc>
      </w:tr>
      <w:tr>
        <w:tc>
          <w:tcPr>
            <w:tcW w:type="dxa" w:w="3168"/>
            <w:vAlign w:val="center"/>
          </w:tcPr>
          <w:p>
            <w:pPr>
              <w:spacing w:after="0"/>
            </w:pPr>
            <w:r/>
            <w:r>
              <w:rPr>
                <w:rFonts w:ascii="Aptos" w:hAnsi="Aptos"/>
                <w:b w:val="0"/>
                <w:sz w:val="17"/>
              </w:rPr>
              <w:t>RECOVERY_MIN_ORIGINAL_CIRCULARITY</w:t>
            </w:r>
          </w:p>
        </w:tc>
        <w:tc>
          <w:tcPr>
            <w:tcW w:type="dxa" w:w="1728"/>
            <w:vAlign w:val="center"/>
          </w:tcPr>
          <w:p>
            <w:pPr>
              <w:spacing w:after="0"/>
            </w:pPr>
            <w:r/>
            <w:r>
              <w:rPr>
                <w:rFonts w:ascii="Aptos" w:hAnsi="Aptos"/>
                <w:b w:val="0"/>
                <w:sz w:val="17"/>
              </w:rPr>
              <w:t>0.40</w:t>
            </w:r>
          </w:p>
        </w:tc>
        <w:tc>
          <w:tcPr>
            <w:tcW w:type="dxa" w:w="4608"/>
            <w:vAlign w:val="center"/>
          </w:tcPr>
          <w:p>
            <w:pPr>
              <w:spacing w:after="0"/>
            </w:pPr>
            <w:r/>
            <w:r>
              <w:rPr>
                <w:rFonts w:ascii="Aptos" w:hAnsi="Aptos"/>
                <w:b w:val="0"/>
                <w:sz w:val="17"/>
              </w:rPr>
              <w:t>Minimum roundness of the original blob before bridge-recovery is attempted.</w:t>
            </w:r>
          </w:p>
        </w:tc>
      </w:tr>
      <w:tr>
        <w:tc>
          <w:tcPr>
            <w:tcW w:type="dxa" w:w="3168"/>
            <w:vAlign w:val="center"/>
            <w:shd w:fill="EAF1F8"/>
          </w:tcPr>
          <w:p>
            <w:pPr>
              <w:spacing w:after="0"/>
            </w:pPr>
            <w:r/>
            <w:r>
              <w:rPr>
                <w:rFonts w:ascii="Aptos" w:hAnsi="Aptos"/>
                <w:b w:val="0"/>
                <w:sz w:val="17"/>
              </w:rPr>
              <w:t>RECOVERY_MIN_AREA_FRACTION</w:t>
            </w:r>
          </w:p>
        </w:tc>
        <w:tc>
          <w:tcPr>
            <w:tcW w:type="dxa" w:w="1728"/>
            <w:vAlign w:val="center"/>
            <w:shd w:fill="EAF1F8"/>
          </w:tcPr>
          <w:p>
            <w:pPr>
              <w:spacing w:after="0"/>
            </w:pPr>
            <w:r/>
            <w:r>
              <w:rPr>
                <w:rFonts w:ascii="Aptos" w:hAnsi="Aptos"/>
                <w:b w:val="0"/>
                <w:sz w:val="17"/>
              </w:rPr>
              <w:t>0.45</w:t>
            </w:r>
          </w:p>
        </w:tc>
        <w:tc>
          <w:tcPr>
            <w:tcW w:type="dxa" w:w="4608"/>
            <w:vAlign w:val="center"/>
            <w:shd w:fill="EAF1F8"/>
          </w:tcPr>
          <w:p>
            <w:pPr>
              <w:spacing w:after="0"/>
            </w:pPr>
            <w:r/>
            <w:r>
              <w:rPr>
                <w:rFonts w:ascii="Aptos" w:hAnsi="Aptos"/>
                <w:b w:val="0"/>
                <w:sz w:val="17"/>
              </w:rPr>
              <w:t>Minimum fraction of original blob area the recovered fragment must retain.</w:t>
            </w:r>
          </w:p>
        </w:tc>
      </w:tr>
    </w:tbl>
    <w:p>
      <w:pPr>
        <w:spacing w:after="20"/>
      </w:pPr>
    </w:p>
    <w:p>
      <w:r>
        <w:t>All thresholds were reached through manual parameter sweeps against the ground-truth set, favoring a conservative configuration (fewer false positives) with dedicated recovery/split logic to claw back the recall that conservative filters would otherwise cost.</w:t>
      </w:r>
    </w:p>
    <w:p>
      <w:pPr>
        <w:pStyle w:val="Heading2"/>
      </w:pPr>
      <w:r>
        <w:t>2.3 Usage</w:t>
      </w:r>
    </w:p>
    <w:p>
      <w:pPr>
        <w:spacing w:after="160"/>
        <w:ind w:left="216" w:right="216"/>
        <w:shd w:fill="F2F2F2"/>
      </w:pPr>
      <w:r>
        <w:rPr>
          <w:rFonts w:ascii="Consolas" w:hAnsi="Consolas"/>
          <w:sz w:val="17"/>
        </w:rPr>
        <w:t># Edit these paths at the top of the script first:</w:t>
        <w:br/>
        <w:t>#   INPUT_DIR  = folder of source images</w:t>
        <w:br/>
        <w:t>#   OUTPUT_DIR = folder where YOLO .txt labels will be written</w:t>
        <w:br/>
        <w:br/>
        <w:t>python detect_balls.py</w:t>
      </w:r>
    </w:p>
    <w:p>
      <w:r>
        <w:t>The script prints one line per image with the number of balls detected, then writes a matching .txt label file into OUTPUT_DIR.</w:t>
      </w:r>
    </w:p>
    <w:p>
      <w:pPr>
        <w:pStyle w:val="Heading1"/>
      </w:pPr>
      <w:r>
        <w:t>3. Accuracy Evaluation (evaluate_accuracy.py)</w:t>
      </w:r>
    </w:p>
    <w:p>
      <w:r>
        <w:t>This script compares the predicted labels produced by detect_balls.py against ground-truth labels (same YOLO-style format, presumably created with a separate annotation tool) and reports detection accuracy aggregated across the entire dataset.</w:t>
      </w:r>
    </w:p>
    <w:p>
      <w:pPr>
        <w:pStyle w:val="Heading2"/>
      </w:pPr>
      <w:r>
        <w:t>3.1 Matching Modes</w:t>
      </w:r>
    </w:p>
    <w:tbl>
      <w:tblPr>
        <w:tblStyle w:val="TableGrid"/>
        <w:tblW w:type="auto" w:w="0"/>
        <w:jc w:val="center"/>
        <w:tblLook w:firstColumn="1" w:firstRow="1" w:lastColumn="0" w:lastRow="0" w:noHBand="0" w:noVBand="1" w:val="04A0"/>
      </w:tblPr>
      <w:tblGrid>
        <w:gridCol w:w="5040"/>
        <w:gridCol w:w="5040"/>
      </w:tblGrid>
      <w:tr>
        <w:tc>
          <w:tcPr>
            <w:tcW w:type="dxa" w:w="2016"/>
            <w:vAlign w:val="center"/>
            <w:shd w:fill="1F4E79"/>
          </w:tcPr>
          <w:p>
            <w:pPr>
              <w:spacing w:after="0"/>
            </w:pPr>
            <w:r/>
            <w:r>
              <w:rPr>
                <w:rFonts w:ascii="Aptos" w:hAnsi="Aptos"/>
                <w:b/>
                <w:color w:val="FFFFFF"/>
                <w:sz w:val="18"/>
              </w:rPr>
              <w:t>Mode</w:t>
            </w:r>
          </w:p>
        </w:tc>
        <w:tc>
          <w:tcPr>
            <w:tcW w:type="dxa" w:w="6912"/>
            <w:vAlign w:val="center"/>
            <w:shd w:fill="1F4E79"/>
          </w:tcPr>
          <w:p>
            <w:pPr>
              <w:spacing w:after="0"/>
            </w:pPr>
            <w:r/>
            <w:r>
              <w:rPr>
                <w:rFonts w:ascii="Aptos" w:hAnsi="Aptos"/>
                <w:b/>
                <w:color w:val="FFFFFF"/>
                <w:sz w:val="18"/>
              </w:rPr>
              <w:t>Behavior</w:t>
            </w:r>
          </w:p>
        </w:tc>
      </w:tr>
      <w:tr>
        <w:tc>
          <w:tcPr>
            <w:tcW w:type="dxa" w:w="2016"/>
            <w:vAlign w:val="center"/>
          </w:tcPr>
          <w:p>
            <w:pPr>
              <w:spacing w:after="0"/>
            </w:pPr>
            <w:r/>
            <w:r>
              <w:rPr>
                <w:rFonts w:ascii="Aptos" w:hAnsi="Aptos"/>
                <w:b w:val="0"/>
                <w:sz w:val="17"/>
              </w:rPr>
              <w:t>center (default)</w:t>
            </w:r>
          </w:p>
        </w:tc>
        <w:tc>
          <w:tcPr>
            <w:tcW w:type="dxa" w:w="6912"/>
            <w:vAlign w:val="center"/>
          </w:tcPr>
          <w:p>
            <w:pPr>
              <w:spacing w:after="0"/>
            </w:pPr>
            <w:r/>
            <w:r>
              <w:rPr>
                <w:rFonts w:ascii="Aptos" w:hAnsi="Aptos"/>
                <w:b w:val="0"/>
                <w:sz w:val="17"/>
              </w:rPr>
              <w:t>A prediction matches a ground-truth box of the same class if their centers are close relative to their average diameter — more forgiving of small box-size differences while still rejecting wrong-location detections.</w:t>
            </w:r>
          </w:p>
        </w:tc>
      </w:tr>
      <w:tr>
        <w:tc>
          <w:tcPr>
            <w:tcW w:type="dxa" w:w="2016"/>
            <w:vAlign w:val="center"/>
            <w:shd w:fill="EAF1F8"/>
          </w:tcPr>
          <w:p>
            <w:pPr>
              <w:spacing w:after="0"/>
            </w:pPr>
            <w:r/>
            <w:r>
              <w:rPr>
                <w:rFonts w:ascii="Aptos" w:hAnsi="Aptos"/>
                <w:b w:val="0"/>
                <w:sz w:val="17"/>
              </w:rPr>
              <w:t>iou</w:t>
            </w:r>
          </w:p>
        </w:tc>
        <w:tc>
          <w:tcPr>
            <w:tcW w:type="dxa" w:w="6912"/>
            <w:vAlign w:val="center"/>
            <w:shd w:fill="EAF1F8"/>
          </w:tcPr>
          <w:p>
            <w:pPr>
              <w:spacing w:after="0"/>
            </w:pPr>
            <w:r/>
            <w:r>
              <w:rPr>
                <w:rFonts w:ascii="Aptos" w:hAnsi="Aptos"/>
                <w:b w:val="0"/>
                <w:sz w:val="17"/>
              </w:rPr>
              <w:t>Classic strict IoU ≥ IOU_THRESHOLD (0.3) matching.</w:t>
            </w:r>
          </w:p>
        </w:tc>
      </w:tr>
    </w:tbl>
    <w:p>
      <w:pPr>
        <w:spacing w:after="20"/>
      </w:pPr>
    </w:p>
    <w:p>
      <w:r>
        <w:t>In center mode, a prediction matches a ground-truth box when the Euclidean distance between their centers is within CENTER_DIST_RATIO (0.7) × the average of the two boxes' diameters. Raising this ratio makes matching more lenient; lowering it makes matching stricter.</w:t>
      </w:r>
    </w:p>
    <w:p>
      <w:pPr>
        <w:pStyle w:val="Heading2"/>
      </w:pPr>
      <w:r>
        <w:t>3.2 Matching Algorithm</w:t>
      </w:r>
    </w:p>
    <w:p>
      <w:r>
        <w:t>For each image, predictions are matched to ground-truth boxes greedily:</w:t>
      </w:r>
    </w:p>
    <w:p>
      <w:pPr>
        <w:pStyle w:val="ListNumber"/>
        <w:spacing w:after="80"/>
      </w:pPr>
      <w:r>
        <w:t>For every prediction, consider only unmatched ground-truth boxes of the same class.</w:t>
      </w:r>
    </w:p>
    <w:p>
      <w:pPr>
        <w:pStyle w:val="ListNumber"/>
        <w:spacing w:after="80"/>
      </w:pPr>
      <w:r>
        <w:t>Score each candidate (IoU or negative center-distance, depending on mode) and pick the best-scoring one that clears the mode's threshold.</w:t>
      </w:r>
    </w:p>
    <w:p>
      <w:pPr>
        <w:pStyle w:val="ListNumber"/>
        <w:spacing w:after="80"/>
      </w:pPr>
      <w:r>
        <w:t>Mark that ground-truth box as matched and count the prediction as a true positive (TP).</w:t>
      </w:r>
    </w:p>
    <w:p>
      <w:pPr>
        <w:pStyle w:val="ListNumber"/>
        <w:spacing w:after="80"/>
      </w:pPr>
      <w:r>
        <w:t>Any prediction left unmatched is a false positive (FP); any ground-truth box left unmatched is a false negative (FN).</w:t>
      </w:r>
    </w:p>
    <w:p>
      <w:pPr>
        <w:pStyle w:val="Heading2"/>
      </w:pPr>
      <w:r>
        <w:t>3.3 Accuracy Formula</w:t>
      </w:r>
    </w:p>
    <w:p>
      <w:r>
        <w:t>Counts are summed across every image in the dataset (not averaged per image), then combined into a single accuracy score:</w:t>
      </w:r>
    </w:p>
    <w:p>
      <w:pPr>
        <w:spacing w:after="160"/>
        <w:ind w:left="216" w:right="216"/>
        <w:shd w:fill="F2F2F2"/>
      </w:pPr>
      <w:r>
        <w:rPr>
          <w:rFonts w:ascii="Consolas" w:hAnsi="Consolas"/>
          <w:sz w:val="17"/>
        </w:rPr>
        <w:t>Accuracy = TP / (TP + FP + FN)</w:t>
      </w:r>
    </w:p>
    <w:p>
      <w:pPr>
        <w:pStyle w:val="Heading2"/>
      </w:pPr>
      <w:r>
        <w:t>3.4 Usage</w:t>
      </w:r>
    </w:p>
    <w:p>
      <w:pPr>
        <w:spacing w:after="160"/>
        <w:ind w:left="216" w:right="216"/>
        <w:shd w:fill="F2F2F2"/>
      </w:pPr>
      <w:r>
        <w:rPr>
          <w:rFonts w:ascii="Consolas" w:hAnsi="Consolas"/>
          <w:sz w:val="17"/>
        </w:rPr>
        <w:t># Edit these paths at the top of the script first:</w:t>
        <w:br/>
        <w:t>#   PRED_DIR = folder of predicted .txt labels (detect_balls.py output)</w:t>
        <w:br/>
        <w:t>#   GT_DIR   = folder of ground-truth .txt labels</w:t>
        <w:br/>
        <w:br/>
        <w:t>python evaluate_accuracy.py</w:t>
      </w:r>
    </w:p>
    <w:p>
      <w:r>
        <w:t>Output: a per-image table of TP/FP/FN, a totals row, and the final accuracy percentage.</w:t>
      </w:r>
    </w:p>
    <w:p>
      <w:pPr>
        <w:pStyle w:val="Heading1"/>
      </w:pPr>
      <w:r>
        <w:t>4. Design Notes &amp; Known Trade-offs</w:t>
      </w:r>
    </w:p>
    <w:p>
      <w:pPr>
        <w:pStyle w:val="ListBullet"/>
        <w:spacing w:after="80"/>
      </w:pPr>
      <w:r>
        <w:t>The pipeline is fully classical (color + shape heuristics) — no training data or model weights are required, but it is inherently sensitive to lighting, color-similar background clutter, and heavily overlapping balls.</w:t>
      </w:r>
    </w:p>
    <w:p>
      <w:pPr>
        <w:pStyle w:val="ListBullet"/>
        <w:spacing w:after="80"/>
      </w:pPr>
      <w:r>
        <w:t>Tight shape filters (Step 3) keep false positives low but would also reject valid partially-occluded/merged balls; Steps 4 and 5 exist specifically to recover those cases without loosening the base filters (and therefore without letting clutter back in).</w:t>
      </w:r>
    </w:p>
    <w:p>
      <w:pPr>
        <w:pStyle w:val="ListBullet"/>
        <w:spacing w:after="80"/>
      </w:pPr>
      <w:r>
        <w:t>Red requires two HSV hue ranges because red wraps around 0°/180° on the OpenCV hue scale; blue does not need this.</w:t>
      </w:r>
    </w:p>
    <w:p>
      <w:pPr>
        <w:pStyle w:val="ListBullet"/>
        <w:spacing w:after="80"/>
      </w:pPr>
      <w:r>
        <w:t>Both scripts currently use hard-coded local Windows paths (PRED_DIR, GT_DIR, INPUT_DIR, OUTPUT_DIR) — update these constants before running on a different machine.</w:t>
      </w:r>
    </w:p>
    <w:p>
      <w:pPr>
        <w:pStyle w:val="ListBullet"/>
        <w:spacing w:after="80"/>
      </w:pPr>
      <w:r>
        <w:t>evaluate_accuracy.py assumes every ground-truth file has a same-named prediction file in PRED_DIR (missing predictions are handled by load_labels() returning an empty list, i.e. all-FN for that image).</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Classical Computer Vision Ball Detection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6"/>
      </w:rPr>
      <w:t>Ball Detection &amp; Evaluation — Task 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