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WNY Makers Model offers several unique features that set it apart from traditional real estate development approach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nimized Cash Investments &amp; Reduced Risk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t significantly reduces the need for upfront cash contributions from partners and operates without traditional loans or external debt, mitigating financial exposure and stres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quitable Collaboration &amp; Profit Shar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fessionals contribute expertise, services, or materials in-kind, which are valued at market rates and treated as investments, leading to a pro-rata share of projected profit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ime-Weighted Preferred Retur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tners receive an 8% annualized preferred return on their contributions, rewarding early participation and higher risk exposur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limination of Traditional Financing Barrier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By bypassing bureaucratic financing hurdles, the project can accelerate timelines, potentially shortening overall development by 6-12 month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duced Construction Cos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model aims to cut construction costs by up to 20% per square foot by avoiding lender delays and interest payment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nsparent &amp; Milestone-Driven Profit Distribu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istributions begin quarterly from Month 18, triggered by sales exceeding 20% increments of salable are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rtner Perks &amp; Tax Benefi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tners gain access to benefits like reduced pricing on units, transfer of depreciation, and potential for long-term holds on Short-Term Rental (STR) unit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hanced Sales Advantage &amp; Self-Financing Option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debt-free structure enables offering competitive self-financing options to regular buyers, where partners can fund these mortgages based on their shares, extending returns and providing tax benefit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rategic Market Tim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ithout loan repayment pressure, the model allows for strategic timing to capitalize on optimal market conditions, maximizing revenue without forced sal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vorable Bridge Financing Term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strong equity position provides a significant negotiating advantage for favorable rates and terms if small bridge financing is needed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rpetual Residual Income from STR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tners can elect to retain hospitality suites for STR operation, generating ongoing income and enjoying tax benefits through depreciatio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x-Deferred Scal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rofits can be rolled into future developments via 1031 exchanges, deferring capital gains taxes and enabling seamless scaling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ster Decision-Making and Execu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ssembling a "super team" of in-kind contributors streamlines decision-making, bypassing traditional bureaucratic hurdle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calability and Network Effec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uccessful partnerships build a reusable ecosystem for future projects, reducing onboarding costs and fostering long-term allianc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hanced Resilience to Economic Volatilit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st savings and flexible timing mitigate downturns, allowing for strategic investment of idle cash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