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2430"/>
          <w:sz w:val="36"/>
        </w:rPr>
        <w:t>COMMERCIAL LOAN RESPONSE FORM</w:t>
      </w:r>
    </w:p>
    <w:p>
      <w:pPr>
        <w:jc w:val="center"/>
      </w:pPr>
      <w:r>
        <w:rPr>
          <w:sz w:val="22"/>
        </w:rPr>
        <w:t>Luxe Loft 716 — 3887 Seneca Street</w:t>
        <w:br/>
        <w:t>Prepared for Cornerstone Community Federal Credit Union</w:t>
        <w:br/>
        <w:t>Attention: Michael Woods · July 2026</w:t>
      </w:r>
    </w:p>
    <w:p>
      <w:r>
        <w:rPr>
          <w:i/>
          <w:sz w:val="18"/>
        </w:rPr>
        <w:t>This form answers the underwriting items needed to complete the financing request for 3887 Seneca. Attach with: (1) IJB Commercial Financial Statement Package, (2) Sale Contract, (3) Luxe Loft 716 Presentation.</w:t>
      </w:r>
    </w:p>
    <w:p>
      <w:r>
        <w:rPr>
          <w:b/>
          <w:color w:val="5C2430"/>
          <w:sz w:val="26"/>
        </w:rPr>
        <w:t>1. Borrower &amp; Contact</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Borrower / Purchaser</w:t>
            </w:r>
          </w:p>
        </w:tc>
        <w:tc>
          <w:tcPr>
            <w:tcW w:type="dxa" w:w="4896"/>
          </w:tcPr>
          <w:p>
            <w:r>
              <w:rPr>
                <w:sz w:val="20"/>
              </w:rPr>
              <w:t>IJB Enterprises Inc.</w:t>
            </w:r>
          </w:p>
        </w:tc>
      </w:tr>
      <w:tr>
        <w:tc>
          <w:tcPr>
            <w:tcW w:type="dxa" w:w="4896"/>
          </w:tcPr>
          <w:p>
            <w:r>
              <w:rPr>
                <w:b/>
                <w:sz w:val="20"/>
              </w:rPr>
              <w:t>Project / Brand</w:t>
            </w:r>
          </w:p>
        </w:tc>
        <w:tc>
          <w:tcPr>
            <w:tcW w:type="dxa" w:w="4896"/>
          </w:tcPr>
          <w:p>
            <w:r>
              <w:rPr>
                <w:sz w:val="20"/>
              </w:rPr>
              <w:t>Luxe Loft 716</w:t>
            </w:r>
          </w:p>
        </w:tc>
      </w:tr>
      <w:tr>
        <w:tc>
          <w:tcPr>
            <w:tcW w:type="dxa" w:w="4896"/>
          </w:tcPr>
          <w:p>
            <w:r>
              <w:rPr>
                <w:b/>
                <w:sz w:val="20"/>
              </w:rPr>
              <w:t>Primary Contact</w:t>
            </w:r>
          </w:p>
        </w:tc>
        <w:tc>
          <w:tcPr>
            <w:tcW w:type="dxa" w:w="4896"/>
          </w:tcPr>
          <w:p>
            <w:r>
              <w:rPr>
                <w:sz w:val="20"/>
              </w:rPr>
              <w:t>Tiffany Durilla</w:t>
            </w:r>
          </w:p>
        </w:tc>
      </w:tr>
      <w:tr>
        <w:tc>
          <w:tcPr>
            <w:tcW w:type="dxa" w:w="4896"/>
          </w:tcPr>
          <w:p>
            <w:r>
              <w:rPr>
                <w:b/>
                <w:sz w:val="20"/>
              </w:rPr>
              <w:t>Email</w:t>
            </w:r>
          </w:p>
        </w:tc>
        <w:tc>
          <w:tcPr>
            <w:tcW w:type="dxa" w:w="4896"/>
          </w:tcPr>
          <w:p>
            <w:r>
              <w:rPr>
                <w:sz w:val="20"/>
              </w:rPr>
              <w:t>durillaprop@gmail.com</w:t>
            </w:r>
          </w:p>
        </w:tc>
      </w:tr>
      <w:tr>
        <w:tc>
          <w:tcPr>
            <w:tcW w:type="dxa" w:w="4896"/>
          </w:tcPr>
          <w:p>
            <w:r>
              <w:rPr>
                <w:b/>
                <w:sz w:val="20"/>
              </w:rPr>
              <w:t>Phone</w:t>
            </w:r>
          </w:p>
        </w:tc>
        <w:tc>
          <w:tcPr>
            <w:tcW w:type="dxa" w:w="4896"/>
          </w:tcPr>
          <w:p>
            <w:r>
              <w:rPr>
                <w:sz w:val="20"/>
              </w:rPr>
              <w:t>716-421-1210</w:t>
            </w:r>
          </w:p>
        </w:tc>
      </w:tr>
      <w:tr>
        <w:tc>
          <w:tcPr>
            <w:tcW w:type="dxa" w:w="4896"/>
          </w:tcPr>
          <w:p>
            <w:r>
              <w:rPr>
                <w:b/>
                <w:sz w:val="20"/>
              </w:rPr>
              <w:t>Broker</w:t>
            </w:r>
          </w:p>
        </w:tc>
        <w:tc>
          <w:tcPr>
            <w:tcW w:type="dxa" w:w="4896"/>
          </w:tcPr>
          <w:p>
            <w:r>
              <w:rPr>
                <w:sz w:val="20"/>
              </w:rPr>
              <w:t>Steiner &amp; Blotnik</w:t>
            </w:r>
          </w:p>
        </w:tc>
      </w:tr>
      <w:tr>
        <w:tc>
          <w:tcPr>
            <w:tcW w:type="dxa" w:w="4896"/>
          </w:tcPr>
          <w:p>
            <w:r>
              <w:rPr>
                <w:b/>
                <w:sz w:val="20"/>
              </w:rPr>
              <w:t>Seller Counsel</w:t>
            </w:r>
          </w:p>
        </w:tc>
        <w:tc>
          <w:tcPr>
            <w:tcW w:type="dxa" w:w="4896"/>
          </w:tcPr>
          <w:p>
            <w:r>
              <w:rPr>
                <w:sz w:val="20"/>
              </w:rPr>
              <w:t>Bill Miller Law / Bill Miller</w:t>
            </w:r>
          </w:p>
        </w:tc>
      </w:tr>
      <w:tr>
        <w:tc>
          <w:tcPr>
            <w:tcW w:type="dxa" w:w="4896"/>
          </w:tcPr>
          <w:p>
            <w:r>
              <w:rPr>
                <w:b/>
                <w:sz w:val="20"/>
              </w:rPr>
              <w:t>Related entities (package)</w:t>
            </w:r>
          </w:p>
        </w:tc>
        <w:tc>
          <w:tcPr>
            <w:tcW w:type="dxa" w:w="4896"/>
          </w:tcPr>
          <w:p>
            <w:r>
              <w:rPr>
                <w:sz w:val="20"/>
              </w:rPr>
              <w:t>549 Indian Church LLC; Durilla Development of WNY LLC</w:t>
            </w:r>
          </w:p>
        </w:tc>
      </w:tr>
    </w:tbl>
    <w:p/>
    <w:p>
      <w:r>
        <w:rPr>
          <w:b/>
          <w:color w:val="5C2430"/>
          <w:sz w:val="26"/>
        </w:rPr>
        <w:t>2. Property</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Address</w:t>
            </w:r>
          </w:p>
        </w:tc>
        <w:tc>
          <w:tcPr>
            <w:tcW w:type="dxa" w:w="4896"/>
          </w:tcPr>
          <w:p>
            <w:r>
              <w:rPr>
                <w:sz w:val="20"/>
              </w:rPr>
              <w:t>3887 Seneca Street, West Seneca, NY 14224-3489</w:t>
            </w:r>
          </w:p>
        </w:tc>
      </w:tr>
      <w:tr>
        <w:tc>
          <w:tcPr>
            <w:tcW w:type="dxa" w:w="4896"/>
          </w:tcPr>
          <w:p>
            <w:r>
              <w:rPr>
                <w:b/>
                <w:sz w:val="20"/>
              </w:rPr>
              <w:t>SBL</w:t>
            </w:r>
          </w:p>
        </w:tc>
        <w:tc>
          <w:tcPr>
            <w:tcW w:type="dxa" w:w="4896"/>
          </w:tcPr>
          <w:p>
            <w:r>
              <w:rPr>
                <w:sz w:val="20"/>
              </w:rPr>
              <w:t>146800-143-070-0006-005-000</w:t>
            </w:r>
          </w:p>
        </w:tc>
      </w:tr>
      <w:tr>
        <w:tc>
          <w:tcPr>
            <w:tcW w:type="dxa" w:w="4896"/>
          </w:tcPr>
          <w:p>
            <w:r>
              <w:rPr>
                <w:b/>
                <w:sz w:val="20"/>
              </w:rPr>
              <w:t>Lot size</w:t>
            </w:r>
          </w:p>
        </w:tc>
        <w:tc>
          <w:tcPr>
            <w:tcW w:type="dxa" w:w="4896"/>
          </w:tcPr>
          <w:p>
            <w:r>
              <w:rPr>
                <w:sz w:val="20"/>
              </w:rPr>
              <w:t>Approximately 64 × 173</w:t>
            </w:r>
          </w:p>
        </w:tc>
      </w:tr>
      <w:tr>
        <w:tc>
          <w:tcPr>
            <w:tcW w:type="dxa" w:w="4896"/>
          </w:tcPr>
          <w:p>
            <w:r>
              <w:rPr>
                <w:b/>
                <w:sz w:val="20"/>
              </w:rPr>
              <w:t>Current / intended use</w:t>
            </w:r>
          </w:p>
        </w:tc>
        <w:tc>
          <w:tcPr>
            <w:tcW w:type="dxa" w:w="4896"/>
          </w:tcPr>
          <w:p>
            <w:r>
              <w:rPr>
                <w:sz w:val="20"/>
              </w:rPr>
              <w:t>Multi-use commercial — two-family dwelling + commercial salon suites</w:t>
            </w:r>
          </w:p>
        </w:tc>
      </w:tr>
      <w:tr>
        <w:tc>
          <w:tcPr>
            <w:tcW w:type="dxa" w:w="4896"/>
          </w:tcPr>
          <w:p>
            <w:r>
              <w:rPr>
                <w:b/>
                <w:sz w:val="20"/>
              </w:rPr>
              <w:t>Prior use</w:t>
            </w:r>
          </w:p>
        </w:tc>
        <w:tc>
          <w:tcPr>
            <w:tcW w:type="dxa" w:w="4896"/>
          </w:tcPr>
          <w:p>
            <w:r>
              <w:rPr>
                <w:sz w:val="20"/>
              </w:rPr>
              <w:t>Former dental / professional office</w:t>
            </w:r>
          </w:p>
        </w:tc>
      </w:tr>
      <w:tr>
        <w:tc>
          <w:tcPr>
            <w:tcW w:type="dxa" w:w="4896"/>
          </w:tcPr>
          <w:p>
            <w:r>
              <w:rPr>
                <w:b/>
                <w:sz w:val="20"/>
              </w:rPr>
              <w:t>1st-floor SF (measured)</w:t>
            </w:r>
          </w:p>
        </w:tc>
        <w:tc>
          <w:tcPr>
            <w:tcW w:type="dxa" w:w="4896"/>
          </w:tcPr>
          <w:p>
            <w:r>
              <w:rPr>
                <w:sz w:val="20"/>
              </w:rPr>
              <w:t>TO BE PROVIDED (pending measurement)</w:t>
            </w:r>
          </w:p>
        </w:tc>
      </w:tr>
    </w:tbl>
    <w:p/>
    <w:p>
      <w:r>
        <w:rPr>
          <w:b/>
          <w:color w:val="5C2430"/>
          <w:sz w:val="26"/>
        </w:rPr>
        <w:t>3. Purchase Contract Terms</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Contract date</w:t>
            </w:r>
          </w:p>
        </w:tc>
        <w:tc>
          <w:tcPr>
            <w:tcW w:type="dxa" w:w="4896"/>
          </w:tcPr>
          <w:p>
            <w:r>
              <w:rPr>
                <w:sz w:val="20"/>
              </w:rPr>
              <w:t>June 16, 2026</w:t>
            </w:r>
          </w:p>
        </w:tc>
      </w:tr>
      <w:tr>
        <w:tc>
          <w:tcPr>
            <w:tcW w:type="dxa" w:w="4896"/>
          </w:tcPr>
          <w:p>
            <w:r>
              <w:rPr>
                <w:b/>
                <w:sz w:val="20"/>
              </w:rPr>
              <w:t>Authentisign ID</w:t>
            </w:r>
          </w:p>
        </w:tc>
        <w:tc>
          <w:tcPr>
            <w:tcW w:type="dxa" w:w="4896"/>
          </w:tcPr>
          <w:p>
            <w:r>
              <w:rPr>
                <w:sz w:val="20"/>
              </w:rPr>
              <w:t>96DFCCA5-C06A-F111-8FCA-002248359474</w:t>
            </w:r>
          </w:p>
        </w:tc>
      </w:tr>
      <w:tr>
        <w:tc>
          <w:tcPr>
            <w:tcW w:type="dxa" w:w="4896"/>
          </w:tcPr>
          <w:p>
            <w:r>
              <w:rPr>
                <w:b/>
                <w:sz w:val="20"/>
              </w:rPr>
              <w:t>Seller</w:t>
            </w:r>
          </w:p>
        </w:tc>
        <w:tc>
          <w:tcPr>
            <w:tcW w:type="dxa" w:w="4896"/>
          </w:tcPr>
          <w:p>
            <w:r>
              <w:rPr>
                <w:sz w:val="20"/>
              </w:rPr>
              <w:t>Seneca Street 3887</w:t>
            </w:r>
          </w:p>
        </w:tc>
      </w:tr>
      <w:tr>
        <w:tc>
          <w:tcPr>
            <w:tcW w:type="dxa" w:w="4896"/>
          </w:tcPr>
          <w:p>
            <w:r>
              <w:rPr>
                <w:b/>
                <w:sz w:val="20"/>
              </w:rPr>
              <w:t>Purchase price</w:t>
            </w:r>
          </w:p>
        </w:tc>
        <w:tc>
          <w:tcPr>
            <w:tcW w:type="dxa" w:w="4896"/>
          </w:tcPr>
          <w:p>
            <w:r>
              <w:rPr>
                <w:sz w:val="20"/>
              </w:rPr>
              <w:t>$500,000.00</w:t>
            </w:r>
          </w:p>
        </w:tc>
      </w:tr>
      <w:tr>
        <w:tc>
          <w:tcPr>
            <w:tcW w:type="dxa" w:w="4896"/>
          </w:tcPr>
          <w:p>
            <w:r>
              <w:rPr>
                <w:b/>
                <w:sz w:val="20"/>
              </w:rPr>
              <w:t>Seller concession</w:t>
            </w:r>
          </w:p>
        </w:tc>
        <w:tc>
          <w:tcPr>
            <w:tcW w:type="dxa" w:w="4896"/>
          </w:tcPr>
          <w:p>
            <w:r>
              <w:rPr>
                <w:sz w:val="20"/>
              </w:rPr>
              <w:t>$50,000.00</w:t>
            </w:r>
          </w:p>
        </w:tc>
      </w:tr>
      <w:tr>
        <w:tc>
          <w:tcPr>
            <w:tcW w:type="dxa" w:w="4896"/>
          </w:tcPr>
          <w:p>
            <w:r>
              <w:rPr>
                <w:b/>
                <w:sz w:val="20"/>
              </w:rPr>
              <w:t>Net consideration</w:t>
            </w:r>
          </w:p>
        </w:tc>
        <w:tc>
          <w:tcPr>
            <w:tcW w:type="dxa" w:w="4896"/>
          </w:tcPr>
          <w:p>
            <w:r>
              <w:rPr>
                <w:sz w:val="20"/>
              </w:rPr>
              <w:t>$450,000.00</w:t>
            </w:r>
          </w:p>
        </w:tc>
      </w:tr>
      <w:tr>
        <w:tc>
          <w:tcPr>
            <w:tcW w:type="dxa" w:w="4896"/>
          </w:tcPr>
          <w:p>
            <w:r>
              <w:rPr>
                <w:b/>
                <w:sz w:val="20"/>
              </w:rPr>
              <w:t>Deposit</w:t>
            </w:r>
          </w:p>
        </w:tc>
        <w:tc>
          <w:tcPr>
            <w:tcW w:type="dxa" w:w="4896"/>
          </w:tcPr>
          <w:p>
            <w:r>
              <w:rPr>
                <w:sz w:val="20"/>
              </w:rPr>
              <w:t>$10,000.00 (Kreag Ferullo / Steiner &amp; Blotnik escrow)</w:t>
            </w:r>
          </w:p>
        </w:tc>
      </w:tr>
      <w:tr>
        <w:tc>
          <w:tcPr>
            <w:tcW w:type="dxa" w:w="4896"/>
          </w:tcPr>
          <w:p>
            <w:r>
              <w:rPr>
                <w:b/>
                <w:sz w:val="20"/>
              </w:rPr>
              <w:t>Seller repair (contract)</w:t>
            </w:r>
          </w:p>
        </w:tc>
        <w:tc>
          <w:tcPr>
            <w:tcW w:type="dxa" w:w="4896"/>
          </w:tcPr>
          <w:p>
            <w:r>
              <w:rPr>
                <w:sz w:val="20"/>
              </w:rPr>
              <w:t>Exterior main electric service line repair/upgrade at Seller's sole expense (Town of West Seneca Electrical Inspector: Steve Carmina)</w:t>
            </w:r>
          </w:p>
        </w:tc>
      </w:tr>
    </w:tbl>
    <w:p/>
    <w:p>
      <w:r>
        <w:rPr>
          <w:b/>
          <w:color w:val="5C2430"/>
          <w:sz w:val="26"/>
        </w:rPr>
        <w:t>4. Business Purpose of Loan</w:t>
      </w:r>
    </w:p>
    <w:p>
      <w:r>
        <w:t>IJB Enterprises Inc. is acquiring 3887 Seneca Street to operate Luxe Loft 716 — a luxury salon and wellness suite business for independent beauty and wellness professionals — and to continue leasing two residential apartments. The first floor will be configured as nine private lockable suites. Revenue comes from multiple suite leases plus residential rents, increasing income per square foot and reducing single-tenant vacancy risk.</w:t>
      </w:r>
    </w:p>
    <w:p>
      <w:r>
        <w:rPr>
          <w:b/>
          <w:color w:val="5C2430"/>
          <w:sz w:val="26"/>
        </w:rPr>
        <w:t>5. Stabilized Income &amp; Debt Coverage (Luxe Loft 716 Underwriting)</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9 salon suites (annual)</w:t>
            </w:r>
          </w:p>
        </w:tc>
        <w:tc>
          <w:tcPr>
            <w:tcW w:type="dxa" w:w="4896"/>
          </w:tcPr>
          <w:p>
            <w:r>
              <w:rPr>
                <w:sz w:val="20"/>
              </w:rPr>
              <w:t>$108,000</w:t>
            </w:r>
          </w:p>
        </w:tc>
      </w:tr>
      <w:tr>
        <w:tc>
          <w:tcPr>
            <w:tcW w:type="dxa" w:w="4896"/>
          </w:tcPr>
          <w:p>
            <w:r>
              <w:rPr>
                <w:b/>
                <w:sz w:val="20"/>
              </w:rPr>
              <w:t>Apartment 1 (annual)</w:t>
            </w:r>
          </w:p>
        </w:tc>
        <w:tc>
          <w:tcPr>
            <w:tcW w:type="dxa" w:w="4896"/>
          </w:tcPr>
          <w:p>
            <w:r>
              <w:rPr>
                <w:sz w:val="20"/>
              </w:rPr>
              <w:t>$13,200</w:t>
            </w:r>
          </w:p>
        </w:tc>
      </w:tr>
      <w:tr>
        <w:tc>
          <w:tcPr>
            <w:tcW w:type="dxa" w:w="4896"/>
          </w:tcPr>
          <w:p>
            <w:r>
              <w:rPr>
                <w:b/>
                <w:sz w:val="20"/>
              </w:rPr>
              <w:t>Apartment 2 (annual)</w:t>
            </w:r>
          </w:p>
        </w:tc>
        <w:tc>
          <w:tcPr>
            <w:tcW w:type="dxa" w:w="4896"/>
          </w:tcPr>
          <w:p>
            <w:r>
              <w:rPr>
                <w:sz w:val="20"/>
              </w:rPr>
              <w:t>$15,600</w:t>
            </w:r>
          </w:p>
        </w:tc>
      </w:tr>
      <w:tr>
        <w:tc>
          <w:tcPr>
            <w:tcW w:type="dxa" w:w="4896"/>
          </w:tcPr>
          <w:p>
            <w:r>
              <w:rPr>
                <w:b/>
                <w:sz w:val="20"/>
              </w:rPr>
              <w:t>Residential combined</w:t>
            </w:r>
          </w:p>
        </w:tc>
        <w:tc>
          <w:tcPr>
            <w:tcW w:type="dxa" w:w="4896"/>
          </w:tcPr>
          <w:p>
            <w:r>
              <w:rPr>
                <w:sz w:val="20"/>
              </w:rPr>
              <w:t>$2,400 / month · $28,800 / year</w:t>
            </w:r>
          </w:p>
        </w:tc>
      </w:tr>
      <w:tr>
        <w:tc>
          <w:tcPr>
            <w:tcW w:type="dxa" w:w="4896"/>
          </w:tcPr>
          <w:p>
            <w:r>
              <w:rPr>
                <w:b/>
                <w:sz w:val="20"/>
              </w:rPr>
              <w:t>Gross Potential Income (GPI)</w:t>
            </w:r>
          </w:p>
        </w:tc>
        <w:tc>
          <w:tcPr>
            <w:tcW w:type="dxa" w:w="4896"/>
          </w:tcPr>
          <w:p>
            <w:r>
              <w:rPr>
                <w:sz w:val="20"/>
              </w:rPr>
              <w:t>$136,800</w:t>
            </w:r>
          </w:p>
        </w:tc>
      </w:tr>
      <w:tr>
        <w:tc>
          <w:tcPr>
            <w:tcW w:type="dxa" w:w="4896"/>
          </w:tcPr>
          <w:p>
            <w:r>
              <w:rPr>
                <w:b/>
                <w:sz w:val="20"/>
              </w:rPr>
              <w:t>Operating expenses (implied)</w:t>
            </w:r>
          </w:p>
        </w:tc>
        <w:tc>
          <w:tcPr>
            <w:tcW w:type="dxa" w:w="4896"/>
          </w:tcPr>
          <w:p>
            <w:r>
              <w:rPr>
                <w:sz w:val="20"/>
              </w:rPr>
              <w:t>$40,880</w:t>
            </w:r>
          </w:p>
        </w:tc>
      </w:tr>
      <w:tr>
        <w:tc>
          <w:tcPr>
            <w:tcW w:type="dxa" w:w="4896"/>
          </w:tcPr>
          <w:p>
            <w:r>
              <w:rPr>
                <w:b/>
                <w:sz w:val="20"/>
              </w:rPr>
              <w:t>Net Operating Income (NOI)</w:t>
            </w:r>
          </w:p>
        </w:tc>
        <w:tc>
          <w:tcPr>
            <w:tcW w:type="dxa" w:w="4896"/>
          </w:tcPr>
          <w:p>
            <w:r>
              <w:rPr>
                <w:sz w:val="20"/>
              </w:rPr>
              <w:t>$95,920</w:t>
            </w:r>
          </w:p>
        </w:tc>
      </w:tr>
      <w:tr>
        <w:tc>
          <w:tcPr>
            <w:tcW w:type="dxa" w:w="4896"/>
          </w:tcPr>
          <w:p>
            <w:r>
              <w:rPr>
                <w:b/>
                <w:sz w:val="20"/>
              </w:rPr>
              <w:t>Debt service (underwritten)</w:t>
            </w:r>
          </w:p>
        </w:tc>
        <w:tc>
          <w:tcPr>
            <w:tcW w:type="dxa" w:w="4896"/>
          </w:tcPr>
          <w:p>
            <w:r>
              <w:rPr>
                <w:sz w:val="20"/>
              </w:rPr>
              <w:t>$31,944 / year</w:t>
            </w:r>
          </w:p>
        </w:tc>
      </w:tr>
      <w:tr>
        <w:tc>
          <w:tcPr>
            <w:tcW w:type="dxa" w:w="4896"/>
          </w:tcPr>
          <w:p>
            <w:r>
              <w:rPr>
                <w:b/>
                <w:sz w:val="20"/>
              </w:rPr>
              <w:t>DSCR</w:t>
            </w:r>
          </w:p>
        </w:tc>
        <w:tc>
          <w:tcPr>
            <w:tcW w:type="dxa" w:w="4896"/>
          </w:tcPr>
          <w:p>
            <w:r>
              <w:rPr>
                <w:sz w:val="20"/>
              </w:rPr>
              <w:t>3.00</w:t>
            </w:r>
          </w:p>
        </w:tc>
      </w:tr>
    </w:tbl>
    <w:p/>
    <w:p>
      <w:r>
        <w:rPr>
          <w:i/>
          <w:sz w:val="18"/>
        </w:rPr>
        <w:t>Note: Residential underwriting baseline is $2,400/mo from the Luxe Loft 716 presentation. Lease copies will confirm final rents. Debt service will be updated when Cornerstone quotes final loan terms.</w:t>
      </w:r>
    </w:p>
    <w:p>
      <w:r>
        <w:rPr>
          <w:b/>
          <w:color w:val="5C2430"/>
          <w:sz w:val="26"/>
        </w:rPr>
        <w:t>6. Sources &amp; Uses</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USE — Net purchase</w:t>
            </w:r>
          </w:p>
        </w:tc>
        <w:tc>
          <w:tcPr>
            <w:tcW w:type="dxa" w:w="4896"/>
          </w:tcPr>
          <w:p>
            <w:r>
              <w:rPr>
                <w:sz w:val="20"/>
              </w:rPr>
              <w:t>$450,000</w:t>
            </w:r>
          </w:p>
        </w:tc>
      </w:tr>
      <w:tr>
        <w:tc>
          <w:tcPr>
            <w:tcW w:type="dxa" w:w="4896"/>
          </w:tcPr>
          <w:p>
            <w:r>
              <w:rPr>
                <w:b/>
                <w:sz w:val="20"/>
              </w:rPr>
              <w:t>USE — Closing costs</w:t>
            </w:r>
          </w:p>
        </w:tc>
        <w:tc>
          <w:tcPr>
            <w:tcW w:type="dxa" w:w="4896"/>
          </w:tcPr>
          <w:p>
            <w:r>
              <w:rPr>
                <w:sz w:val="20"/>
              </w:rPr>
              <w:t>TO BE FINALIZED</w:t>
            </w:r>
          </w:p>
        </w:tc>
      </w:tr>
      <w:tr>
        <w:tc>
          <w:tcPr>
            <w:tcW w:type="dxa" w:w="4896"/>
          </w:tcPr>
          <w:p>
            <w:r>
              <w:rPr>
                <w:b/>
                <w:sz w:val="20"/>
              </w:rPr>
              <w:t>USE — Suite conversion CapEx</w:t>
            </w:r>
          </w:p>
        </w:tc>
        <w:tc>
          <w:tcPr>
            <w:tcW w:type="dxa" w:w="4896"/>
          </w:tcPr>
          <w:p>
            <w:r>
              <w:rPr>
                <w:sz w:val="20"/>
              </w:rPr>
              <w:t>TO BE FINALIZED (contractor bids)</w:t>
            </w:r>
          </w:p>
        </w:tc>
      </w:tr>
      <w:tr>
        <w:tc>
          <w:tcPr>
            <w:tcW w:type="dxa" w:w="4896"/>
          </w:tcPr>
          <w:p>
            <w:r>
              <w:rPr>
                <w:b/>
                <w:sz w:val="20"/>
              </w:rPr>
              <w:t>USE — Reserves / working capital</w:t>
            </w:r>
          </w:p>
        </w:tc>
        <w:tc>
          <w:tcPr>
            <w:tcW w:type="dxa" w:w="4896"/>
          </w:tcPr>
          <w:p>
            <w:r>
              <w:rPr>
                <w:sz w:val="20"/>
              </w:rPr>
              <w:t>TO BE FINALIZED</w:t>
            </w:r>
          </w:p>
        </w:tc>
      </w:tr>
      <w:tr>
        <w:tc>
          <w:tcPr>
            <w:tcW w:type="dxa" w:w="4896"/>
          </w:tcPr>
          <w:p>
            <w:r>
              <w:rPr>
                <w:b/>
                <w:sz w:val="20"/>
              </w:rPr>
              <w:t>SOURCE — Cornerstone loan</w:t>
            </w:r>
          </w:p>
        </w:tc>
        <w:tc>
          <w:tcPr>
            <w:tcW w:type="dxa" w:w="4896"/>
          </w:tcPr>
          <w:p>
            <w:r>
              <w:rPr>
                <w:sz w:val="20"/>
              </w:rPr>
              <w:t>TO BE FINALIZED (loan ask after CapEx)</w:t>
            </w:r>
          </w:p>
        </w:tc>
      </w:tr>
      <w:tr>
        <w:tc>
          <w:tcPr>
            <w:tcW w:type="dxa" w:w="4896"/>
          </w:tcPr>
          <w:p>
            <w:r>
              <w:rPr>
                <w:b/>
                <w:sz w:val="20"/>
              </w:rPr>
              <w:t>SOURCE — Borrower equity (incl. $10,000 deposit)</w:t>
            </w:r>
          </w:p>
        </w:tc>
        <w:tc>
          <w:tcPr>
            <w:tcW w:type="dxa" w:w="4896"/>
          </w:tcPr>
          <w:p>
            <w:r>
              <w:rPr>
                <w:sz w:val="20"/>
              </w:rPr>
              <w:t>TO BE FINALIZED</w:t>
            </w:r>
          </w:p>
        </w:tc>
      </w:tr>
    </w:tbl>
    <w:p/>
    <w:p>
      <w:r>
        <w:rPr>
          <w:b/>
          <w:color w:val="5C2430"/>
          <w:sz w:val="26"/>
        </w:rPr>
        <w:t>7. Conversion / Build-Out Plan</w:t>
      </w:r>
    </w:p>
    <w:p>
      <w:pPr>
        <w:pStyle w:val="ListNumber"/>
      </w:pPr>
      <w:r>
        <w:t>Measure first-floor square footage; recover prior dental architect-stamped plans.</w:t>
      </w:r>
    </w:p>
    <w:p>
      <w:pPr>
        <w:pStyle w:val="ListNumber"/>
      </w:pPr>
      <w:r>
        <w:t>Finalize nine-suite layout with lobby/common area; prefer demountable partitions (STC ≥ 40).</w:t>
      </w:r>
    </w:p>
    <w:p>
      <w:pPr>
        <w:pStyle w:val="ListNumber"/>
      </w:pPr>
      <w:r>
        <w:t>Provide per-suite power, Wi-Fi, and wet/vent stubs as required for beauty/wellness uses.</w:t>
      </w:r>
    </w:p>
    <w:p>
      <w:pPr>
        <w:pStyle w:val="ListNumber"/>
      </w:pPr>
      <w:r>
        <w:t>Market to independent operators; lease-up to stabilize suite income at underwritten levels.</w:t>
      </w:r>
    </w:p>
    <w:p>
      <w:pPr>
        <w:pStyle w:val="ListNumber"/>
      </w:pPr>
      <w:r>
        <w:t>Confirm Seller completes exterior electric service repair/inspection before or at closing.</w:t>
      </w:r>
    </w:p>
    <w:p>
      <w:r>
        <w:rPr>
          <w:b/>
          <w:color w:val="5C2430"/>
          <w:sz w:val="26"/>
        </w:rPr>
        <w:t>8. Credit Strength Summary</w:t>
      </w:r>
    </w:p>
    <w:p>
      <w:pPr>
        <w:pStyle w:val="ListBullet"/>
      </w:pPr>
      <w:r>
        <w:t>Diversified rent roll: nine suites + two apartments vs. a single commercial tenant.</w:t>
      </w:r>
    </w:p>
    <w:p>
      <w:pPr>
        <w:pStyle w:val="ListBullet"/>
      </w:pPr>
      <w:r>
        <w:t>Existing professional office infrastructure (plumbing, HVAC, parking, ADA) lowers conversion risk.</w:t>
      </w:r>
    </w:p>
    <w:p>
      <w:pPr>
        <w:pStyle w:val="ListBullet"/>
      </w:pPr>
      <w:r>
        <w:t>Prior architect-designed dental conversion cited in Luxe Loft 716 presentation.</w:t>
      </w:r>
    </w:p>
    <w:p>
      <w:pPr>
        <w:pStyle w:val="ListBullet"/>
      </w:pPr>
      <w:r>
        <w:t>Underwritten DSCR of 3.00 on presentation assumptions.</w:t>
      </w:r>
    </w:p>
    <w:p>
      <w:pPr>
        <w:pStyle w:val="ListBullet"/>
      </w:pPr>
      <w:r>
        <w:t>Related operating history provided via 549 Indian Church LLC in the financial package.</w:t>
      </w:r>
    </w:p>
    <w:p>
      <w:pPr>
        <w:pStyle w:val="ListBullet"/>
      </w:pPr>
      <w:r>
        <w:t>Buffalo salon-suite operating experience with independent operators / micro-suites.</w:t>
      </w:r>
    </w:p>
    <w:p>
      <w:r>
        <w:rPr>
          <w:b/>
          <w:color w:val="5C2430"/>
          <w:sz w:val="26"/>
        </w:rPr>
        <w:t>9. Loan Request (complete before send)</w:t>
      </w:r>
    </w:p>
    <w:tbl>
      <w:tblPr>
        <w:tblStyle w:val="TableGrid"/>
        <w:tblW w:type="auto" w:w="0"/>
        <w:tblLook w:firstColumn="1" w:firstRow="1" w:lastColumn="0" w:lastRow="0" w:noHBand="0" w:noVBand="1" w:val="04A0"/>
      </w:tblPr>
      <w:tblGrid>
        <w:gridCol w:w="4896"/>
        <w:gridCol w:w="4896"/>
      </w:tblGrid>
      <w:tr>
        <w:tc>
          <w:tcPr>
            <w:tcW w:type="dxa" w:w="4896"/>
          </w:tcPr>
          <w:p>
            <w:r>
              <w:rPr>
                <w:b/>
                <w:sz w:val="20"/>
              </w:rPr>
              <w:t>Requested loan amount</w:t>
            </w:r>
          </w:p>
        </w:tc>
        <w:tc>
          <w:tcPr>
            <w:tcW w:type="dxa" w:w="4896"/>
          </w:tcPr>
          <w:p>
            <w:r>
              <w:rPr>
                <w:sz w:val="20"/>
              </w:rPr>
              <w:t>$________________</w:t>
            </w:r>
          </w:p>
        </w:tc>
      </w:tr>
      <w:tr>
        <w:tc>
          <w:tcPr>
            <w:tcW w:type="dxa" w:w="4896"/>
          </w:tcPr>
          <w:p>
            <w:r>
              <w:rPr>
                <w:b/>
                <w:sz w:val="20"/>
              </w:rPr>
              <w:t>Requested term / amortization</w:t>
            </w:r>
          </w:p>
        </w:tc>
        <w:tc>
          <w:tcPr>
            <w:tcW w:type="dxa" w:w="4896"/>
          </w:tcPr>
          <w:p>
            <w:r>
              <w:rPr>
                <w:sz w:val="20"/>
              </w:rPr>
              <w:t>________________</w:t>
            </w:r>
          </w:p>
        </w:tc>
      </w:tr>
      <w:tr>
        <w:tc>
          <w:tcPr>
            <w:tcW w:type="dxa" w:w="4896"/>
          </w:tcPr>
          <w:p>
            <w:r>
              <w:rPr>
                <w:b/>
                <w:sz w:val="20"/>
              </w:rPr>
              <w:t>Requested rate structure</w:t>
            </w:r>
          </w:p>
        </w:tc>
        <w:tc>
          <w:tcPr>
            <w:tcW w:type="dxa" w:w="4896"/>
          </w:tcPr>
          <w:p>
            <w:r>
              <w:rPr>
                <w:sz w:val="20"/>
              </w:rPr>
              <w:t>________________</w:t>
            </w:r>
          </w:p>
        </w:tc>
      </w:tr>
      <w:tr>
        <w:tc>
          <w:tcPr>
            <w:tcW w:type="dxa" w:w="4896"/>
          </w:tcPr>
          <w:p>
            <w:r>
              <w:rPr>
                <w:b/>
                <w:sz w:val="20"/>
              </w:rPr>
              <w:t>Requested LTV</w:t>
            </w:r>
          </w:p>
        </w:tc>
        <w:tc>
          <w:tcPr>
            <w:tcW w:type="dxa" w:w="4896"/>
          </w:tcPr>
          <w:p>
            <w:r>
              <w:rPr>
                <w:sz w:val="20"/>
              </w:rPr>
              <w:t>________________ %</w:t>
            </w:r>
          </w:p>
        </w:tc>
      </w:tr>
      <w:tr>
        <w:tc>
          <w:tcPr>
            <w:tcW w:type="dxa" w:w="4896"/>
          </w:tcPr>
          <w:p>
            <w:r>
              <w:rPr>
                <w:b/>
                <w:sz w:val="20"/>
              </w:rPr>
              <w:t>Guarantor(s)</w:t>
            </w:r>
          </w:p>
        </w:tc>
        <w:tc>
          <w:tcPr>
            <w:tcW w:type="dxa" w:w="4896"/>
          </w:tcPr>
          <w:p>
            <w:r>
              <w:rPr>
                <w:sz w:val="20"/>
              </w:rPr>
              <w:t>________________</w:t>
            </w:r>
          </w:p>
        </w:tc>
      </w:tr>
    </w:tbl>
    <w:p/>
    <w:p>
      <w:r>
        <w:rPr>
          <w:b/>
          <w:color w:val="5C2430"/>
          <w:sz w:val="26"/>
        </w:rPr>
        <w:t>10. Attachments Checklist</w:t>
      </w:r>
    </w:p>
    <w:p>
      <w:pPr>
        <w:pStyle w:val="ListBullet"/>
      </w:pPr>
      <w:r>
        <w:t>IJB Enterprises Commercial Financial Statement Package (July 2026)</w:t>
      </w:r>
    </w:p>
    <w:p>
      <w:pPr>
        <w:pStyle w:val="ListBullet"/>
      </w:pPr>
      <w:r>
        <w:t>Sale Contract — 3887 Seneca (signed / Authentisign)</w:t>
      </w:r>
    </w:p>
    <w:p>
      <w:pPr>
        <w:pStyle w:val="ListBullet"/>
      </w:pPr>
      <w:r>
        <w:t>Luxe Loft 716 Presentation (prepared for Michael Woods)</w:t>
      </w:r>
    </w:p>
    <w:p>
      <w:pPr>
        <w:pStyle w:val="ListBullet"/>
      </w:pPr>
      <w:r>
        <w:t>Personal Financial Statement / tax returns (guarantor) — attach when ready</w:t>
      </w:r>
    </w:p>
    <w:p>
      <w:pPr>
        <w:pStyle w:val="ListBullet"/>
      </w:pPr>
      <w:r>
        <w:t>Entity formation documents (IJB Enterprises Inc.) — attach when ready</w:t>
      </w:r>
    </w:p>
    <w:p>
      <w:pPr>
        <w:pStyle w:val="ListBullet"/>
      </w:pPr>
      <w:r>
        <w:t>Residential leases / rent roll — attach when ready</w:t>
      </w:r>
    </w:p>
    <w:p>
      <w:pPr>
        <w:pStyle w:val="ListBullet"/>
      </w:pPr>
      <w:r>
        <w:t>CapEx bids / contractor estimates — attach when ready</w:t>
      </w:r>
    </w:p>
    <w:p>
      <w:pPr>
        <w:pStyle w:val="ListBullet"/>
      </w:pPr>
      <w:r>
        <w:t>Measured floor plan / dental architect plans — attach when ready</w:t>
      </w:r>
    </w:p>
    <w:p>
      <w:r>
        <w:rPr>
          <w:b/>
          <w:color w:val="5C2430"/>
          <w:sz w:val="26"/>
        </w:rPr>
        <w:t>11. Certification</w:t>
      </w:r>
    </w:p>
    <w:p>
      <w:r>
        <w:t>The undersigned certifies that the information in this response form is true and correct to the best of their knowledge as of the date signed, and authorizes Cornerstone Community Federal Credit Union to verify the information provided.</w:t>
      </w:r>
    </w:p>
    <w:p/>
    <w:tbl>
      <w:tblPr>
        <w:tblStyle w:val="TableGrid"/>
        <w:tblW w:type="auto" w:w="0"/>
        <w:tblLook w:firstColumn="1" w:firstRow="1" w:lastColumn="0" w:lastRow="0" w:noHBand="0" w:noVBand="1" w:val="04A0"/>
      </w:tblPr>
      <w:tblGrid>
        <w:gridCol w:w="4896"/>
        <w:gridCol w:w="4896"/>
      </w:tblGrid>
      <w:tr>
        <w:tc>
          <w:tcPr>
            <w:tcW w:type="dxa" w:w="4896"/>
          </w:tcPr>
          <w:p>
            <w:r>
              <w:rPr>
                <w:b/>
                <w:sz w:val="20"/>
              </w:rPr>
              <w:t>Authorized signer (print)</w:t>
            </w:r>
          </w:p>
        </w:tc>
        <w:tc>
          <w:tcPr>
            <w:tcW w:type="dxa" w:w="4896"/>
          </w:tcPr>
          <w:p>
            <w:r>
              <w:rPr>
                <w:sz w:val="20"/>
              </w:rPr>
              <w:t>Tiffany Durilla</w:t>
            </w:r>
          </w:p>
        </w:tc>
      </w:tr>
      <w:tr>
        <w:tc>
          <w:tcPr>
            <w:tcW w:type="dxa" w:w="4896"/>
          </w:tcPr>
          <w:p>
            <w:r>
              <w:rPr>
                <w:b/>
                <w:sz w:val="20"/>
              </w:rPr>
              <w:t>Title / entity</w:t>
            </w:r>
          </w:p>
        </w:tc>
        <w:tc>
          <w:tcPr>
            <w:tcW w:type="dxa" w:w="4896"/>
          </w:tcPr>
          <w:p>
            <w:r>
              <w:rPr>
                <w:sz w:val="20"/>
              </w:rPr>
              <w:t>IJB Enterprises Inc.</w:t>
            </w:r>
          </w:p>
        </w:tc>
      </w:tr>
      <w:tr>
        <w:tc>
          <w:tcPr>
            <w:tcW w:type="dxa" w:w="4896"/>
          </w:tcPr>
          <w:p>
            <w:r>
              <w:rPr>
                <w:b/>
                <w:sz w:val="20"/>
              </w:rPr>
              <w:t>Signature</w:t>
            </w:r>
          </w:p>
        </w:tc>
        <w:tc>
          <w:tcPr>
            <w:tcW w:type="dxa" w:w="4896"/>
          </w:tcPr>
          <w:p>
            <w:r>
              <w:rPr>
                <w:sz w:val="20"/>
              </w:rPr>
              <w:t>________________________________</w:t>
            </w:r>
          </w:p>
        </w:tc>
      </w:tr>
      <w:tr>
        <w:tc>
          <w:tcPr>
            <w:tcW w:type="dxa" w:w="4896"/>
          </w:tcPr>
          <w:p>
            <w:r>
              <w:rPr>
                <w:b/>
                <w:sz w:val="20"/>
              </w:rPr>
              <w:t>Date</w:t>
            </w:r>
          </w:p>
        </w:tc>
        <w:tc>
          <w:tcPr>
            <w:tcW w:type="dxa" w:w="4896"/>
          </w:tcPr>
          <w:p>
            <w:r>
              <w:rPr>
                <w:sz w:val="20"/>
              </w:rPr>
              <w:t>________________</w:t>
            </w:r>
          </w:p>
        </w:tc>
      </w:tr>
    </w:tbl>
    <w:p/>
    <w:p>
      <w:r>
        <w:rPr>
          <w:color w:val="666666"/>
          <w:sz w:val="16"/>
        </w:rPr>
        <w:br/>
        <w:t>Internal file location: C:\Users\17274\ME\3887-Seneca\docs\bank\Cornerstone_Bank_Response_Form.docx</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