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"Imagine transforming prime Tonawanda waterfront into a thriving mixed-use destination.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2829 Niagara St.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we're building a dynamic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-rise with ground-floor retail and parking, plus three floors of modern residential and hospitality suites.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But here's the game-changer: we're doing it through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WNY Makers Model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. This means partners like you contribute expertise and services in-kind, reducing upfront cash and traditional debt, accelerating timelines by up to a year, and cutting construction costs by 20%.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You get a pro-rata share of significant profits, an 8% preferred return on your contribution, and perks like reduced unit pricing and long-term income from STRs. It's about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partners, not paychecks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building shared wealth and a reusable ecosystem for future ventures. Ready to build the future of Tonawanda with us?"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Core Project Messaging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Project Name: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2829 Niagara St.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Co-Development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Tagline: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Building Prosperity, Together: The WNY Makers Way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Vision Statement: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establish 2829 Niagara St. as a premier mixed-use destination on the Tonawanda waterfront, fostering community revitalization and delivering exceptional value through a collaborative, debt-free development model.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Mission/Purpose: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 mission is to redefine real estate development by empowering in-kind partners to co-create high-value projects, minimizing financial risk while maximizing shared profitability and long-term residual income.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Value Proposition (for Partners):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WNY Makers Model offers partners a revolutionary opportunity to invest their expertise, services, or materials in-kind, earning a pro-rata share of substantial project profits and an 8% time-weighted preferred return. This approach eliminates traditional financing barriers, accelerates timelines, reduces costs, and provides unique perks like unit discounts and perpetual STR income, fostering true co-ownership and wealth creation.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Key Differentiators: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Debt-Free Development: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Eliminates traditional loans, interest payments, and lender demands, significantly reducing financial risk.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In-Kind Equity: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Values professional services and materials as direct investments, enabling participation without large cash outlays.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Accelerated Timelines: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Streamlined decision-making bypasses bureaucratic hurdles, shortening development by 6-12 months.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Enhanced Profitability: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Targets up to 20% reduction in construction costs and allows for strategic market timing to maximize revenue.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Partner-Centric Benefits: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Offers direct profit sharing, preferred returns, unit perks, and options for long-term tax-advantaged income from hospitality suites.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Scalable Ecosystem: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Builds a reusable network of top professionals for future, lower-risk ventures.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Target Audience (Implicit):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Attorneys, Architects, general contractors, specialized service providers, and strategic investors seeking a high-return, low-cash-investment opportunity within a transparent, collaborative, and innovative real estate development framework.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