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Formal Voting Platforms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These are ideal for official, binding decisions that need to be secure, auditable, and aligned with your partnership agreement. They are built for governance.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Simply Voting: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comprehensive, full-service platform that offers high security, voter anonymity, and verifiable results. It's well-suited for formal elections and critical partnership votes.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OpaVote: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Specializes in secure online elections and is known for supporting ranked-choice voting.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It's a cost-effective option that emphasizes transparency and ease of use for voters.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Kuorum.org: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certified platform focused on legally binding decisions for AGMs, boards, and shareholder meetings.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emphasizes compliance and security, which is ideal for high-stakes corporate governance.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Real-Time Polling &amp; Engagement Tools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These are perfect for facilitating quick consensus during meetings, gathering instant feedback, and preventing discussions from becoming bottlenecks.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Slido: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popular tool for making meetings more interactive.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excels at live polls, Q&amp;A sessions, and word clouds, and it integrates directly into presentation software like PowerPoint and Google Slides.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Poll Everywhere: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Another leading audience engagement tool that offers a wide variety of real-time activities, from multiple-choice polls to clickable images, to keep partners engaged and gather instant input.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Mentimeter: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Allows you to build interactive presentations with live polls, quizzes, and word clouds to capture audience opinions in real-time and visualize the results instantly.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For the WNYMM, you might consider a two-pronged approach: using a formal platform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Simply Voting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major, legally-binding decisions and a tool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Slido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facilitating efficient, day-to-day meetings.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Which type of decision-making is the more immediate priority for the partnership?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