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WNY Makers Model offers several unique features that set it apart from traditional real estate development approache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inimized Cash Investments &amp; Reduced Risk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t significantly reduces the need for upfront cash contributions from partners and operates without traditional loans or external debt, mitigating financial exposure and stres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Equitable Collaboration &amp; Profit Sharin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rofessionals contribute expertise, services, or materials in-kind, which are valued at market rates and treated as investments, leading to a pro-rata share of projected profit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ime-Weighted Preferred Retur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tners receive an 8% annualized preferred return on their contributions, rewarding early participation and higher risk exposur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Elimination of Traditional Financing Barrier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y bypassing bureaucratic financing hurdles, the project can accelerate timelines, potentially shortening overall development by 6-12 month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Reduced Construction Cost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model aims to cut construction costs by up to 20% per square foot by avoiding lender delays and interest paymen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ransparent &amp; Milestone-Driven Profit Distribu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stributions begin quarterly from Month 18, triggered by sales exceeding 20% increments of salable are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artner Perks &amp; Tax Benefit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tners gain access to benefits like reduced pricing on units, transfer of depreciation, and potential for long-term holds on Short-Term Rental (STR) uni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Enhanced Sales Advantage &amp; Self-Financing Option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debt-free structure enables offering competitive self-financing options to regular buyers, where partners can fund these mortgages based on their shares, extending returns and providing tax benefit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trategic Market Timin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Without loan repayment pressure, the model allows for strategic timing to capitalize on optimal market conditions, maximizing revenue without forced sal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Favorable Bridge Financing Term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strong equity position provides a significant negotiating advantage for favorable rates and terms if small bridge financing is neede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erpetual Residual Income from STR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tners can elect to retain hospitality suites for STR operation, generating ongoing income and enjoying tax benefits through depreciati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ax-Deferred Scalin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rofits can be rolled into future developments via 1031 exchanges, deferring capital gains taxes and enabling seamless scaling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Faster Decision-Making and Execu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sembling a "super team" of in-kind contributors streamlines decision-making, bypassing traditional bureaucratic hurdl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calability and Network Effect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uccessful partnerships build a reusable ecosystem for future projects, reducing onboarding costs and fostering long-term allianc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Enhanced Resilience to Economic Volatility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st savings and flexible timing mitigate downturns, allowing for strategic investment of idle cash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