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324" w:rsidRDefault="00121324" w:rsidP="00121324">
      <w:pPr>
        <w:pStyle w:val="1"/>
      </w:pPr>
      <w:r>
        <w:rPr>
          <w:rFonts w:hint="eastAsia"/>
        </w:rPr>
        <w:t>应急预案</w:t>
      </w:r>
    </w:p>
    <w:p w:rsidR="00121324" w:rsidRDefault="00121324" w:rsidP="00121324">
      <w:pPr>
        <w:spacing w:line="300" w:lineRule="auto"/>
        <w:ind w:firstLine="420"/>
        <w:rPr>
          <w:rFonts w:hAnsi="宋体" w:cs="Times New Roman"/>
          <w:sz w:val="24"/>
          <w:szCs w:val="24"/>
        </w:rPr>
      </w:pPr>
      <w:r w:rsidRPr="00121324">
        <w:rPr>
          <w:rFonts w:hAnsi="宋体" w:cs="Times New Roman" w:hint="eastAsia"/>
          <w:sz w:val="24"/>
          <w:szCs w:val="24"/>
        </w:rPr>
        <w:t>我国</w:t>
      </w:r>
      <w:r>
        <w:rPr>
          <w:rFonts w:hAnsi="宋体" w:cs="Times New Roman" w:hint="eastAsia"/>
          <w:sz w:val="24"/>
          <w:szCs w:val="24"/>
        </w:rPr>
        <w:t>物流配送行业</w:t>
      </w:r>
      <w:r w:rsidRPr="00121324">
        <w:rPr>
          <w:rFonts w:hAnsi="宋体" w:cs="Times New Roman" w:hint="eastAsia"/>
          <w:sz w:val="24"/>
          <w:szCs w:val="24"/>
        </w:rPr>
        <w:t>目前正处在转型期，面临的各种矛盾错综复杂，加上事故灾难、自然灾害</w:t>
      </w:r>
      <w:r>
        <w:rPr>
          <w:rFonts w:hAnsi="宋体" w:cs="Times New Roman" w:hint="eastAsia"/>
          <w:sz w:val="24"/>
          <w:szCs w:val="24"/>
        </w:rPr>
        <w:t>和</w:t>
      </w:r>
      <w:r w:rsidRPr="00121324">
        <w:rPr>
          <w:rFonts w:hAnsi="宋体" w:cs="Times New Roman" w:hint="eastAsia"/>
          <w:sz w:val="24"/>
          <w:szCs w:val="24"/>
        </w:rPr>
        <w:t>社会安全方面暴露的不和谐问题，随时随地都存着在爆发各种突发事件的可能性。由于突发事件的不确定性和危害性使得对突发事件的应对变得非常困难，因此突发事件应急管理随之产生。</w:t>
      </w:r>
    </w:p>
    <w:p w:rsidR="00B41D2D" w:rsidRDefault="00121324" w:rsidP="00121324">
      <w:pPr>
        <w:spacing w:line="300" w:lineRule="auto"/>
        <w:ind w:firstLine="420"/>
        <w:rPr>
          <w:rFonts w:hAnsi="宋体" w:cs="Times New Roman"/>
          <w:sz w:val="24"/>
          <w:szCs w:val="24"/>
        </w:rPr>
      </w:pPr>
      <w:r w:rsidRPr="00121324">
        <w:rPr>
          <w:rFonts w:hAnsi="宋体" w:cs="Times New Roman" w:hint="eastAsia"/>
          <w:sz w:val="24"/>
          <w:szCs w:val="24"/>
        </w:rPr>
        <w:t>突发事件应急预案是应对自然灾害、事故灾难、公共卫生事件等突发事件的应急管理、指挥、救援计划</w:t>
      </w:r>
      <w:r w:rsidRPr="00121324">
        <w:rPr>
          <w:rFonts w:hAnsi="宋体" w:cs="Times New Roman" w:hint="eastAsia"/>
          <w:sz w:val="24"/>
          <w:szCs w:val="24"/>
        </w:rPr>
        <w:t>;</w:t>
      </w:r>
      <w:r w:rsidRPr="00121324">
        <w:rPr>
          <w:rFonts w:hAnsi="宋体" w:cs="Times New Roman" w:hint="eastAsia"/>
          <w:sz w:val="24"/>
          <w:szCs w:val="24"/>
        </w:rPr>
        <w:t>应急预案是突发事件应对工作的首要环节。</w:t>
      </w:r>
      <w:r>
        <w:rPr>
          <w:rFonts w:hAnsi="宋体" w:cs="Times New Roman" w:hint="eastAsia"/>
          <w:sz w:val="24"/>
          <w:szCs w:val="24"/>
        </w:rPr>
        <w:t>可以将</w:t>
      </w:r>
      <w:r w:rsidR="00A65CE9" w:rsidRPr="007B1A1E">
        <w:rPr>
          <w:rFonts w:hAnsi="宋体" w:cs="Times New Roman" w:hint="eastAsia"/>
          <w:sz w:val="24"/>
          <w:szCs w:val="24"/>
        </w:rPr>
        <w:t>应急管理被分为减缓</w:t>
      </w:r>
      <w:r w:rsidR="00A65CE9" w:rsidRPr="007B1A1E">
        <w:rPr>
          <w:rFonts w:hAnsi="宋体" w:cs="Times New Roman" w:hint="eastAsia"/>
          <w:sz w:val="24"/>
          <w:szCs w:val="24"/>
        </w:rPr>
        <w:t>(Mitigation)</w:t>
      </w:r>
      <w:r w:rsidR="00A65CE9" w:rsidRPr="007B1A1E">
        <w:rPr>
          <w:rFonts w:hAnsi="宋体" w:cs="Times New Roman" w:hint="eastAsia"/>
          <w:sz w:val="24"/>
          <w:szCs w:val="24"/>
        </w:rPr>
        <w:t>、准备</w:t>
      </w:r>
      <w:r w:rsidR="00A65CE9" w:rsidRPr="007B1A1E">
        <w:rPr>
          <w:rFonts w:hAnsi="宋体" w:cs="Times New Roman" w:hint="eastAsia"/>
          <w:sz w:val="24"/>
          <w:szCs w:val="24"/>
        </w:rPr>
        <w:t>(preparedness)</w:t>
      </w:r>
      <w:r w:rsidR="00A65CE9" w:rsidRPr="007B1A1E">
        <w:rPr>
          <w:rFonts w:hAnsi="宋体" w:cs="Times New Roman" w:hint="eastAsia"/>
          <w:sz w:val="24"/>
          <w:szCs w:val="24"/>
        </w:rPr>
        <w:t>、响应</w:t>
      </w:r>
      <w:r w:rsidR="00A65CE9" w:rsidRPr="007B1A1E">
        <w:rPr>
          <w:rFonts w:hAnsi="宋体" w:cs="Times New Roman" w:hint="eastAsia"/>
          <w:sz w:val="24"/>
          <w:szCs w:val="24"/>
        </w:rPr>
        <w:t>(Response)</w:t>
      </w:r>
      <w:r w:rsidR="00A65CE9" w:rsidRPr="007B1A1E">
        <w:rPr>
          <w:rFonts w:hAnsi="宋体" w:cs="Times New Roman" w:hint="eastAsia"/>
          <w:sz w:val="24"/>
          <w:szCs w:val="24"/>
        </w:rPr>
        <w:t>、恢复</w:t>
      </w:r>
      <w:r w:rsidR="00A65CE9" w:rsidRPr="007B1A1E">
        <w:rPr>
          <w:rFonts w:hAnsi="宋体" w:cs="Times New Roman" w:hint="eastAsia"/>
          <w:sz w:val="24"/>
          <w:szCs w:val="24"/>
        </w:rPr>
        <w:t>(Recovery)</w:t>
      </w:r>
      <w:r w:rsidR="00A65CE9" w:rsidRPr="007B1A1E">
        <w:rPr>
          <w:rFonts w:hAnsi="宋体" w:cs="Times New Roman" w:hint="eastAsia"/>
          <w:sz w:val="24"/>
          <w:szCs w:val="24"/>
        </w:rPr>
        <w:t>四个阶段</w:t>
      </w:r>
      <w:r>
        <w:rPr>
          <w:rFonts w:hAnsi="宋体" w:cs="Times New Roman" w:hint="eastAsia"/>
          <w:sz w:val="24"/>
          <w:szCs w:val="24"/>
        </w:rPr>
        <w:t>来处理</w:t>
      </w:r>
      <w:r w:rsidR="00A65CE9" w:rsidRPr="007B1A1E">
        <w:rPr>
          <w:rFonts w:hAnsi="宋体" w:cs="Times New Roman" w:hint="eastAsia"/>
          <w:sz w:val="24"/>
          <w:szCs w:val="24"/>
        </w:rPr>
        <w:t>。</w:t>
      </w:r>
    </w:p>
    <w:p w:rsidR="007B1A1E" w:rsidRDefault="007B1A1E" w:rsidP="00121324">
      <w:pPr>
        <w:spacing w:line="300" w:lineRule="auto"/>
        <w:ind w:firstLine="420"/>
        <w:rPr>
          <w:rFonts w:hAnsi="宋体" w:cs="Times New Roman"/>
          <w:sz w:val="24"/>
          <w:szCs w:val="24"/>
        </w:rPr>
      </w:pPr>
      <w:r w:rsidRPr="007B1A1E">
        <w:rPr>
          <w:rFonts w:hAnsi="宋体" w:cs="Times New Roman" w:hint="eastAsia"/>
          <w:sz w:val="24"/>
          <w:szCs w:val="24"/>
        </w:rPr>
        <w:t>在物流应急中，主要是针对自然灾害、运输路线、运输工具等对正常物流业务造成的影响而采取的一种特殊物流活动，也需要一定的物资、人员和资金。在突发事件发生的情况下，通过各部门的协作，来组织人员、物资、资金等，完成应急事件的处理。</w:t>
      </w:r>
    </w:p>
    <w:p w:rsidR="00750D28" w:rsidRDefault="00750D28" w:rsidP="00121324">
      <w:pPr>
        <w:spacing w:line="300" w:lineRule="auto"/>
        <w:ind w:firstLine="420"/>
        <w:rPr>
          <w:rFonts w:hAnsi="宋体" w:cs="Times New Roman"/>
          <w:sz w:val="24"/>
          <w:szCs w:val="24"/>
        </w:rPr>
      </w:pPr>
    </w:p>
    <w:p w:rsidR="00750D28" w:rsidRPr="00750D28" w:rsidRDefault="00750D28" w:rsidP="00750D28">
      <w:pPr>
        <w:pStyle w:val="2"/>
      </w:pPr>
      <w:r>
        <w:rPr>
          <w:rFonts w:hint="eastAsia"/>
        </w:rPr>
        <w:t>预警机制</w:t>
      </w:r>
    </w:p>
    <w:p w:rsidR="00121324" w:rsidRDefault="00750D28" w:rsidP="007B1A1E">
      <w:pPr>
        <w:spacing w:line="300" w:lineRule="auto"/>
        <w:ind w:firstLine="420"/>
        <w:rPr>
          <w:rFonts w:hAnsi="宋体" w:cs="Times New Roman"/>
          <w:sz w:val="24"/>
          <w:szCs w:val="24"/>
        </w:rPr>
      </w:pPr>
      <w:r>
        <w:rPr>
          <w:rFonts w:hAnsi="宋体" w:cs="Times New Roman" w:hint="eastAsia"/>
          <w:sz w:val="24"/>
          <w:szCs w:val="24"/>
        </w:rPr>
        <w:t>预警分析的目的是为了告知人们可能出现的事件或事件的恶化状况，可以使人们提前采取一系列有效的措施，把可能发生的事件或是可能恶化的事态消除在萌芽中。</w:t>
      </w:r>
      <w:r w:rsidR="00D63575">
        <w:rPr>
          <w:rFonts w:hAnsi="宋体" w:cs="Times New Roman" w:hint="eastAsia"/>
          <w:sz w:val="24"/>
          <w:szCs w:val="24"/>
        </w:rPr>
        <w:t>预警机制需要遵循一定的流程，如图</w:t>
      </w:r>
      <w:r w:rsidR="00D63575" w:rsidRPr="00D63575">
        <w:rPr>
          <w:rFonts w:hAnsi="宋体" w:cs="Times New Roman" w:hint="eastAsia"/>
          <w:color w:val="FF0000"/>
          <w:sz w:val="24"/>
          <w:szCs w:val="24"/>
        </w:rPr>
        <w:t>——</w:t>
      </w:r>
      <w:proofErr w:type="gramStart"/>
      <w:r w:rsidR="00D63575" w:rsidRPr="00D63575">
        <w:rPr>
          <w:rFonts w:hAnsi="宋体" w:cs="Times New Roman" w:hint="eastAsia"/>
          <w:color w:val="FF0000"/>
          <w:sz w:val="24"/>
          <w:szCs w:val="24"/>
        </w:rPr>
        <w:t>————</w:t>
      </w:r>
      <w:proofErr w:type="gramEnd"/>
    </w:p>
    <w:p w:rsidR="00D63575" w:rsidRDefault="00D63575" w:rsidP="007B1A1E">
      <w:pPr>
        <w:spacing w:line="300" w:lineRule="auto"/>
        <w:ind w:firstLine="420"/>
        <w:rPr>
          <w:rFonts w:hAnsi="宋体" w:cs="Times New Roman"/>
          <w:sz w:val="24"/>
          <w:szCs w:val="24"/>
        </w:rPr>
      </w:pPr>
    </w:p>
    <w:p w:rsidR="00D63575" w:rsidRDefault="002F4E83" w:rsidP="007B1A1E">
      <w:pPr>
        <w:spacing w:line="300" w:lineRule="auto"/>
        <w:ind w:firstLine="420"/>
        <w:rPr>
          <w:rFonts w:hAnsi="宋体" w:cs="Times New Roman"/>
          <w:sz w:val="24"/>
          <w:szCs w:val="24"/>
        </w:rPr>
      </w:pPr>
      <w:r w:rsidRPr="005914C2">
        <w:rPr>
          <w:rFonts w:hAnsi="宋体" w:cs="Times New Roman"/>
          <w:sz w:val="24"/>
          <w:szCs w:val="24"/>
        </w:rPr>
        <w:object w:dxaOrig="6415" w:dyaOrig="16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623.25pt" o:ole="">
            <v:imagedata r:id="rId8" o:title=""/>
          </v:shape>
          <o:OLEObject Type="Embed" ProgID="Visio.Drawing.11" ShapeID="_x0000_i1025" DrawAspect="Content" ObjectID="_1418375139" r:id="rId9"/>
        </w:object>
      </w:r>
    </w:p>
    <w:p w:rsidR="002F4E83" w:rsidRDefault="002F4E83" w:rsidP="007B1A1E">
      <w:pPr>
        <w:spacing w:line="300" w:lineRule="auto"/>
        <w:ind w:firstLine="420"/>
        <w:rPr>
          <w:rFonts w:hAnsi="宋体" w:cs="Times New Roman"/>
          <w:sz w:val="24"/>
          <w:szCs w:val="24"/>
        </w:rPr>
      </w:pPr>
    </w:p>
    <w:p w:rsidR="00D63575" w:rsidRDefault="00D63575" w:rsidP="007B1A1E">
      <w:pPr>
        <w:spacing w:line="300" w:lineRule="auto"/>
        <w:ind w:firstLine="420"/>
        <w:rPr>
          <w:rFonts w:hAnsi="宋体" w:cs="Times New Roman"/>
          <w:sz w:val="24"/>
          <w:szCs w:val="24"/>
        </w:rPr>
      </w:pPr>
      <w:r>
        <w:rPr>
          <w:rFonts w:hAnsi="宋体" w:cs="Times New Roman" w:hint="eastAsia"/>
          <w:sz w:val="24"/>
          <w:szCs w:val="24"/>
        </w:rPr>
        <w:t>在应急物流管理的前一阶段，监测</w:t>
      </w:r>
      <w:r w:rsidR="00924896">
        <w:rPr>
          <w:rFonts w:hAnsi="宋体" w:cs="Times New Roman" w:hint="eastAsia"/>
          <w:sz w:val="24"/>
          <w:szCs w:val="24"/>
        </w:rPr>
        <w:t>是保证应急物流管理体系尽量不进入预警的重要机制设计内容，它融合了风险的识别与评价、风险事件发展规律的预报、预警信号的确定以及风险源的连续性或阶段性的监视与风险源的控制。</w:t>
      </w:r>
      <w:r w:rsidR="00723608">
        <w:rPr>
          <w:rFonts w:hAnsi="宋体" w:cs="Times New Roman" w:hint="eastAsia"/>
          <w:sz w:val="24"/>
          <w:szCs w:val="24"/>
        </w:rPr>
        <w:t>系统论的知识表明，任何一个系统都不是</w:t>
      </w:r>
      <w:r w:rsidR="002F4E83">
        <w:rPr>
          <w:rFonts w:hAnsi="宋体" w:cs="Times New Roman" w:hint="eastAsia"/>
          <w:sz w:val="24"/>
          <w:szCs w:val="24"/>
        </w:rPr>
        <w:t>静止不变的，而是在不停运动和变化着的，</w:t>
      </w:r>
      <w:r w:rsidR="00723608">
        <w:rPr>
          <w:rFonts w:hAnsi="宋体" w:cs="Times New Roman" w:hint="eastAsia"/>
          <w:sz w:val="24"/>
          <w:szCs w:val="24"/>
        </w:rPr>
        <w:t>在确定应急预案之后，需要对风险事件发展的进行连续性监测</w:t>
      </w:r>
      <w:r w:rsidR="002F4E83">
        <w:rPr>
          <w:rFonts w:hAnsi="宋体" w:cs="Times New Roman" w:hint="eastAsia"/>
          <w:sz w:val="24"/>
          <w:szCs w:val="24"/>
        </w:rPr>
        <w:t>，来评估事态发展动向</w:t>
      </w:r>
      <w:r w:rsidR="00723608">
        <w:rPr>
          <w:rFonts w:hAnsi="宋体" w:cs="Times New Roman" w:hint="eastAsia"/>
          <w:sz w:val="24"/>
          <w:szCs w:val="24"/>
        </w:rPr>
        <w:t>。</w:t>
      </w:r>
    </w:p>
    <w:p w:rsidR="00924896" w:rsidRPr="006F09A0" w:rsidRDefault="00924896" w:rsidP="007B1A1E">
      <w:pPr>
        <w:spacing w:line="300" w:lineRule="auto"/>
        <w:ind w:firstLine="420"/>
        <w:rPr>
          <w:rFonts w:hAnsi="宋体" w:cs="Times New Roman"/>
          <w:sz w:val="24"/>
          <w:szCs w:val="24"/>
        </w:rPr>
      </w:pPr>
    </w:p>
    <w:p w:rsidR="00121324" w:rsidRDefault="00121324" w:rsidP="00121324">
      <w:pPr>
        <w:pStyle w:val="2"/>
      </w:pPr>
      <w:r>
        <w:rPr>
          <w:rFonts w:hint="eastAsia"/>
        </w:rPr>
        <w:t>预警级别</w:t>
      </w:r>
      <w:r w:rsidR="002F4E83">
        <w:rPr>
          <w:rFonts w:hint="eastAsia"/>
        </w:rPr>
        <w:t>和预警模型</w:t>
      </w:r>
    </w:p>
    <w:p w:rsidR="00272318" w:rsidRDefault="00272318" w:rsidP="00121324">
      <w:pPr>
        <w:spacing w:line="300" w:lineRule="auto"/>
        <w:ind w:firstLine="420"/>
        <w:rPr>
          <w:rFonts w:hAnsi="宋体" w:cs="Times New Roman"/>
          <w:sz w:val="24"/>
          <w:szCs w:val="24"/>
        </w:rPr>
      </w:pPr>
    </w:p>
    <w:p w:rsidR="00121324" w:rsidRPr="00274435"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预警模型设计的重点是预警级别和预警规则的设计。设计预警级别如下：</w:t>
      </w:r>
    </w:p>
    <w:p w:rsidR="00121324" w:rsidRPr="00274435"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w:t>
      </w:r>
      <w:proofErr w:type="gramStart"/>
      <w:r w:rsidRPr="00274435">
        <w:rPr>
          <w:rFonts w:hAnsi="宋体" w:cs="Times New Roman" w:hint="eastAsia"/>
          <w:sz w:val="24"/>
          <w:szCs w:val="24"/>
        </w:rPr>
        <w:t>一</w:t>
      </w:r>
      <w:proofErr w:type="gramEnd"/>
      <w:r w:rsidRPr="00274435">
        <w:rPr>
          <w:rFonts w:hAnsi="宋体" w:cs="Times New Roman" w:hint="eastAsia"/>
          <w:sz w:val="24"/>
          <w:szCs w:val="24"/>
        </w:rPr>
        <w:t>：蓝色预警，对货运无影响或基本上没有影响；</w:t>
      </w:r>
    </w:p>
    <w:p w:rsidR="00121324"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预警级别二：黄色预警，对货运有轻度影响，需要驾乘人员注意；</w:t>
      </w:r>
    </w:p>
    <w:p w:rsidR="00121324" w:rsidRPr="00274435"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预警级别三：橙色预警，有可能造成应急事故，驾乘人员需要提高警惕；</w:t>
      </w:r>
    </w:p>
    <w:p w:rsidR="00121324" w:rsidRPr="00274435"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预警级别四：红色预警，极有可能造成应急事故，驾乘人员须格外提高警惕，甚至改变货运策略，在一元预警规则里它是最高预警级别；</w:t>
      </w:r>
    </w:p>
    <w:p w:rsidR="00121324" w:rsidRDefault="00121324" w:rsidP="00121324">
      <w:pPr>
        <w:spacing w:line="300" w:lineRule="auto"/>
        <w:ind w:firstLine="420"/>
        <w:rPr>
          <w:rFonts w:hAnsi="宋体" w:cs="Times New Roman"/>
          <w:sz w:val="24"/>
          <w:szCs w:val="24"/>
        </w:rPr>
      </w:pPr>
      <w:r w:rsidRPr="00274435">
        <w:rPr>
          <w:rFonts w:hAnsi="宋体" w:cs="Times New Roman" w:hint="eastAsia"/>
          <w:sz w:val="24"/>
          <w:szCs w:val="24"/>
        </w:rPr>
        <w:t>预警级别五：紫色预警，最高级预警级别，当多个相关的红色预警级别风险因素同时出现时预警级别为紫色。</w:t>
      </w:r>
    </w:p>
    <w:p w:rsidR="00D364A3" w:rsidRDefault="00D364A3" w:rsidP="00121324">
      <w:pPr>
        <w:spacing w:line="300" w:lineRule="auto"/>
        <w:ind w:firstLine="420"/>
        <w:rPr>
          <w:rFonts w:hAnsi="宋体" w:cs="Times New Roman"/>
          <w:sz w:val="24"/>
          <w:szCs w:val="24"/>
        </w:rPr>
      </w:pPr>
      <w:r>
        <w:rPr>
          <w:rFonts w:hAnsi="宋体" w:cs="Times New Roman" w:hint="eastAsia"/>
          <w:sz w:val="24"/>
          <w:szCs w:val="24"/>
        </w:rPr>
        <w:t>根据物流运输自身特点，结合突发事件特点，将物流配送的预警模型归纳为：气象预警模型，人为因素预警模型，地质灾害预警模型，</w:t>
      </w:r>
      <w:r w:rsidR="00272318">
        <w:rPr>
          <w:rFonts w:hAnsi="宋体" w:cs="Times New Roman" w:hint="eastAsia"/>
          <w:sz w:val="24"/>
          <w:szCs w:val="24"/>
        </w:rPr>
        <w:t>道路预警模型，运输车辆预警模型，运载物品预警模型和其他预警模型。</w:t>
      </w:r>
      <w:r w:rsidR="007C79CA">
        <w:rPr>
          <w:rFonts w:hAnsi="宋体" w:cs="Times New Roman" w:hint="eastAsia"/>
          <w:sz w:val="24"/>
          <w:szCs w:val="24"/>
        </w:rPr>
        <w:t>对各个模型制定对应的预警级别。</w:t>
      </w:r>
    </w:p>
    <w:p w:rsidR="00410CB9" w:rsidRDefault="00410CB9" w:rsidP="002F4E83">
      <w:pPr>
        <w:spacing w:line="300" w:lineRule="auto"/>
        <w:ind w:firstLine="420"/>
        <w:rPr>
          <w:rFonts w:hAnsi="宋体" w:cs="Times New Roman"/>
          <w:color w:val="FF0000"/>
          <w:sz w:val="24"/>
          <w:szCs w:val="24"/>
        </w:rPr>
      </w:pPr>
    </w:p>
    <w:p w:rsidR="00410CB9" w:rsidRPr="00410CB9" w:rsidRDefault="00410CB9" w:rsidP="002F4E83">
      <w:pPr>
        <w:spacing w:line="300" w:lineRule="auto"/>
        <w:ind w:firstLine="420"/>
        <w:rPr>
          <w:rFonts w:hAnsi="宋体" w:cs="Times New Roman"/>
          <w:color w:val="FF0000"/>
          <w:sz w:val="24"/>
          <w:szCs w:val="24"/>
        </w:rPr>
      </w:pPr>
    </w:p>
    <w:p w:rsidR="002F4E83" w:rsidRPr="00D364A3" w:rsidRDefault="002F4E83" w:rsidP="00121324">
      <w:pPr>
        <w:spacing w:line="300" w:lineRule="auto"/>
        <w:ind w:firstLine="420"/>
        <w:rPr>
          <w:rFonts w:hAnsi="宋体" w:cs="Times New Roman"/>
          <w:sz w:val="24"/>
          <w:szCs w:val="24"/>
        </w:rPr>
      </w:pPr>
      <w:r w:rsidRPr="002F4E83">
        <w:rPr>
          <w:rFonts w:hAnsi="宋体" w:cs="Times New Roman" w:hint="eastAsia"/>
          <w:noProof/>
          <w:sz w:val="24"/>
          <w:szCs w:val="24"/>
        </w:rPr>
        <w:drawing>
          <wp:inline distT="0" distB="0" distL="0" distR="0">
            <wp:extent cx="5274310" cy="4283608"/>
            <wp:effectExtent l="19050" t="0" r="254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4283608"/>
                    </a:xfrm>
                    <a:prstGeom prst="rect">
                      <a:avLst/>
                    </a:prstGeom>
                    <a:noFill/>
                    <a:ln w="9525">
                      <a:noFill/>
                      <a:miter lim="800000"/>
                      <a:headEnd/>
                      <a:tailEnd/>
                    </a:ln>
                  </pic:spPr>
                </pic:pic>
              </a:graphicData>
            </a:graphic>
          </wp:inline>
        </w:drawing>
      </w:r>
    </w:p>
    <w:p w:rsidR="00D364A3" w:rsidRDefault="00D364A3" w:rsidP="00121324">
      <w:pPr>
        <w:spacing w:line="300" w:lineRule="auto"/>
        <w:ind w:firstLine="420"/>
        <w:rPr>
          <w:rFonts w:hAnsi="宋体" w:cs="Times New Roman"/>
          <w:sz w:val="24"/>
          <w:szCs w:val="24"/>
        </w:rPr>
      </w:pPr>
      <w:r>
        <w:rPr>
          <w:rFonts w:hAnsi="宋体" w:cs="Times New Roman" w:hint="eastAsia"/>
          <w:noProof/>
          <w:sz w:val="24"/>
          <w:szCs w:val="24"/>
        </w:rPr>
        <w:drawing>
          <wp:inline distT="0" distB="0" distL="0" distR="0">
            <wp:extent cx="4657725" cy="47053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657725" cy="4705350"/>
                    </a:xfrm>
                    <a:prstGeom prst="rect">
                      <a:avLst/>
                    </a:prstGeom>
                    <a:noFill/>
                    <a:ln w="9525">
                      <a:noFill/>
                      <a:miter lim="800000"/>
                      <a:headEnd/>
                      <a:tailEnd/>
                    </a:ln>
                  </pic:spPr>
                </pic:pic>
              </a:graphicData>
            </a:graphic>
          </wp:inline>
        </w:drawing>
      </w:r>
    </w:p>
    <w:p w:rsidR="00D364A3" w:rsidRDefault="00D364A3" w:rsidP="00121324">
      <w:pPr>
        <w:spacing w:line="300" w:lineRule="auto"/>
        <w:ind w:firstLine="420"/>
        <w:rPr>
          <w:rFonts w:hAnsi="宋体" w:cs="Times New Roman"/>
          <w:sz w:val="24"/>
          <w:szCs w:val="24"/>
        </w:rPr>
      </w:pPr>
    </w:p>
    <w:tbl>
      <w:tblPr>
        <w:tblStyle w:val="a7"/>
        <w:tblW w:w="0" w:type="auto"/>
        <w:tblLook w:val="04A0"/>
      </w:tblPr>
      <w:tblGrid>
        <w:gridCol w:w="2130"/>
        <w:gridCol w:w="2130"/>
        <w:gridCol w:w="2131"/>
        <w:gridCol w:w="2131"/>
      </w:tblGrid>
      <w:tr w:rsidR="00121324" w:rsidTr="00E378C7">
        <w:tc>
          <w:tcPr>
            <w:tcW w:w="2130" w:type="dxa"/>
          </w:tcPr>
          <w:p w:rsidR="00121324" w:rsidRDefault="00121324" w:rsidP="00E378C7">
            <w:pPr>
              <w:spacing w:line="300" w:lineRule="auto"/>
              <w:rPr>
                <w:rFonts w:hAnsi="宋体" w:cs="Times New Roman"/>
                <w:sz w:val="24"/>
                <w:szCs w:val="24"/>
              </w:rPr>
            </w:pPr>
            <w:r w:rsidRPr="00274435">
              <w:rPr>
                <w:rFonts w:hAnsi="宋体" w:cs="Times New Roman"/>
                <w:sz w:val="24"/>
                <w:szCs w:val="24"/>
              </w:rPr>
              <w:t>Type</w:t>
            </w:r>
          </w:p>
        </w:tc>
        <w:tc>
          <w:tcPr>
            <w:tcW w:w="2130" w:type="dxa"/>
          </w:tcPr>
          <w:p w:rsidR="00121324" w:rsidRDefault="00121324" w:rsidP="00E378C7">
            <w:pPr>
              <w:spacing w:line="300" w:lineRule="auto"/>
              <w:rPr>
                <w:rFonts w:hAnsi="宋体" w:cs="Times New Roman"/>
                <w:sz w:val="24"/>
                <w:szCs w:val="24"/>
              </w:rPr>
            </w:pPr>
            <w:r w:rsidRPr="00274435">
              <w:rPr>
                <w:rFonts w:hAnsi="宋体" w:cs="Times New Roman"/>
                <w:sz w:val="24"/>
                <w:szCs w:val="24"/>
              </w:rPr>
              <w:t>Symptom</w:t>
            </w:r>
          </w:p>
        </w:tc>
        <w:tc>
          <w:tcPr>
            <w:tcW w:w="2131" w:type="dxa"/>
          </w:tcPr>
          <w:p w:rsidR="00121324" w:rsidRDefault="00121324" w:rsidP="00E378C7">
            <w:pPr>
              <w:spacing w:line="300" w:lineRule="auto"/>
              <w:rPr>
                <w:rFonts w:hAnsi="宋体" w:cs="Times New Roman"/>
                <w:sz w:val="24"/>
                <w:szCs w:val="24"/>
              </w:rPr>
            </w:pPr>
            <w:r w:rsidRPr="00274435">
              <w:rPr>
                <w:rFonts w:hAnsi="宋体" w:cs="Times New Roman"/>
                <w:sz w:val="24"/>
                <w:szCs w:val="24"/>
              </w:rPr>
              <w:t>Advise</w:t>
            </w:r>
          </w:p>
        </w:tc>
        <w:tc>
          <w:tcPr>
            <w:tcW w:w="2131" w:type="dxa"/>
          </w:tcPr>
          <w:p w:rsidR="00121324" w:rsidRDefault="00121324" w:rsidP="00E378C7">
            <w:pPr>
              <w:spacing w:line="300" w:lineRule="auto"/>
              <w:rPr>
                <w:rFonts w:hAnsi="宋体" w:cs="Times New Roman"/>
                <w:sz w:val="24"/>
                <w:szCs w:val="24"/>
              </w:rPr>
            </w:pPr>
            <w:r w:rsidRPr="00274435">
              <w:rPr>
                <w:rFonts w:hAnsi="宋体" w:cs="Times New Roman"/>
                <w:sz w:val="24"/>
                <w:szCs w:val="24"/>
              </w:rPr>
              <w:t>Emergency</w:t>
            </w:r>
            <w:r>
              <w:rPr>
                <w:rFonts w:hAnsi="宋体" w:cs="Times New Roman" w:hint="eastAsia"/>
                <w:sz w:val="24"/>
                <w:szCs w:val="24"/>
              </w:rPr>
              <w:t xml:space="preserve"> </w:t>
            </w:r>
            <w:r w:rsidRPr="00274435">
              <w:rPr>
                <w:rFonts w:hAnsi="宋体" w:cs="Times New Roman"/>
                <w:sz w:val="24"/>
                <w:szCs w:val="24"/>
              </w:rPr>
              <w:t>Level</w:t>
            </w: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r w:rsidR="00121324" w:rsidTr="00E378C7">
        <w:tc>
          <w:tcPr>
            <w:tcW w:w="2130" w:type="dxa"/>
          </w:tcPr>
          <w:p w:rsidR="00121324" w:rsidRDefault="00121324" w:rsidP="00E378C7">
            <w:pPr>
              <w:spacing w:line="300" w:lineRule="auto"/>
              <w:rPr>
                <w:rFonts w:hAnsi="宋体" w:cs="Times New Roman"/>
                <w:sz w:val="24"/>
                <w:szCs w:val="24"/>
              </w:rPr>
            </w:pPr>
          </w:p>
        </w:tc>
        <w:tc>
          <w:tcPr>
            <w:tcW w:w="2130"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c>
          <w:tcPr>
            <w:tcW w:w="2131" w:type="dxa"/>
          </w:tcPr>
          <w:p w:rsidR="00121324" w:rsidRDefault="00121324" w:rsidP="00E378C7">
            <w:pPr>
              <w:spacing w:line="300" w:lineRule="auto"/>
              <w:rPr>
                <w:rFonts w:hAnsi="宋体" w:cs="Times New Roman"/>
                <w:sz w:val="24"/>
                <w:szCs w:val="24"/>
              </w:rPr>
            </w:pPr>
          </w:p>
        </w:tc>
      </w:tr>
    </w:tbl>
    <w:p w:rsidR="00121324" w:rsidRDefault="00121324" w:rsidP="00121324">
      <w:pPr>
        <w:spacing w:line="300" w:lineRule="auto"/>
        <w:ind w:firstLine="420"/>
        <w:rPr>
          <w:rFonts w:hAnsi="宋体" w:cs="Times New Roman"/>
          <w:sz w:val="24"/>
          <w:szCs w:val="24"/>
        </w:rPr>
      </w:pPr>
    </w:p>
    <w:p w:rsidR="004B73DA" w:rsidRDefault="00272318" w:rsidP="004B73DA">
      <w:pPr>
        <w:spacing w:line="300" w:lineRule="auto"/>
        <w:ind w:firstLine="420"/>
        <w:rPr>
          <w:rFonts w:hAnsi="宋体" w:cs="Times New Roman"/>
          <w:sz w:val="24"/>
          <w:szCs w:val="24"/>
        </w:rPr>
      </w:pPr>
      <w:r>
        <w:rPr>
          <w:rFonts w:hAnsi="宋体" w:cs="Times New Roman" w:hint="eastAsia"/>
          <w:sz w:val="24"/>
          <w:szCs w:val="24"/>
        </w:rPr>
        <w:t>由于突发事件可能不是单一事件，因此可以把一元预警模型进行组合形成多元模型</w:t>
      </w:r>
      <w:r w:rsidR="007C79CA">
        <w:rPr>
          <w:rFonts w:hAnsi="宋体" w:cs="Times New Roman" w:hint="eastAsia"/>
          <w:sz w:val="24"/>
          <w:szCs w:val="24"/>
        </w:rPr>
        <w:t>，在进行处理</w:t>
      </w:r>
      <w:r>
        <w:rPr>
          <w:rFonts w:hAnsi="宋体" w:cs="Times New Roman" w:hint="eastAsia"/>
          <w:sz w:val="24"/>
          <w:szCs w:val="24"/>
        </w:rPr>
        <w:t>。</w:t>
      </w:r>
      <w:r w:rsidR="004B73DA">
        <w:rPr>
          <w:rFonts w:hAnsi="宋体" w:cs="Times New Roman" w:hint="eastAsia"/>
          <w:sz w:val="24"/>
          <w:szCs w:val="24"/>
        </w:rPr>
        <w:t>对于未制作的预警模型，可以将其加载到其他预警模型中，也可以根据其出现频率和造成损失规模，生成新的预警模型。</w:t>
      </w:r>
    </w:p>
    <w:p w:rsidR="00121324" w:rsidRDefault="00272318" w:rsidP="00272318">
      <w:pPr>
        <w:pStyle w:val="2"/>
      </w:pPr>
      <w:r>
        <w:rPr>
          <w:rFonts w:hint="eastAsia"/>
        </w:rPr>
        <w:t>预警方案生成</w:t>
      </w:r>
    </w:p>
    <w:p w:rsidR="00272318" w:rsidRDefault="00272318" w:rsidP="00272318">
      <w:pPr>
        <w:spacing w:line="300" w:lineRule="auto"/>
        <w:ind w:firstLine="420"/>
        <w:rPr>
          <w:rFonts w:hAnsi="宋体" w:cs="Times New Roman"/>
          <w:sz w:val="24"/>
          <w:szCs w:val="24"/>
        </w:rPr>
      </w:pPr>
      <w:r>
        <w:rPr>
          <w:rFonts w:hAnsi="宋体" w:cs="Times New Roman" w:hint="eastAsia"/>
          <w:sz w:val="24"/>
          <w:szCs w:val="24"/>
        </w:rPr>
        <w:t>根据模型选择对应的预警应急方案。</w:t>
      </w:r>
      <w:r w:rsidRPr="00274435">
        <w:rPr>
          <w:rFonts w:hAnsi="宋体" w:cs="Times New Roman" w:hint="eastAsia"/>
          <w:sz w:val="24"/>
          <w:szCs w:val="24"/>
        </w:rPr>
        <w:t>根据目前的研究情况，应急预案需要包含的内容有：当异常事件发生时，知道是什么、谁来做、怎么做、何时做、用什么资源做、哪里有这些资源，即具有</w:t>
      </w:r>
      <w:r w:rsidRPr="00274435">
        <w:rPr>
          <w:rFonts w:hAnsi="宋体" w:cs="Times New Roman" w:hint="eastAsia"/>
          <w:sz w:val="24"/>
          <w:szCs w:val="24"/>
        </w:rPr>
        <w:t>Know how</w:t>
      </w:r>
      <w:r w:rsidRPr="00274435">
        <w:rPr>
          <w:rFonts w:hAnsi="宋体" w:cs="Times New Roman" w:hint="eastAsia"/>
          <w:sz w:val="24"/>
          <w:szCs w:val="24"/>
        </w:rPr>
        <w:t>、</w:t>
      </w:r>
      <w:r w:rsidRPr="00274435">
        <w:rPr>
          <w:rFonts w:hAnsi="宋体" w:cs="Times New Roman" w:hint="eastAsia"/>
          <w:sz w:val="24"/>
          <w:szCs w:val="24"/>
        </w:rPr>
        <w:t>Know what</w:t>
      </w:r>
      <w:r w:rsidRPr="00274435">
        <w:rPr>
          <w:rFonts w:hAnsi="宋体" w:cs="Times New Roman" w:hint="eastAsia"/>
          <w:sz w:val="24"/>
          <w:szCs w:val="24"/>
        </w:rPr>
        <w:t>、</w:t>
      </w:r>
      <w:r w:rsidRPr="00274435">
        <w:rPr>
          <w:rFonts w:hAnsi="宋体" w:cs="Times New Roman" w:hint="eastAsia"/>
          <w:sz w:val="24"/>
          <w:szCs w:val="24"/>
        </w:rPr>
        <w:t>Know who</w:t>
      </w:r>
      <w:r w:rsidRPr="00274435">
        <w:rPr>
          <w:rFonts w:hAnsi="宋体" w:cs="Times New Roman" w:hint="eastAsia"/>
          <w:sz w:val="24"/>
          <w:szCs w:val="24"/>
        </w:rPr>
        <w:t>、</w:t>
      </w:r>
      <w:r w:rsidRPr="00274435">
        <w:rPr>
          <w:rFonts w:hAnsi="宋体" w:cs="Times New Roman" w:hint="eastAsia"/>
          <w:sz w:val="24"/>
          <w:szCs w:val="24"/>
        </w:rPr>
        <w:t>Know where</w:t>
      </w:r>
      <w:r w:rsidRPr="00274435">
        <w:rPr>
          <w:rFonts w:hAnsi="宋体" w:cs="Times New Roman" w:hint="eastAsia"/>
          <w:sz w:val="24"/>
          <w:szCs w:val="24"/>
        </w:rPr>
        <w:t>、</w:t>
      </w:r>
      <w:r w:rsidRPr="00274435">
        <w:rPr>
          <w:rFonts w:hAnsi="宋体" w:cs="Times New Roman" w:hint="eastAsia"/>
          <w:sz w:val="24"/>
          <w:szCs w:val="24"/>
        </w:rPr>
        <w:t xml:space="preserve">Know when </w:t>
      </w:r>
      <w:r w:rsidRPr="00274435">
        <w:rPr>
          <w:rFonts w:hAnsi="宋体" w:cs="Times New Roman" w:hint="eastAsia"/>
          <w:sz w:val="24"/>
          <w:szCs w:val="24"/>
        </w:rPr>
        <w:t>的知识。</w:t>
      </w:r>
    </w:p>
    <w:p w:rsidR="00272318" w:rsidRPr="007B1A1E" w:rsidRDefault="00272318" w:rsidP="00272318">
      <w:pPr>
        <w:spacing w:line="300" w:lineRule="auto"/>
        <w:ind w:firstLine="420"/>
        <w:rPr>
          <w:rFonts w:hAnsi="宋体" w:cs="Times New Roman"/>
          <w:sz w:val="24"/>
          <w:szCs w:val="24"/>
        </w:rPr>
      </w:pPr>
      <w:r w:rsidRPr="007B1A1E">
        <w:rPr>
          <w:rFonts w:hAnsi="宋体" w:cs="Times New Roman" w:hint="eastAsia"/>
          <w:sz w:val="24"/>
          <w:szCs w:val="24"/>
        </w:rPr>
        <w:t>应该对突发事件的严重性进行评估，分为可控和不可控两类。</w:t>
      </w:r>
    </w:p>
    <w:p w:rsidR="00272318" w:rsidRDefault="00272318" w:rsidP="00272318">
      <w:pPr>
        <w:pStyle w:val="a6"/>
        <w:numPr>
          <w:ilvl w:val="0"/>
          <w:numId w:val="1"/>
        </w:numPr>
        <w:spacing w:line="300" w:lineRule="auto"/>
        <w:ind w:firstLineChars="0"/>
        <w:rPr>
          <w:rFonts w:hAnsi="宋体" w:cs="Times New Roman"/>
          <w:sz w:val="24"/>
          <w:szCs w:val="24"/>
        </w:rPr>
      </w:pPr>
      <w:r w:rsidRPr="00272318">
        <w:rPr>
          <w:rFonts w:hAnsi="宋体" w:cs="Times New Roman" w:hint="eastAsia"/>
          <w:sz w:val="24"/>
          <w:szCs w:val="24"/>
        </w:rPr>
        <w:t>可控：企业可以独立解决，无须由政府机构介入。比如，在汽车运输过程中，出现故障。两种解决方案：找该地区最近的维修单位前来维修；找该地区另一家物流公司完成剩余的运输。</w:t>
      </w:r>
    </w:p>
    <w:p w:rsidR="00272318" w:rsidRPr="00272318" w:rsidRDefault="00272318" w:rsidP="00272318">
      <w:pPr>
        <w:pStyle w:val="a6"/>
        <w:numPr>
          <w:ilvl w:val="0"/>
          <w:numId w:val="1"/>
        </w:numPr>
        <w:spacing w:line="300" w:lineRule="auto"/>
        <w:ind w:firstLineChars="0"/>
        <w:rPr>
          <w:rFonts w:hAnsi="宋体" w:cs="Times New Roman"/>
          <w:sz w:val="24"/>
          <w:szCs w:val="24"/>
        </w:rPr>
      </w:pPr>
      <w:r w:rsidRPr="00272318">
        <w:rPr>
          <w:rFonts w:hAnsi="宋体" w:cs="Times New Roman" w:hint="eastAsia"/>
          <w:sz w:val="24"/>
          <w:szCs w:val="24"/>
        </w:rPr>
        <w:t>不可控：企业无法独立解决，必须由政府机构介入。比如，汽车运输过程中，出现撞车。解决方案：肯定会有公安部门和交通部门介入，如果严重的话，可能会爆炸起火，这时候也需要消防部门和医疗机构的参与。</w:t>
      </w:r>
    </w:p>
    <w:p w:rsidR="00272318" w:rsidRDefault="007C79CA" w:rsidP="00272318">
      <w:pPr>
        <w:spacing w:line="300" w:lineRule="auto"/>
        <w:ind w:firstLine="420"/>
        <w:rPr>
          <w:rFonts w:hAnsi="宋体" w:cs="Times New Roman"/>
          <w:sz w:val="24"/>
          <w:szCs w:val="24"/>
        </w:rPr>
      </w:pPr>
      <w:r>
        <w:rPr>
          <w:rFonts w:hAnsi="宋体" w:cs="Times New Roman" w:hint="eastAsia"/>
          <w:sz w:val="24"/>
          <w:szCs w:val="24"/>
        </w:rPr>
        <w:t>对应各种预警模型的预警评级，提出对应的应急方案。企业自身拥有应急预案库，</w:t>
      </w:r>
      <w:r w:rsidR="00272318" w:rsidRPr="00274435">
        <w:rPr>
          <w:rFonts w:hAnsi="宋体" w:cs="Times New Roman" w:hint="eastAsia"/>
          <w:sz w:val="24"/>
          <w:szCs w:val="24"/>
        </w:rPr>
        <w:t>负责预案的存储。每个预案都是应急本体的一个实例。</w:t>
      </w:r>
      <w:r>
        <w:rPr>
          <w:rFonts w:hAnsi="宋体" w:cs="Times New Roman" w:hint="eastAsia"/>
          <w:sz w:val="24"/>
          <w:szCs w:val="24"/>
        </w:rPr>
        <w:t>对于预警评级程度低的，程度为</w:t>
      </w:r>
      <w:r>
        <w:rPr>
          <w:rFonts w:hAnsi="宋体" w:cs="Times New Roman" w:hint="eastAsia"/>
          <w:sz w:val="24"/>
          <w:szCs w:val="24"/>
        </w:rPr>
        <w:t>1-3</w:t>
      </w:r>
      <w:r>
        <w:rPr>
          <w:rFonts w:hAnsi="宋体" w:cs="Times New Roman" w:hint="eastAsia"/>
          <w:sz w:val="24"/>
          <w:szCs w:val="24"/>
        </w:rPr>
        <w:t>级，可采用“</w:t>
      </w:r>
      <w:r w:rsidR="00272318" w:rsidRPr="00274435">
        <w:rPr>
          <w:rFonts w:hAnsi="宋体" w:cs="Times New Roman" w:hint="eastAsia"/>
          <w:sz w:val="24"/>
          <w:szCs w:val="24"/>
        </w:rPr>
        <w:t>半自动生成</w:t>
      </w:r>
      <w:r>
        <w:rPr>
          <w:rFonts w:hAnsi="宋体" w:cs="Times New Roman" w:hint="eastAsia"/>
          <w:sz w:val="24"/>
          <w:szCs w:val="24"/>
        </w:rPr>
        <w:t>”，</w:t>
      </w:r>
      <w:r w:rsidR="00272318" w:rsidRPr="00274435">
        <w:rPr>
          <w:rFonts w:hAnsi="宋体" w:cs="Times New Roman" w:hint="eastAsia"/>
          <w:sz w:val="24"/>
          <w:szCs w:val="24"/>
        </w:rPr>
        <w:t>根据一些假想的情景，设立好的规则，生成具有一定合理性、可实施性的</w:t>
      </w:r>
      <w:r w:rsidR="004B73DA">
        <w:rPr>
          <w:rFonts w:hAnsi="宋体" w:cs="Times New Roman" w:hint="eastAsia"/>
          <w:sz w:val="24"/>
          <w:szCs w:val="24"/>
        </w:rPr>
        <w:t>备选</w:t>
      </w:r>
      <w:r w:rsidR="00272318" w:rsidRPr="00274435">
        <w:rPr>
          <w:rFonts w:hAnsi="宋体" w:cs="Times New Roman" w:hint="eastAsia"/>
          <w:sz w:val="24"/>
          <w:szCs w:val="24"/>
        </w:rPr>
        <w:t>应急预案。</w:t>
      </w:r>
      <w:r>
        <w:rPr>
          <w:rFonts w:hAnsi="宋体" w:cs="Times New Roman" w:hint="eastAsia"/>
          <w:sz w:val="24"/>
          <w:szCs w:val="24"/>
        </w:rPr>
        <w:t>对于更高级别的情况，采用“半自动生成”</w:t>
      </w:r>
      <w:r>
        <w:rPr>
          <w:rFonts w:hAnsi="宋体" w:cs="Times New Roman" w:hint="eastAsia"/>
          <w:sz w:val="24"/>
          <w:szCs w:val="24"/>
        </w:rPr>
        <w:t>+</w:t>
      </w:r>
      <w:r>
        <w:rPr>
          <w:rFonts w:hAnsi="宋体" w:cs="Times New Roman" w:hint="eastAsia"/>
          <w:sz w:val="24"/>
          <w:szCs w:val="24"/>
        </w:rPr>
        <w:t>“</w:t>
      </w:r>
      <w:r w:rsidR="00272318" w:rsidRPr="00274435">
        <w:rPr>
          <w:rFonts w:hAnsi="宋体" w:cs="Times New Roman" w:hint="eastAsia"/>
          <w:sz w:val="24"/>
          <w:szCs w:val="24"/>
        </w:rPr>
        <w:t>手动处理</w:t>
      </w:r>
      <w:r>
        <w:rPr>
          <w:rFonts w:hAnsi="宋体" w:cs="Times New Roman" w:hint="eastAsia"/>
          <w:sz w:val="24"/>
          <w:szCs w:val="24"/>
        </w:rPr>
        <w:t>”，</w:t>
      </w:r>
      <w:r w:rsidR="00272318" w:rsidRPr="00274435">
        <w:rPr>
          <w:rFonts w:hAnsi="宋体" w:cs="Times New Roman" w:hint="eastAsia"/>
          <w:sz w:val="24"/>
          <w:szCs w:val="24"/>
        </w:rPr>
        <w:t>对半自动生成的</w:t>
      </w:r>
      <w:r w:rsidR="004B73DA">
        <w:rPr>
          <w:rFonts w:hAnsi="宋体" w:cs="Times New Roman" w:hint="eastAsia"/>
          <w:sz w:val="24"/>
          <w:szCs w:val="24"/>
        </w:rPr>
        <w:t>备选</w:t>
      </w:r>
      <w:r w:rsidR="00272318" w:rsidRPr="00274435">
        <w:rPr>
          <w:rFonts w:hAnsi="宋体" w:cs="Times New Roman" w:hint="eastAsia"/>
          <w:sz w:val="24"/>
          <w:szCs w:val="24"/>
        </w:rPr>
        <w:t>应急预案进行适当的调整，使其更科学、更有效，修改后的结果作为初始预案，通过预案学习算法将预案加入到预案库中。</w:t>
      </w:r>
    </w:p>
    <w:p w:rsidR="007C79CA" w:rsidRDefault="007C79CA" w:rsidP="00272318">
      <w:pPr>
        <w:spacing w:line="300" w:lineRule="auto"/>
        <w:ind w:firstLine="420"/>
        <w:rPr>
          <w:rFonts w:hAnsi="宋体" w:cs="Times New Roman"/>
          <w:sz w:val="24"/>
          <w:szCs w:val="24"/>
        </w:rPr>
      </w:pPr>
    </w:p>
    <w:tbl>
      <w:tblPr>
        <w:tblStyle w:val="a7"/>
        <w:tblW w:w="0" w:type="auto"/>
        <w:tblLook w:val="04A0"/>
      </w:tblPr>
      <w:tblGrid>
        <w:gridCol w:w="1101"/>
        <w:gridCol w:w="2268"/>
        <w:gridCol w:w="3022"/>
        <w:gridCol w:w="2131"/>
      </w:tblGrid>
      <w:tr w:rsidR="007C79CA" w:rsidTr="007C79CA">
        <w:tc>
          <w:tcPr>
            <w:tcW w:w="1101" w:type="dxa"/>
          </w:tcPr>
          <w:p w:rsidR="007C79CA" w:rsidRDefault="007C79CA" w:rsidP="00E378C7">
            <w:pPr>
              <w:spacing w:line="300" w:lineRule="auto"/>
              <w:rPr>
                <w:rFonts w:hAnsi="宋体" w:cs="Times New Roman"/>
                <w:sz w:val="24"/>
                <w:szCs w:val="24"/>
              </w:rPr>
            </w:pPr>
            <w:r w:rsidRPr="00274435">
              <w:rPr>
                <w:rFonts w:hAnsi="宋体" w:cs="Times New Roman"/>
                <w:sz w:val="24"/>
                <w:szCs w:val="24"/>
              </w:rPr>
              <w:t>Type</w:t>
            </w:r>
          </w:p>
        </w:tc>
        <w:tc>
          <w:tcPr>
            <w:tcW w:w="2268" w:type="dxa"/>
          </w:tcPr>
          <w:p w:rsidR="007C79CA" w:rsidRDefault="007C79CA" w:rsidP="00E378C7">
            <w:pPr>
              <w:spacing w:line="300" w:lineRule="auto"/>
              <w:rPr>
                <w:rFonts w:hAnsi="宋体" w:cs="Times New Roman"/>
                <w:sz w:val="24"/>
                <w:szCs w:val="24"/>
              </w:rPr>
            </w:pPr>
            <w:r w:rsidRPr="00274435">
              <w:rPr>
                <w:rFonts w:hAnsi="宋体" w:cs="Times New Roman"/>
                <w:sz w:val="24"/>
                <w:szCs w:val="24"/>
              </w:rPr>
              <w:t>Emergency</w:t>
            </w:r>
            <w:r>
              <w:rPr>
                <w:rFonts w:hAnsi="宋体" w:cs="Times New Roman" w:hint="eastAsia"/>
                <w:sz w:val="24"/>
                <w:szCs w:val="24"/>
              </w:rPr>
              <w:t xml:space="preserve"> </w:t>
            </w:r>
            <w:r w:rsidRPr="00274435">
              <w:rPr>
                <w:rFonts w:hAnsi="宋体" w:cs="Times New Roman"/>
                <w:sz w:val="24"/>
                <w:szCs w:val="24"/>
              </w:rPr>
              <w:t>Level</w:t>
            </w:r>
          </w:p>
        </w:tc>
        <w:tc>
          <w:tcPr>
            <w:tcW w:w="3022" w:type="dxa"/>
          </w:tcPr>
          <w:p w:rsidR="007C79CA" w:rsidRDefault="007C79CA" w:rsidP="00E378C7">
            <w:pPr>
              <w:spacing w:line="300" w:lineRule="auto"/>
              <w:rPr>
                <w:rFonts w:hAnsi="宋体" w:cs="Times New Roman"/>
                <w:sz w:val="24"/>
                <w:szCs w:val="24"/>
              </w:rPr>
            </w:pPr>
            <w:r>
              <w:rPr>
                <w:rFonts w:hAnsi="宋体" w:cs="Times New Roman"/>
                <w:sz w:val="24"/>
                <w:szCs w:val="24"/>
              </w:rPr>
              <w:t>S</w:t>
            </w:r>
            <w:r>
              <w:rPr>
                <w:rFonts w:hAnsi="宋体" w:cs="Times New Roman" w:hint="eastAsia"/>
                <w:sz w:val="24"/>
                <w:szCs w:val="24"/>
              </w:rPr>
              <w:t>emi-automatic operation</w:t>
            </w:r>
          </w:p>
        </w:tc>
        <w:tc>
          <w:tcPr>
            <w:tcW w:w="2131" w:type="dxa"/>
          </w:tcPr>
          <w:p w:rsidR="007C79CA" w:rsidRDefault="007C79CA" w:rsidP="00E378C7">
            <w:pPr>
              <w:spacing w:line="300" w:lineRule="auto"/>
              <w:rPr>
                <w:rFonts w:hAnsi="宋体" w:cs="Times New Roman"/>
                <w:sz w:val="24"/>
                <w:szCs w:val="24"/>
              </w:rPr>
            </w:pPr>
            <w:r>
              <w:rPr>
                <w:rFonts w:hAnsi="宋体" w:cs="Times New Roman"/>
                <w:sz w:val="24"/>
                <w:szCs w:val="24"/>
              </w:rPr>
              <w:t>M</w:t>
            </w:r>
            <w:r>
              <w:rPr>
                <w:rFonts w:hAnsi="宋体" w:cs="Times New Roman" w:hint="eastAsia"/>
                <w:sz w:val="24"/>
                <w:szCs w:val="24"/>
              </w:rPr>
              <w:t>anual operation</w:t>
            </w: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r w:rsidR="007C79CA" w:rsidTr="007C79CA">
        <w:tc>
          <w:tcPr>
            <w:tcW w:w="1101" w:type="dxa"/>
          </w:tcPr>
          <w:p w:rsidR="007C79CA" w:rsidRDefault="007C79CA" w:rsidP="00E378C7">
            <w:pPr>
              <w:spacing w:line="300" w:lineRule="auto"/>
              <w:rPr>
                <w:rFonts w:hAnsi="宋体" w:cs="Times New Roman"/>
                <w:sz w:val="24"/>
                <w:szCs w:val="24"/>
              </w:rPr>
            </w:pPr>
          </w:p>
        </w:tc>
        <w:tc>
          <w:tcPr>
            <w:tcW w:w="2268" w:type="dxa"/>
          </w:tcPr>
          <w:p w:rsidR="007C79CA" w:rsidRDefault="007C79CA" w:rsidP="00E378C7">
            <w:pPr>
              <w:spacing w:line="300" w:lineRule="auto"/>
              <w:rPr>
                <w:rFonts w:hAnsi="宋体" w:cs="Times New Roman"/>
                <w:sz w:val="24"/>
                <w:szCs w:val="24"/>
              </w:rPr>
            </w:pPr>
          </w:p>
        </w:tc>
        <w:tc>
          <w:tcPr>
            <w:tcW w:w="3022" w:type="dxa"/>
          </w:tcPr>
          <w:p w:rsidR="007C79CA" w:rsidRDefault="007C79CA" w:rsidP="00E378C7">
            <w:pPr>
              <w:spacing w:line="300" w:lineRule="auto"/>
              <w:rPr>
                <w:rFonts w:hAnsi="宋体" w:cs="Times New Roman"/>
                <w:sz w:val="24"/>
                <w:szCs w:val="24"/>
              </w:rPr>
            </w:pPr>
          </w:p>
        </w:tc>
        <w:tc>
          <w:tcPr>
            <w:tcW w:w="2131" w:type="dxa"/>
          </w:tcPr>
          <w:p w:rsidR="007C79CA" w:rsidRDefault="007C79CA" w:rsidP="00E378C7">
            <w:pPr>
              <w:spacing w:line="300" w:lineRule="auto"/>
              <w:rPr>
                <w:rFonts w:hAnsi="宋体" w:cs="Times New Roman"/>
                <w:sz w:val="24"/>
                <w:szCs w:val="24"/>
              </w:rPr>
            </w:pPr>
          </w:p>
        </w:tc>
      </w:tr>
    </w:tbl>
    <w:p w:rsidR="007C79CA" w:rsidRDefault="007C79CA" w:rsidP="00272318">
      <w:pPr>
        <w:spacing w:line="300" w:lineRule="auto"/>
        <w:ind w:firstLine="420"/>
        <w:rPr>
          <w:rFonts w:hAnsi="宋体" w:cs="Times New Roman"/>
          <w:sz w:val="24"/>
          <w:szCs w:val="24"/>
        </w:rPr>
      </w:pPr>
    </w:p>
    <w:p w:rsidR="007C79CA" w:rsidRPr="00272318" w:rsidRDefault="007C79CA" w:rsidP="00272318">
      <w:pPr>
        <w:spacing w:line="300" w:lineRule="auto"/>
        <w:ind w:firstLine="420"/>
        <w:rPr>
          <w:rFonts w:hAnsi="宋体" w:cs="Times New Roman"/>
          <w:sz w:val="24"/>
          <w:szCs w:val="24"/>
        </w:rPr>
      </w:pPr>
      <w:r>
        <w:rPr>
          <w:rFonts w:hAnsi="宋体" w:cs="Times New Roman" w:hint="eastAsia"/>
          <w:sz w:val="24"/>
          <w:szCs w:val="24"/>
        </w:rPr>
        <w:t>根据</w:t>
      </w:r>
      <w:r w:rsidR="004B73DA">
        <w:rPr>
          <w:rFonts w:hAnsi="宋体" w:cs="Times New Roman" w:hint="eastAsia"/>
          <w:sz w:val="24"/>
          <w:szCs w:val="24"/>
        </w:rPr>
        <w:t>最终选择的备选预警方案，寻找对应的人员组织和资源，制定最终的预警方案。</w:t>
      </w:r>
    </w:p>
    <w:p w:rsidR="00272318" w:rsidRDefault="00272318" w:rsidP="00272318">
      <w:pPr>
        <w:spacing w:line="300" w:lineRule="auto"/>
        <w:ind w:firstLine="420"/>
        <w:rPr>
          <w:rFonts w:hAnsi="宋体" w:cs="Times New Roman"/>
          <w:sz w:val="24"/>
          <w:szCs w:val="24"/>
        </w:rPr>
      </w:pPr>
      <w:r>
        <w:rPr>
          <w:rFonts w:hAnsi="宋体" w:cs="Times New Roman" w:hint="eastAsia"/>
          <w:noProof/>
          <w:sz w:val="24"/>
          <w:szCs w:val="24"/>
        </w:rPr>
        <w:drawing>
          <wp:inline distT="0" distB="0" distL="0" distR="0">
            <wp:extent cx="4572000" cy="53625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572000" cy="5362575"/>
                    </a:xfrm>
                    <a:prstGeom prst="rect">
                      <a:avLst/>
                    </a:prstGeom>
                    <a:noFill/>
                    <a:ln w="9525">
                      <a:noFill/>
                      <a:miter lim="800000"/>
                      <a:headEnd/>
                      <a:tailEnd/>
                    </a:ln>
                  </pic:spPr>
                </pic:pic>
              </a:graphicData>
            </a:graphic>
          </wp:inline>
        </w:drawing>
      </w:r>
    </w:p>
    <w:p w:rsidR="00121324" w:rsidRDefault="00121324" w:rsidP="007B1A1E">
      <w:pPr>
        <w:spacing w:line="300" w:lineRule="auto"/>
        <w:ind w:firstLine="420"/>
        <w:rPr>
          <w:rFonts w:hAnsi="宋体" w:cs="Times New Roman" w:hint="eastAsia"/>
          <w:sz w:val="24"/>
          <w:szCs w:val="24"/>
        </w:rPr>
      </w:pPr>
    </w:p>
    <w:p w:rsidR="006F09A0" w:rsidRDefault="006F09A0" w:rsidP="007B1A1E">
      <w:pPr>
        <w:spacing w:line="300" w:lineRule="auto"/>
        <w:ind w:firstLine="420"/>
        <w:rPr>
          <w:rFonts w:hAnsi="宋体" w:cs="Times New Roman" w:hint="eastAsia"/>
          <w:sz w:val="24"/>
          <w:szCs w:val="24"/>
        </w:rPr>
      </w:pPr>
    </w:p>
    <w:p w:rsidR="006F09A0" w:rsidRDefault="006F09A0" w:rsidP="006F09A0">
      <w:pPr>
        <w:pStyle w:val="2"/>
        <w:rPr>
          <w:rFonts w:hint="eastAsia"/>
        </w:rPr>
      </w:pPr>
      <w:r>
        <w:rPr>
          <w:rFonts w:hint="eastAsia"/>
        </w:rPr>
        <w:t>方案评估</w:t>
      </w:r>
    </w:p>
    <w:p w:rsidR="006F09A0" w:rsidRPr="006F09A0" w:rsidRDefault="006F09A0" w:rsidP="006F09A0">
      <w:pPr>
        <w:spacing w:line="300" w:lineRule="auto"/>
        <w:ind w:firstLine="420"/>
        <w:rPr>
          <w:rFonts w:hAnsi="宋体" w:cs="Times New Roman"/>
          <w:sz w:val="24"/>
          <w:szCs w:val="24"/>
        </w:rPr>
      </w:pPr>
    </w:p>
    <w:sectPr w:rsidR="006F09A0" w:rsidRPr="006F09A0" w:rsidSect="00B41D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010" w:rsidRDefault="00246010" w:rsidP="007B1A1E">
      <w:r>
        <w:separator/>
      </w:r>
    </w:p>
  </w:endnote>
  <w:endnote w:type="continuationSeparator" w:id="0">
    <w:p w:rsidR="00246010" w:rsidRDefault="00246010" w:rsidP="007B1A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010" w:rsidRDefault="00246010" w:rsidP="007B1A1E">
      <w:r>
        <w:separator/>
      </w:r>
    </w:p>
  </w:footnote>
  <w:footnote w:type="continuationSeparator" w:id="0">
    <w:p w:rsidR="00246010" w:rsidRDefault="00246010" w:rsidP="007B1A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47E48"/>
    <w:multiLevelType w:val="hybridMultilevel"/>
    <w:tmpl w:val="DB866772"/>
    <w:lvl w:ilvl="0" w:tplc="E46220A0">
      <w:start w:val="1"/>
      <w:numFmt w:val="lowerLetter"/>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F9373A2"/>
    <w:multiLevelType w:val="hybridMultilevel"/>
    <w:tmpl w:val="BBFA19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5CE9"/>
    <w:rsid w:val="0006297D"/>
    <w:rsid w:val="000D10B1"/>
    <w:rsid w:val="00121324"/>
    <w:rsid w:val="001A66B4"/>
    <w:rsid w:val="00246010"/>
    <w:rsid w:val="00272318"/>
    <w:rsid w:val="00274435"/>
    <w:rsid w:val="002F4E83"/>
    <w:rsid w:val="00410CB9"/>
    <w:rsid w:val="0049534B"/>
    <w:rsid w:val="004B73DA"/>
    <w:rsid w:val="005914C2"/>
    <w:rsid w:val="005E1752"/>
    <w:rsid w:val="006F09A0"/>
    <w:rsid w:val="00723608"/>
    <w:rsid w:val="00750D28"/>
    <w:rsid w:val="0077533E"/>
    <w:rsid w:val="007B1A1E"/>
    <w:rsid w:val="007C79CA"/>
    <w:rsid w:val="00924896"/>
    <w:rsid w:val="00A65CE9"/>
    <w:rsid w:val="00AD37FE"/>
    <w:rsid w:val="00B41D2D"/>
    <w:rsid w:val="00B60F82"/>
    <w:rsid w:val="00C2456E"/>
    <w:rsid w:val="00D364A3"/>
    <w:rsid w:val="00D63575"/>
    <w:rsid w:val="00EF29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D2D"/>
    <w:pPr>
      <w:widowControl w:val="0"/>
      <w:jc w:val="both"/>
    </w:pPr>
  </w:style>
  <w:style w:type="paragraph" w:styleId="1">
    <w:name w:val="heading 1"/>
    <w:basedOn w:val="a"/>
    <w:next w:val="a"/>
    <w:link w:val="1Char"/>
    <w:uiPriority w:val="9"/>
    <w:qFormat/>
    <w:rsid w:val="001213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13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1A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1A1E"/>
    <w:rPr>
      <w:sz w:val="18"/>
      <w:szCs w:val="18"/>
    </w:rPr>
  </w:style>
  <w:style w:type="paragraph" w:styleId="a4">
    <w:name w:val="footer"/>
    <w:basedOn w:val="a"/>
    <w:link w:val="Char0"/>
    <w:uiPriority w:val="99"/>
    <w:semiHidden/>
    <w:unhideWhenUsed/>
    <w:rsid w:val="007B1A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1A1E"/>
    <w:rPr>
      <w:sz w:val="18"/>
      <w:szCs w:val="18"/>
    </w:rPr>
  </w:style>
  <w:style w:type="paragraph" w:styleId="a5">
    <w:name w:val="Balloon Text"/>
    <w:basedOn w:val="a"/>
    <w:link w:val="Char1"/>
    <w:uiPriority w:val="99"/>
    <w:semiHidden/>
    <w:unhideWhenUsed/>
    <w:rsid w:val="00274435"/>
    <w:rPr>
      <w:sz w:val="18"/>
      <w:szCs w:val="18"/>
    </w:rPr>
  </w:style>
  <w:style w:type="character" w:customStyle="1" w:styleId="Char1">
    <w:name w:val="批注框文本 Char"/>
    <w:basedOn w:val="a0"/>
    <w:link w:val="a5"/>
    <w:uiPriority w:val="99"/>
    <w:semiHidden/>
    <w:rsid w:val="00274435"/>
    <w:rPr>
      <w:sz w:val="18"/>
      <w:szCs w:val="18"/>
    </w:rPr>
  </w:style>
  <w:style w:type="paragraph" w:styleId="a6">
    <w:name w:val="List Paragraph"/>
    <w:basedOn w:val="a"/>
    <w:uiPriority w:val="34"/>
    <w:qFormat/>
    <w:rsid w:val="00274435"/>
    <w:pPr>
      <w:ind w:firstLineChars="200" w:firstLine="420"/>
    </w:pPr>
  </w:style>
  <w:style w:type="table" w:styleId="a7">
    <w:name w:val="Table Grid"/>
    <w:basedOn w:val="a1"/>
    <w:uiPriority w:val="59"/>
    <w:rsid w:val="00274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21324"/>
    <w:rPr>
      <w:b/>
      <w:bCs/>
      <w:kern w:val="44"/>
      <w:sz w:val="44"/>
      <w:szCs w:val="44"/>
    </w:rPr>
  </w:style>
  <w:style w:type="character" w:customStyle="1" w:styleId="2Char">
    <w:name w:val="标题 2 Char"/>
    <w:basedOn w:val="a0"/>
    <w:link w:val="2"/>
    <w:uiPriority w:val="9"/>
    <w:rsid w:val="00121324"/>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4188A2-F6B2-475F-B66D-539DFE42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289</Words>
  <Characters>1649</Characters>
  <Application>Microsoft Office Word</Application>
  <DocSecurity>0</DocSecurity>
  <Lines>13</Lines>
  <Paragraphs>3</Paragraphs>
  <ScaleCrop>false</ScaleCrop>
  <Company>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3</cp:revision>
  <dcterms:created xsi:type="dcterms:W3CDTF">2012-12-30T04:19:00Z</dcterms:created>
  <dcterms:modified xsi:type="dcterms:W3CDTF">2012-12-30T04:19:00Z</dcterms:modified>
</cp:coreProperties>
</file>