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  <w:r>
        <w:rPr>
          <w:rFonts w:ascii="宋体" w:hAnsi="宋体" w:cs="Arial" w:hint="eastAsia"/>
          <w:bCs/>
          <w:kern w:val="32"/>
          <w:szCs w:val="21"/>
          <w:lang w:val="en-GB"/>
        </w:rPr>
        <w:t>.1</w:t>
      </w:r>
      <w:r w:rsidR="00532EEF">
        <w:rPr>
          <w:rFonts w:ascii="宋体" w:hAnsi="宋体" w:cs="Arial" w:hint="eastAsia"/>
          <w:bCs/>
          <w:kern w:val="32"/>
          <w:szCs w:val="21"/>
          <w:lang w:val="en-GB"/>
        </w:rPr>
        <w:t>绩效评估体系</w:t>
      </w: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E710F4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  <w:r>
        <w:rPr>
          <w:rFonts w:ascii="宋体" w:hAnsi="宋体" w:cs="Arial" w:hint="eastAsia"/>
          <w:bCs/>
          <w:noProof/>
          <w:kern w:val="32"/>
          <w:szCs w:val="21"/>
        </w:rPr>
        <w:drawing>
          <wp:inline distT="0" distB="0" distL="0" distR="0">
            <wp:extent cx="5274310" cy="2256338"/>
            <wp:effectExtent l="19050" t="0" r="2540" b="0"/>
            <wp:docPr id="2" name="图片 1" descr="C:\Users\gongjian\Desktop\6dc09e0aba2f4859b0351d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gjian\Desktop\6dc09e0aba2f4859b0351dc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  <w:r>
        <w:rPr>
          <w:rFonts w:ascii="宋体" w:hAnsi="宋体" w:cs="Arial" w:hint="eastAsia"/>
          <w:bCs/>
          <w:kern w:val="32"/>
          <w:szCs w:val="21"/>
          <w:lang w:val="en-GB"/>
        </w:rPr>
        <w:t>.2绩效评估体系</w:t>
      </w: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left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  <w:r>
        <w:rPr>
          <w:rFonts w:ascii="宋体" w:hAnsi="宋体" w:cs="Arial" w:hint="eastAsia"/>
          <w:bCs/>
          <w:kern w:val="32"/>
          <w:szCs w:val="21"/>
          <w:lang w:val="en-GB"/>
        </w:rPr>
        <w:t>表 4-47 SCOR第一层绩效指标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232"/>
        <w:gridCol w:w="3645"/>
        <w:gridCol w:w="3645"/>
      </w:tblGrid>
      <w:tr w:rsidR="005A19BE" w:rsidTr="005A19BE">
        <w:trPr>
          <w:jc w:val="center"/>
        </w:trPr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  <w:hideMark/>
          </w:tcPr>
          <w:p w:rsidR="005A19BE" w:rsidRDefault="005A19BE">
            <w:pPr>
              <w:rPr>
                <w:color w:val="FFFFFF"/>
                <w:szCs w:val="21"/>
              </w:rPr>
            </w:pPr>
            <w:r>
              <w:rPr>
                <w:rFonts w:hAnsi="宋体" w:hint="eastAsia"/>
                <w:color w:val="FFFFFF"/>
                <w:szCs w:val="21"/>
              </w:rPr>
              <w:t>绩效特性</w:t>
            </w:r>
          </w:p>
        </w:tc>
        <w:tc>
          <w:tcPr>
            <w:tcW w:w="36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  <w:hideMark/>
          </w:tcPr>
          <w:p w:rsidR="005A19BE" w:rsidRDefault="005A19BE">
            <w:pPr>
              <w:rPr>
                <w:color w:val="FFFFFF"/>
                <w:szCs w:val="21"/>
              </w:rPr>
            </w:pPr>
            <w:r>
              <w:rPr>
                <w:rFonts w:hAnsi="宋体" w:hint="eastAsia"/>
                <w:color w:val="FFFFFF"/>
                <w:szCs w:val="21"/>
              </w:rPr>
              <w:t>绩效特性定义</w:t>
            </w:r>
          </w:p>
        </w:tc>
        <w:tc>
          <w:tcPr>
            <w:tcW w:w="36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333399"/>
            <w:hideMark/>
          </w:tcPr>
          <w:p w:rsidR="005A19BE" w:rsidRDefault="005A19BE">
            <w:pPr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SCOR</w:t>
            </w:r>
            <w:r>
              <w:rPr>
                <w:rFonts w:hAnsi="宋体" w:hint="eastAsia"/>
                <w:color w:val="FFFFFF"/>
                <w:szCs w:val="21"/>
              </w:rPr>
              <w:t>第一层的评价指标</w:t>
            </w:r>
          </w:p>
        </w:tc>
      </w:tr>
      <w:tr w:rsidR="005A19BE" w:rsidTr="005A19BE">
        <w:trPr>
          <w:jc w:val="center"/>
        </w:trPr>
        <w:tc>
          <w:tcPr>
            <w:tcW w:w="12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供应链交货可靠性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将正确的产品按照正确的地点，在正确的时间、产品包装和配送条件下，按照正确的数量和正确的单据一齐送达</w:t>
            </w:r>
            <w:proofErr w:type="gramStart"/>
            <w:r>
              <w:rPr>
                <w:rFonts w:hAnsi="宋体" w:hint="eastAsia"/>
                <w:szCs w:val="21"/>
              </w:rPr>
              <w:t>给正确</w:t>
            </w:r>
            <w:proofErr w:type="gramEnd"/>
            <w:r>
              <w:rPr>
                <w:rFonts w:hAnsi="宋体" w:hint="eastAsia"/>
                <w:szCs w:val="21"/>
              </w:rPr>
              <w:t>的客户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配送性能</w:t>
            </w:r>
          </w:p>
          <w:p w:rsidR="005A19BE" w:rsidRDefault="005A19BE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订单完成率</w:t>
            </w:r>
          </w:p>
          <w:p w:rsidR="005A19BE" w:rsidRDefault="005A19BE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订单完美履行</w:t>
            </w:r>
          </w:p>
          <w:p w:rsidR="005A19BE" w:rsidRDefault="005A19BE">
            <w:pPr>
              <w:rPr>
                <w:szCs w:val="21"/>
              </w:rPr>
            </w:pPr>
          </w:p>
        </w:tc>
      </w:tr>
      <w:tr w:rsidR="005A19BE" w:rsidTr="005A19BE">
        <w:trPr>
          <w:jc w:val="center"/>
        </w:trPr>
        <w:tc>
          <w:tcPr>
            <w:tcW w:w="12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供应链反应能力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供应链将产品送达客户的速度</w:t>
            </w:r>
          </w:p>
          <w:p w:rsidR="005A19BE" w:rsidRDefault="005A19BE">
            <w:pPr>
              <w:rPr>
                <w:szCs w:val="21"/>
              </w:rPr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A19BE" w:rsidRDefault="005A19BE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订单完成提前期</w:t>
            </w:r>
          </w:p>
        </w:tc>
      </w:tr>
      <w:tr w:rsidR="005A19BE" w:rsidTr="005A19BE">
        <w:trPr>
          <w:jc w:val="center"/>
        </w:trPr>
        <w:tc>
          <w:tcPr>
            <w:tcW w:w="12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供应链柔性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szCs w:val="21"/>
              </w:rPr>
            </w:pPr>
            <w:r>
              <w:rPr>
                <w:rFonts w:hint="eastAsia"/>
              </w:rPr>
              <w:t>供应</w:t>
            </w:r>
            <w:proofErr w:type="gramStart"/>
            <w:r>
              <w:rPr>
                <w:rFonts w:hint="eastAsia"/>
              </w:rPr>
              <w:t>链面对</w:t>
            </w:r>
            <w:proofErr w:type="gramEnd"/>
            <w:r>
              <w:rPr>
                <w:rFonts w:hint="eastAsia"/>
              </w:rPr>
              <w:t>市场变化获得和维持竞争优势的敏捷性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A19BE" w:rsidRDefault="005A19BE">
            <w:pPr>
              <w:rPr>
                <w:szCs w:val="21"/>
              </w:rPr>
            </w:pPr>
            <w:r>
              <w:rPr>
                <w:rFonts w:hint="eastAsia"/>
              </w:rPr>
              <w:t>物流服务柔性</w:t>
            </w:r>
          </w:p>
        </w:tc>
      </w:tr>
      <w:tr w:rsidR="005A19BE" w:rsidTr="005A19BE">
        <w:trPr>
          <w:jc w:val="center"/>
        </w:trPr>
        <w:tc>
          <w:tcPr>
            <w:tcW w:w="12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szCs w:val="21"/>
              </w:rPr>
            </w:pPr>
            <w:r>
              <w:rPr>
                <w:rFonts w:hint="eastAsia"/>
              </w:rPr>
              <w:t>供应</w:t>
            </w:r>
            <w:proofErr w:type="gramStart"/>
            <w:r>
              <w:rPr>
                <w:rFonts w:hint="eastAsia"/>
              </w:rPr>
              <w:t>链成本</w:t>
            </w:r>
            <w:proofErr w:type="gramEnd"/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szCs w:val="21"/>
              </w:rPr>
            </w:pPr>
            <w:r>
              <w:rPr>
                <w:rFonts w:hint="eastAsia"/>
              </w:rPr>
              <w:t>供应链运营所耗成本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r>
              <w:rPr>
                <w:rFonts w:hint="eastAsia"/>
              </w:rPr>
              <w:t>服务销售成本</w:t>
            </w:r>
          </w:p>
          <w:p w:rsidR="005A19BE" w:rsidRDefault="005A19BE">
            <w:pPr>
              <w:rPr>
                <w:szCs w:val="21"/>
              </w:rPr>
            </w:pPr>
          </w:p>
        </w:tc>
      </w:tr>
      <w:tr w:rsidR="005A19BE" w:rsidTr="005A19BE">
        <w:trPr>
          <w:jc w:val="center"/>
        </w:trPr>
        <w:tc>
          <w:tcPr>
            <w:tcW w:w="12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供应</w:t>
            </w:r>
            <w:proofErr w:type="gramStart"/>
            <w:r>
              <w:rPr>
                <w:rFonts w:hAnsi="宋体" w:hint="eastAsia"/>
                <w:szCs w:val="21"/>
              </w:rPr>
              <w:t>链资产</w:t>
            </w:r>
            <w:proofErr w:type="gramEnd"/>
            <w:r>
              <w:rPr>
                <w:rFonts w:hAnsi="宋体" w:hint="eastAsia"/>
                <w:szCs w:val="21"/>
              </w:rPr>
              <w:t>管理效率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szCs w:val="21"/>
              </w:rPr>
            </w:pPr>
            <w:r>
              <w:rPr>
                <w:rFonts w:hint="eastAsia"/>
              </w:rPr>
              <w:t>一个组织为满足需求而进行资产管理的有效性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A19BE" w:rsidRDefault="005A19BE">
            <w:r>
              <w:rPr>
                <w:rFonts w:hint="eastAsia"/>
              </w:rPr>
              <w:t>现金周转时间</w:t>
            </w:r>
          </w:p>
          <w:p w:rsidR="005A19BE" w:rsidRDefault="005A19BE">
            <w:r>
              <w:rPr>
                <w:rFonts w:hint="eastAsia"/>
              </w:rPr>
              <w:t>库存</w:t>
            </w:r>
            <w:proofErr w:type="gramStart"/>
            <w:r>
              <w:rPr>
                <w:rFonts w:hint="eastAsia"/>
              </w:rPr>
              <w:t>供应总</w:t>
            </w:r>
            <w:proofErr w:type="gramEnd"/>
            <w:r>
              <w:rPr>
                <w:rFonts w:hint="eastAsia"/>
              </w:rPr>
              <w:t>天数</w:t>
            </w:r>
          </w:p>
          <w:p w:rsidR="005A19BE" w:rsidRDefault="005A19BE">
            <w:r>
              <w:rPr>
                <w:rFonts w:hint="eastAsia"/>
              </w:rPr>
              <w:t>净资产周转次数</w:t>
            </w:r>
          </w:p>
        </w:tc>
      </w:tr>
    </w:tbl>
    <w:p w:rsidR="005A19BE" w:rsidRDefault="005A19BE" w:rsidP="005A19BE">
      <w:pPr>
        <w:tabs>
          <w:tab w:val="left" w:pos="540"/>
        </w:tabs>
        <w:jc w:val="center"/>
        <w:rPr>
          <w:rFonts w:ascii="宋体" w:hAnsi="宋体" w:cs="Arial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bCs/>
          <w:kern w:val="32"/>
          <w:szCs w:val="21"/>
          <w:lang w:val="en-GB"/>
        </w:rPr>
      </w:pPr>
      <w:r>
        <w:rPr>
          <w:rFonts w:hAnsi="宋体" w:hint="eastAsia"/>
          <w:bCs/>
          <w:kern w:val="32"/>
          <w:szCs w:val="21"/>
          <w:lang w:val="en-GB"/>
        </w:rPr>
        <w:t>表</w:t>
      </w:r>
      <w:r>
        <w:rPr>
          <w:bCs/>
          <w:kern w:val="32"/>
          <w:szCs w:val="21"/>
          <w:lang w:val="en-GB"/>
        </w:rPr>
        <w:t xml:space="preserve"> 4- 48 SCOR</w:t>
      </w:r>
      <w:r>
        <w:rPr>
          <w:rFonts w:hAnsi="宋体" w:hint="eastAsia"/>
          <w:bCs/>
          <w:kern w:val="32"/>
          <w:szCs w:val="21"/>
          <w:lang w:val="en-GB"/>
        </w:rPr>
        <w:t>第一层绩效指标计算公式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022"/>
        <w:gridCol w:w="6500"/>
      </w:tblGrid>
      <w:tr w:rsidR="005A19BE" w:rsidTr="005A19BE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szCs w:val="21"/>
              </w:rPr>
              <w:t>SCOR</w:t>
            </w:r>
            <w:r>
              <w:rPr>
                <w:rFonts w:hAnsi="宋体" w:hint="eastAsia"/>
                <w:color w:val="FFFFFF"/>
                <w:szCs w:val="21"/>
              </w:rPr>
              <w:t>第一层的评价指标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333399"/>
            <w:hideMark/>
          </w:tcPr>
          <w:p w:rsidR="005A19BE" w:rsidRDefault="005A19BE">
            <w:pPr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kern w:val="0"/>
                <w:szCs w:val="21"/>
              </w:rPr>
              <w:t>计算公式</w:t>
            </w:r>
          </w:p>
        </w:tc>
      </w:tr>
      <w:tr w:rsidR="005A19BE" w:rsidTr="005A19B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配送性能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准时足额发货的订单数量／全部订单总数</w:t>
            </w:r>
          </w:p>
        </w:tc>
      </w:tr>
      <w:tr w:rsidR="005A19BE" w:rsidTr="005A19B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订单完成率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收到订单</w:t>
            </w:r>
            <w:r>
              <w:rPr>
                <w:kern w:val="0"/>
                <w:szCs w:val="21"/>
              </w:rPr>
              <w:t>24</w:t>
            </w:r>
            <w:r>
              <w:rPr>
                <w:rFonts w:hint="eastAsia"/>
                <w:kern w:val="0"/>
                <w:szCs w:val="21"/>
              </w:rPr>
              <w:t>小时内从仓库发货的订单数／收到订单的总数</w:t>
            </w:r>
          </w:p>
        </w:tc>
      </w:tr>
      <w:tr w:rsidR="005A19BE" w:rsidTr="005A19B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订单的</w:t>
            </w:r>
            <w:proofErr w:type="gramStart"/>
            <w:r>
              <w:rPr>
                <w:rFonts w:hint="eastAsia"/>
                <w:kern w:val="0"/>
                <w:szCs w:val="21"/>
              </w:rPr>
              <w:t>完美履行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</w:t>
            </w:r>
            <w:r>
              <w:rPr>
                <w:rFonts w:hint="eastAsia"/>
                <w:kern w:val="0"/>
                <w:szCs w:val="21"/>
              </w:rPr>
              <w:t>准时足额发货的订单数量</w:t>
            </w:r>
            <w:proofErr w:type="gramStart"/>
            <w:r>
              <w:rPr>
                <w:rFonts w:hint="eastAsia"/>
                <w:kern w:val="0"/>
                <w:szCs w:val="21"/>
              </w:rPr>
              <w:t>一</w:t>
            </w:r>
            <w:proofErr w:type="gramEnd"/>
            <w:r>
              <w:rPr>
                <w:rFonts w:hint="eastAsia"/>
                <w:kern w:val="0"/>
                <w:szCs w:val="21"/>
              </w:rPr>
              <w:t>文档资料有错误的订单一有运送损坏的订单</w:t>
            </w:r>
            <w:r>
              <w:rPr>
                <w:kern w:val="0"/>
                <w:szCs w:val="21"/>
              </w:rPr>
              <w:t>]</w:t>
            </w:r>
            <w:r>
              <w:rPr>
                <w:rFonts w:hint="eastAsia"/>
                <w:kern w:val="0"/>
                <w:szCs w:val="21"/>
              </w:rPr>
              <w:t>／</w:t>
            </w:r>
            <w:r>
              <w:rPr>
                <w:kern w:val="0"/>
                <w:szCs w:val="21"/>
              </w:rPr>
              <w:t>[</w:t>
            </w:r>
            <w:r>
              <w:rPr>
                <w:rFonts w:hint="eastAsia"/>
                <w:kern w:val="0"/>
                <w:szCs w:val="21"/>
              </w:rPr>
              <w:t>全部订单总数</w:t>
            </w:r>
            <w:r>
              <w:rPr>
                <w:kern w:val="0"/>
                <w:szCs w:val="21"/>
              </w:rPr>
              <w:t>]</w:t>
            </w:r>
          </w:p>
        </w:tc>
      </w:tr>
      <w:tr w:rsidR="005A19BE" w:rsidTr="005A19B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订单的提前期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</w:t>
            </w:r>
            <w:r>
              <w:rPr>
                <w:rFonts w:hint="eastAsia"/>
                <w:kern w:val="0"/>
                <w:szCs w:val="21"/>
              </w:rPr>
              <w:t>所有订单运输的实际提前时间</w:t>
            </w:r>
            <w:r>
              <w:rPr>
                <w:kern w:val="0"/>
                <w:szCs w:val="21"/>
              </w:rPr>
              <w:t>]</w:t>
            </w:r>
            <w:r>
              <w:rPr>
                <w:rFonts w:hint="eastAsia"/>
                <w:kern w:val="0"/>
                <w:szCs w:val="21"/>
              </w:rPr>
              <w:t>／</w:t>
            </w:r>
            <w:r>
              <w:rPr>
                <w:kern w:val="0"/>
                <w:szCs w:val="21"/>
              </w:rPr>
              <w:t>[</w:t>
            </w:r>
            <w:r>
              <w:rPr>
                <w:rFonts w:hint="eastAsia"/>
                <w:kern w:val="0"/>
                <w:szCs w:val="21"/>
              </w:rPr>
              <w:t>运送订单的总数</w:t>
            </w:r>
            <w:r>
              <w:rPr>
                <w:kern w:val="0"/>
                <w:szCs w:val="21"/>
              </w:rPr>
              <w:t>]</w:t>
            </w:r>
          </w:p>
        </w:tc>
      </w:tr>
      <w:tr w:rsidR="005A19BE" w:rsidTr="005A19B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物流服务柔性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向上的柔性：在无事先计划下增加</w:t>
            </w:r>
            <w:r>
              <w:rPr>
                <w:kern w:val="0"/>
                <w:szCs w:val="21"/>
              </w:rPr>
              <w:t>20</w:t>
            </w:r>
            <w:r>
              <w:rPr>
                <w:rFonts w:hint="eastAsia"/>
                <w:kern w:val="0"/>
                <w:szCs w:val="21"/>
              </w:rPr>
              <w:t>％运力或仓储的所需要的天数</w:t>
            </w:r>
          </w:p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向下的柔性：在没有存货和损失的情况下，能够承受</w:t>
            </w:r>
            <w:r>
              <w:rPr>
                <w:kern w:val="0"/>
                <w:szCs w:val="21"/>
              </w:rPr>
              <w:t>30</w:t>
            </w:r>
            <w:r>
              <w:rPr>
                <w:rFonts w:hint="eastAsia"/>
                <w:kern w:val="0"/>
                <w:szCs w:val="21"/>
              </w:rPr>
              <w:t>天的提前运送订单减少的百分比</w:t>
            </w:r>
          </w:p>
        </w:tc>
      </w:tr>
      <w:tr w:rsidR="005A19BE" w:rsidTr="005A19B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服务销售成本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物流服务成本总数／收入</w:t>
            </w:r>
          </w:p>
        </w:tc>
      </w:tr>
      <w:tr w:rsidR="005A19BE" w:rsidTr="005A19B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库存的供应天数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</w:t>
            </w:r>
            <w:proofErr w:type="gramStart"/>
            <w:r>
              <w:rPr>
                <w:rFonts w:hint="eastAsia"/>
                <w:kern w:val="0"/>
                <w:szCs w:val="21"/>
              </w:rPr>
              <w:t>库存总值</w:t>
            </w:r>
            <w:proofErr w:type="gramEnd"/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／</w:t>
            </w:r>
            <w:r>
              <w:rPr>
                <w:kern w:val="0"/>
                <w:szCs w:val="21"/>
              </w:rPr>
              <w:t>[</w:t>
            </w:r>
            <w:r>
              <w:rPr>
                <w:rFonts w:hint="eastAsia"/>
                <w:kern w:val="0"/>
                <w:szCs w:val="21"/>
              </w:rPr>
              <w:t>商品销售成本／</w:t>
            </w:r>
            <w:r>
              <w:rPr>
                <w:kern w:val="0"/>
                <w:szCs w:val="21"/>
              </w:rPr>
              <w:t>365]</w:t>
            </w:r>
          </w:p>
        </w:tc>
      </w:tr>
      <w:tr w:rsidR="005A19BE" w:rsidTr="005A19B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现金周转时间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库存的供应天数</w:t>
            </w:r>
            <w:r>
              <w:rPr>
                <w:kern w:val="0"/>
                <w:szCs w:val="21"/>
              </w:rPr>
              <w:t>+</w:t>
            </w:r>
            <w:r>
              <w:rPr>
                <w:rFonts w:hint="eastAsia"/>
                <w:kern w:val="0"/>
                <w:szCs w:val="21"/>
              </w:rPr>
              <w:t>应收款帐龄一应付款帐龄</w:t>
            </w:r>
            <w:r>
              <w:rPr>
                <w:kern w:val="0"/>
                <w:szCs w:val="21"/>
              </w:rPr>
              <w:t>]</w:t>
            </w:r>
          </w:p>
        </w:tc>
      </w:tr>
      <w:tr w:rsidR="005A19BE" w:rsidTr="005A19B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资产周转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</w:t>
            </w:r>
            <w:r>
              <w:rPr>
                <w:rFonts w:hint="eastAsia"/>
                <w:kern w:val="0"/>
                <w:szCs w:val="21"/>
              </w:rPr>
              <w:t>产品销售总额</w:t>
            </w:r>
            <w:r>
              <w:rPr>
                <w:kern w:val="0"/>
                <w:szCs w:val="21"/>
              </w:rPr>
              <w:t>]</w:t>
            </w:r>
            <w:r>
              <w:rPr>
                <w:rFonts w:hint="eastAsia"/>
                <w:kern w:val="0"/>
                <w:szCs w:val="21"/>
              </w:rPr>
              <w:t>／</w:t>
            </w:r>
            <w:r>
              <w:rPr>
                <w:kern w:val="0"/>
                <w:szCs w:val="21"/>
              </w:rPr>
              <w:t>[</w:t>
            </w:r>
            <w:r>
              <w:rPr>
                <w:rFonts w:hint="eastAsia"/>
                <w:kern w:val="0"/>
                <w:szCs w:val="21"/>
              </w:rPr>
              <w:t>总资产净值</w:t>
            </w:r>
            <w:r>
              <w:rPr>
                <w:kern w:val="0"/>
                <w:szCs w:val="21"/>
              </w:rPr>
              <w:t>]</w:t>
            </w:r>
          </w:p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</w:t>
            </w:r>
            <w:r>
              <w:rPr>
                <w:rFonts w:hint="eastAsia"/>
                <w:kern w:val="0"/>
                <w:szCs w:val="21"/>
              </w:rPr>
              <w:t>产品销售总额</w:t>
            </w:r>
            <w:r>
              <w:rPr>
                <w:kern w:val="0"/>
                <w:szCs w:val="21"/>
              </w:rPr>
              <w:t>]</w:t>
            </w:r>
            <w:r>
              <w:rPr>
                <w:rFonts w:hint="eastAsia"/>
                <w:kern w:val="0"/>
                <w:szCs w:val="21"/>
              </w:rPr>
              <w:t>／</w:t>
            </w:r>
            <w:r>
              <w:rPr>
                <w:kern w:val="0"/>
                <w:szCs w:val="21"/>
              </w:rPr>
              <w:t>[</w:t>
            </w:r>
            <w:r>
              <w:rPr>
                <w:rFonts w:hint="eastAsia"/>
                <w:kern w:val="0"/>
                <w:szCs w:val="21"/>
              </w:rPr>
              <w:t>总流动资金</w:t>
            </w:r>
            <w:r>
              <w:rPr>
                <w:kern w:val="0"/>
                <w:szCs w:val="21"/>
              </w:rPr>
              <w:t>]</w:t>
            </w:r>
          </w:p>
        </w:tc>
      </w:tr>
    </w:tbl>
    <w:p w:rsidR="005A19BE" w:rsidRDefault="005A19BE" w:rsidP="005A19BE">
      <w:pPr>
        <w:tabs>
          <w:tab w:val="left" w:pos="540"/>
        </w:tabs>
        <w:jc w:val="center"/>
        <w:rPr>
          <w:rFonts w:hAnsi="宋体"/>
          <w:bCs/>
          <w:kern w:val="32"/>
          <w:szCs w:val="21"/>
          <w:lang w:val="en-GB"/>
        </w:rPr>
      </w:pPr>
    </w:p>
    <w:p w:rsidR="005A19BE" w:rsidRDefault="005A19BE" w:rsidP="005A19BE">
      <w:pPr>
        <w:tabs>
          <w:tab w:val="left" w:pos="540"/>
        </w:tabs>
        <w:jc w:val="center"/>
        <w:rPr>
          <w:bCs/>
          <w:kern w:val="32"/>
          <w:szCs w:val="21"/>
          <w:lang w:val="en-GB"/>
        </w:rPr>
      </w:pPr>
      <w:r>
        <w:rPr>
          <w:rFonts w:hAnsi="宋体" w:hint="eastAsia"/>
          <w:bCs/>
          <w:kern w:val="32"/>
          <w:szCs w:val="21"/>
          <w:lang w:val="en-GB"/>
        </w:rPr>
        <w:t>表</w:t>
      </w:r>
      <w:r>
        <w:rPr>
          <w:bCs/>
          <w:kern w:val="32"/>
          <w:szCs w:val="21"/>
          <w:lang w:val="en-GB"/>
        </w:rPr>
        <w:t xml:space="preserve"> 4-49 SCOR</w:t>
      </w:r>
      <w:r>
        <w:rPr>
          <w:rFonts w:hAnsi="宋体" w:hint="eastAsia"/>
          <w:bCs/>
          <w:kern w:val="32"/>
          <w:szCs w:val="21"/>
          <w:lang w:val="en-GB"/>
        </w:rPr>
        <w:t>第二层绩效指标</w:t>
      </w:r>
    </w:p>
    <w:tbl>
      <w:tblPr>
        <w:tblW w:w="87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4428"/>
        <w:gridCol w:w="1260"/>
        <w:gridCol w:w="1080"/>
        <w:gridCol w:w="1080"/>
        <w:gridCol w:w="910"/>
      </w:tblGrid>
      <w:tr w:rsidR="005A19BE" w:rsidTr="005A19BE"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  <w:hideMark/>
          </w:tcPr>
          <w:p w:rsidR="005A19BE" w:rsidRDefault="005A19BE">
            <w:pPr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SCOR</w:t>
            </w:r>
            <w:r>
              <w:rPr>
                <w:rFonts w:hAnsi="宋体" w:hint="eastAsia"/>
                <w:color w:val="FFFFFF"/>
                <w:szCs w:val="21"/>
              </w:rPr>
              <w:t>第二层的配送评价指标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  <w:hideMark/>
          </w:tcPr>
          <w:p w:rsidR="005A19BE" w:rsidRDefault="005A19BE">
            <w:pPr>
              <w:rPr>
                <w:bCs/>
                <w:color w:val="FFFFFF"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color w:val="FFFFFF"/>
                <w:kern w:val="32"/>
                <w:szCs w:val="21"/>
                <w:lang w:val="en-GB"/>
              </w:rPr>
              <w:t>按库存生产的产品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  <w:hideMark/>
          </w:tcPr>
          <w:p w:rsidR="005A19BE" w:rsidRDefault="005A19BE">
            <w:pPr>
              <w:rPr>
                <w:bCs/>
                <w:color w:val="FFFFFF"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color w:val="FFFFFF"/>
                <w:kern w:val="32"/>
                <w:szCs w:val="21"/>
                <w:lang w:val="en-GB"/>
              </w:rPr>
              <w:t>按订单生产的产品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  <w:hideMark/>
          </w:tcPr>
          <w:p w:rsidR="005A19BE" w:rsidRDefault="005A19BE">
            <w:pPr>
              <w:rPr>
                <w:bCs/>
                <w:color w:val="FFFFFF"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color w:val="FFFFFF"/>
                <w:kern w:val="32"/>
                <w:szCs w:val="21"/>
                <w:lang w:val="en-GB"/>
              </w:rPr>
              <w:t>按订单定制的产品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333399"/>
            <w:hideMark/>
          </w:tcPr>
          <w:p w:rsidR="005A19BE" w:rsidRDefault="005A19BE">
            <w:pPr>
              <w:rPr>
                <w:bCs/>
                <w:color w:val="FFFFFF"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color w:val="FFFFFF"/>
                <w:kern w:val="32"/>
                <w:szCs w:val="21"/>
                <w:lang w:val="en-GB"/>
              </w:rPr>
              <w:t>零售商品</w:t>
            </w:r>
          </w:p>
        </w:tc>
      </w:tr>
      <w:tr w:rsidR="005A19BE" w:rsidTr="005A19BE">
        <w:tc>
          <w:tcPr>
            <w:tcW w:w="44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库存零售天数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</w:tr>
      <w:tr w:rsidR="005A19BE" w:rsidTr="005A19BE">
        <w:tc>
          <w:tcPr>
            <w:tcW w:w="44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配送周期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</w:tr>
      <w:tr w:rsidR="005A19BE" w:rsidTr="005A19BE">
        <w:tc>
          <w:tcPr>
            <w:tcW w:w="44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按承诺日期交货绩效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</w:tr>
      <w:tr w:rsidR="005A19BE" w:rsidTr="005A19BE">
        <w:tc>
          <w:tcPr>
            <w:tcW w:w="44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按客户要求日期交货绩效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</w:tr>
      <w:tr w:rsidR="005A19BE" w:rsidTr="005A19BE">
        <w:tc>
          <w:tcPr>
            <w:tcW w:w="44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向下的柔性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</w:tr>
      <w:tr w:rsidR="005A19BE" w:rsidTr="005A19BE">
        <w:tc>
          <w:tcPr>
            <w:tcW w:w="44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订单完成率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</w:tr>
      <w:tr w:rsidR="005A19BE" w:rsidTr="005A19BE">
        <w:tc>
          <w:tcPr>
            <w:tcW w:w="44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产成品库存供应天数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</w:tr>
      <w:tr w:rsidR="005A19BE" w:rsidTr="005A19BE">
        <w:tc>
          <w:tcPr>
            <w:tcW w:w="44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废弃库存占总库存的比重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</w:tr>
      <w:tr w:rsidR="005A19BE" w:rsidTr="005A19BE">
        <w:tc>
          <w:tcPr>
            <w:tcW w:w="44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订单管理成本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</w:tr>
      <w:tr w:rsidR="005A19BE" w:rsidTr="005A19BE">
        <w:tc>
          <w:tcPr>
            <w:tcW w:w="44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订单</w:t>
            </w:r>
            <w:proofErr w:type="gramStart"/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完美履行</w:t>
            </w:r>
            <w:proofErr w:type="gramEnd"/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率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</w:tr>
      <w:tr w:rsidR="005A19BE" w:rsidTr="005A19BE">
        <w:tc>
          <w:tcPr>
            <w:tcW w:w="44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补货准确性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</w:tr>
      <w:tr w:rsidR="005A19BE" w:rsidTr="005A19BE">
        <w:tc>
          <w:tcPr>
            <w:tcW w:w="44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补货提前期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</w:tr>
      <w:tr w:rsidR="005A19BE" w:rsidTr="005A19BE">
        <w:tc>
          <w:tcPr>
            <w:tcW w:w="44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补货及时性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</w:tr>
      <w:tr w:rsidR="005A19BE" w:rsidTr="005A19BE">
        <w:tc>
          <w:tcPr>
            <w:tcW w:w="44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服务水平</w:t>
            </w:r>
            <w:r>
              <w:rPr>
                <w:bCs/>
                <w:kern w:val="32"/>
                <w:szCs w:val="21"/>
                <w:lang w:val="en-GB"/>
              </w:rPr>
              <w:t>/</w:t>
            </w: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准确度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</w:tr>
      <w:tr w:rsidR="005A19BE" w:rsidTr="005A19BE">
        <w:tc>
          <w:tcPr>
            <w:tcW w:w="44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rFonts w:hAnsi="宋体" w:hint="eastAsia"/>
                <w:bCs/>
                <w:kern w:val="32"/>
                <w:szCs w:val="21"/>
                <w:lang w:val="en-GB"/>
              </w:rPr>
              <w:t>货架缺货率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  <w:r>
              <w:rPr>
                <w:bCs/>
                <w:kern w:val="32"/>
                <w:szCs w:val="21"/>
                <w:lang w:val="en-GB"/>
              </w:rPr>
              <w:t>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A19BE" w:rsidRDefault="005A19BE">
            <w:pPr>
              <w:rPr>
                <w:bCs/>
                <w:kern w:val="32"/>
                <w:szCs w:val="21"/>
                <w:lang w:val="en-GB"/>
              </w:rPr>
            </w:pPr>
          </w:p>
        </w:tc>
      </w:tr>
    </w:tbl>
    <w:p w:rsidR="005A19BE" w:rsidRDefault="005A19BE" w:rsidP="005A19BE">
      <w:pPr>
        <w:autoSpaceDE w:val="0"/>
        <w:autoSpaceDN w:val="0"/>
        <w:adjustRightInd w:val="0"/>
        <w:jc w:val="center"/>
        <w:rPr>
          <w:kern w:val="0"/>
          <w:szCs w:val="21"/>
        </w:rPr>
      </w:pPr>
    </w:p>
    <w:p w:rsidR="005A19BE" w:rsidRDefault="005A19BE" w:rsidP="005A19BE">
      <w:pPr>
        <w:autoSpaceDE w:val="0"/>
        <w:autoSpaceDN w:val="0"/>
        <w:adjustRightInd w:val="0"/>
        <w:jc w:val="center"/>
        <w:rPr>
          <w:kern w:val="0"/>
          <w:szCs w:val="21"/>
        </w:rPr>
      </w:pPr>
    </w:p>
    <w:p w:rsidR="005A19BE" w:rsidRDefault="005A19BE" w:rsidP="005A19BE">
      <w:pPr>
        <w:autoSpaceDE w:val="0"/>
        <w:autoSpaceDN w:val="0"/>
        <w:adjustRightInd w:val="0"/>
        <w:jc w:val="center"/>
        <w:rPr>
          <w:kern w:val="0"/>
          <w:szCs w:val="21"/>
        </w:rPr>
      </w:pPr>
    </w:p>
    <w:p w:rsidR="005A19BE" w:rsidRDefault="005A19BE" w:rsidP="005A19BE">
      <w:pPr>
        <w:autoSpaceDE w:val="0"/>
        <w:autoSpaceDN w:val="0"/>
        <w:adjustRightInd w:val="0"/>
        <w:jc w:val="center"/>
        <w:rPr>
          <w:kern w:val="0"/>
          <w:szCs w:val="21"/>
        </w:rPr>
      </w:pPr>
    </w:p>
    <w:p w:rsidR="005A19BE" w:rsidRDefault="005A19BE" w:rsidP="005A19BE">
      <w:pPr>
        <w:autoSpaceDE w:val="0"/>
        <w:autoSpaceDN w:val="0"/>
        <w:adjustRightInd w:val="0"/>
        <w:jc w:val="center"/>
        <w:rPr>
          <w:kern w:val="0"/>
          <w:szCs w:val="21"/>
        </w:rPr>
      </w:pPr>
    </w:p>
    <w:p w:rsidR="005A19BE" w:rsidRDefault="005A19BE" w:rsidP="005A19BE">
      <w:pPr>
        <w:autoSpaceDE w:val="0"/>
        <w:autoSpaceDN w:val="0"/>
        <w:adjustRightInd w:val="0"/>
        <w:jc w:val="center"/>
        <w:rPr>
          <w:kern w:val="0"/>
          <w:szCs w:val="21"/>
        </w:rPr>
      </w:pPr>
    </w:p>
    <w:p w:rsidR="005A19BE" w:rsidRDefault="005A19BE" w:rsidP="005A19BE">
      <w:pPr>
        <w:autoSpaceDE w:val="0"/>
        <w:autoSpaceDN w:val="0"/>
        <w:adjustRightInd w:val="0"/>
        <w:jc w:val="center"/>
        <w:rPr>
          <w:kern w:val="0"/>
          <w:szCs w:val="21"/>
        </w:rPr>
      </w:pPr>
    </w:p>
    <w:p w:rsidR="005A19BE" w:rsidRDefault="005A19BE" w:rsidP="005A19BE">
      <w:pPr>
        <w:autoSpaceDE w:val="0"/>
        <w:autoSpaceDN w:val="0"/>
        <w:adjustRightInd w:val="0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表</w:t>
      </w:r>
      <w:r>
        <w:rPr>
          <w:kern w:val="0"/>
          <w:szCs w:val="21"/>
        </w:rPr>
        <w:t xml:space="preserve">4-50 </w:t>
      </w:r>
      <w:r>
        <w:rPr>
          <w:rFonts w:hint="eastAsia"/>
          <w:kern w:val="0"/>
          <w:szCs w:val="21"/>
        </w:rPr>
        <w:t>第一层指标的</w:t>
      </w:r>
      <w:r>
        <w:rPr>
          <w:kern w:val="0"/>
          <w:szCs w:val="21"/>
        </w:rPr>
        <w:t>SCOR-card</w:t>
      </w:r>
    </w:p>
    <w:tbl>
      <w:tblPr>
        <w:tblW w:w="82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076"/>
        <w:gridCol w:w="816"/>
        <w:gridCol w:w="816"/>
        <w:gridCol w:w="816"/>
        <w:gridCol w:w="816"/>
        <w:gridCol w:w="816"/>
        <w:gridCol w:w="2076"/>
      </w:tblGrid>
      <w:tr w:rsidR="005A19BE" w:rsidTr="005A19BE">
        <w:trPr>
          <w:jc w:val="center"/>
        </w:trPr>
        <w:tc>
          <w:tcPr>
            <w:tcW w:w="20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color w:val="FFFFFF"/>
                <w:kern w:val="0"/>
                <w:szCs w:val="21"/>
              </w:rPr>
            </w:pPr>
            <w:r>
              <w:rPr>
                <w:rFonts w:hint="eastAsia"/>
                <w:color w:val="FFFFFF"/>
                <w:kern w:val="0"/>
                <w:szCs w:val="21"/>
              </w:rPr>
              <w:t>第一层绩效指标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color w:val="FFFFFF"/>
                <w:kern w:val="0"/>
                <w:szCs w:val="21"/>
              </w:rPr>
            </w:pPr>
            <w:r>
              <w:rPr>
                <w:rFonts w:hint="eastAsia"/>
                <w:color w:val="FFFFFF"/>
                <w:kern w:val="0"/>
                <w:szCs w:val="21"/>
              </w:rPr>
              <w:t>现况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color w:val="FFFFFF"/>
                <w:kern w:val="0"/>
                <w:szCs w:val="21"/>
              </w:rPr>
            </w:pPr>
            <w:r>
              <w:rPr>
                <w:rFonts w:hint="eastAsia"/>
                <w:color w:val="FFFFFF"/>
                <w:kern w:val="0"/>
                <w:szCs w:val="21"/>
              </w:rPr>
              <w:t>目标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color w:val="FFFFFF"/>
                <w:kern w:val="0"/>
                <w:szCs w:val="21"/>
              </w:rPr>
            </w:pPr>
            <w:r>
              <w:rPr>
                <w:rFonts w:hint="eastAsia"/>
                <w:color w:val="FFFFFF"/>
                <w:kern w:val="0"/>
                <w:szCs w:val="21"/>
              </w:rPr>
              <w:t>均值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color w:val="FFFFFF"/>
                <w:kern w:val="0"/>
                <w:szCs w:val="21"/>
              </w:rPr>
            </w:pPr>
            <w:r>
              <w:rPr>
                <w:rFonts w:hint="eastAsia"/>
                <w:color w:val="FFFFFF"/>
                <w:kern w:val="0"/>
                <w:szCs w:val="21"/>
              </w:rPr>
              <w:t>优秀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color w:val="FFFFFF"/>
                <w:kern w:val="0"/>
                <w:szCs w:val="21"/>
              </w:rPr>
            </w:pPr>
            <w:r>
              <w:rPr>
                <w:rFonts w:hint="eastAsia"/>
                <w:color w:val="FFFFFF"/>
                <w:kern w:val="0"/>
                <w:szCs w:val="21"/>
              </w:rPr>
              <w:t>更高</w:t>
            </w:r>
          </w:p>
        </w:tc>
        <w:tc>
          <w:tcPr>
            <w:tcW w:w="20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333399"/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color w:val="FFFFFF"/>
                <w:kern w:val="0"/>
                <w:szCs w:val="21"/>
              </w:rPr>
            </w:pPr>
            <w:r>
              <w:rPr>
                <w:rFonts w:hint="eastAsia"/>
                <w:color w:val="FFFFFF"/>
                <w:kern w:val="0"/>
                <w:szCs w:val="21"/>
              </w:rPr>
              <w:t>达到目标所获收益</w:t>
            </w:r>
          </w:p>
        </w:tc>
      </w:tr>
      <w:tr w:rsidR="005A19BE" w:rsidTr="005A19BE">
        <w:trPr>
          <w:jc w:val="center"/>
        </w:trPr>
        <w:tc>
          <w:tcPr>
            <w:tcW w:w="20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订单</w:t>
            </w:r>
            <w:proofErr w:type="gramStart"/>
            <w:r>
              <w:rPr>
                <w:rFonts w:hAnsi="宋体" w:hint="eastAsia"/>
                <w:szCs w:val="21"/>
              </w:rPr>
              <w:t>完美履行</w:t>
            </w:r>
            <w:proofErr w:type="gramEnd"/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</w:tr>
      <w:tr w:rsidR="005A19BE" w:rsidTr="005A19BE">
        <w:trPr>
          <w:jc w:val="center"/>
        </w:trPr>
        <w:tc>
          <w:tcPr>
            <w:tcW w:w="20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Ansi="宋体" w:hint="eastAsia"/>
                <w:szCs w:val="21"/>
              </w:rPr>
              <w:t>订单完成提前期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</w:tr>
      <w:tr w:rsidR="005A19BE" w:rsidTr="005A19BE">
        <w:trPr>
          <w:jc w:val="center"/>
        </w:trPr>
        <w:tc>
          <w:tcPr>
            <w:tcW w:w="20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向上的供应链弹性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</w:tr>
      <w:tr w:rsidR="005A19BE" w:rsidTr="005A19BE">
        <w:trPr>
          <w:jc w:val="center"/>
        </w:trPr>
        <w:tc>
          <w:tcPr>
            <w:tcW w:w="20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向下的供应链弹性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</w:tr>
      <w:tr w:rsidR="005A19BE" w:rsidTr="005A19BE">
        <w:trPr>
          <w:jc w:val="center"/>
        </w:trPr>
        <w:tc>
          <w:tcPr>
            <w:tcW w:w="20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服务销售成本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</w:tr>
      <w:tr w:rsidR="005A19BE" w:rsidTr="005A19BE">
        <w:trPr>
          <w:jc w:val="center"/>
        </w:trPr>
        <w:tc>
          <w:tcPr>
            <w:tcW w:w="20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r>
              <w:rPr>
                <w:rFonts w:hint="eastAsia"/>
              </w:rPr>
              <w:t>现金周转时间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</w:tr>
      <w:tr w:rsidR="005A19BE" w:rsidTr="005A19BE">
        <w:trPr>
          <w:jc w:val="center"/>
        </w:trPr>
        <w:tc>
          <w:tcPr>
            <w:tcW w:w="20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A19BE" w:rsidRDefault="005A19BE">
            <w:r>
              <w:rPr>
                <w:rFonts w:hint="eastAsia"/>
              </w:rPr>
              <w:t>库存</w:t>
            </w:r>
            <w:proofErr w:type="gramStart"/>
            <w:r>
              <w:rPr>
                <w:rFonts w:hint="eastAsia"/>
              </w:rPr>
              <w:t>供应总</w:t>
            </w:r>
            <w:proofErr w:type="gramEnd"/>
            <w:r>
              <w:rPr>
                <w:rFonts w:hint="eastAsia"/>
              </w:rPr>
              <w:t>天数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</w:tr>
      <w:tr w:rsidR="005A19BE" w:rsidTr="005A19BE">
        <w:trPr>
          <w:jc w:val="center"/>
        </w:trPr>
        <w:tc>
          <w:tcPr>
            <w:tcW w:w="20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A19BE" w:rsidRDefault="005A19BE">
            <w:r>
              <w:rPr>
                <w:rFonts w:hint="eastAsia"/>
              </w:rPr>
              <w:t>净资产周转次数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A19BE" w:rsidRDefault="005A19BE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</w:tc>
      </w:tr>
    </w:tbl>
    <w:p w:rsidR="005A19BE" w:rsidRDefault="005A19BE" w:rsidP="005A19B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</w:p>
    <w:p w:rsidR="00DB425A" w:rsidRDefault="00DB425A"/>
    <w:sectPr w:rsidR="00DB425A" w:rsidSect="00DB4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67F" w:rsidRDefault="0007567F" w:rsidP="00E710F4">
      <w:r>
        <w:separator/>
      </w:r>
    </w:p>
  </w:endnote>
  <w:endnote w:type="continuationSeparator" w:id="0">
    <w:p w:rsidR="0007567F" w:rsidRDefault="0007567F" w:rsidP="00E71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67F" w:rsidRDefault="0007567F" w:rsidP="00E710F4">
      <w:r>
        <w:separator/>
      </w:r>
    </w:p>
  </w:footnote>
  <w:footnote w:type="continuationSeparator" w:id="0">
    <w:p w:rsidR="0007567F" w:rsidRDefault="0007567F" w:rsidP="00E710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9BE"/>
    <w:rsid w:val="0007567F"/>
    <w:rsid w:val="00281F54"/>
    <w:rsid w:val="00532EEF"/>
    <w:rsid w:val="005A19BE"/>
    <w:rsid w:val="00DB425A"/>
    <w:rsid w:val="00E71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9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1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10F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1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10F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10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10F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1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180</Words>
  <Characters>1029</Characters>
  <Application>Microsoft Office Word</Application>
  <DocSecurity>0</DocSecurity>
  <Lines>8</Lines>
  <Paragraphs>2</Paragraphs>
  <ScaleCrop>false</ScaleCrop>
  <Company> 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gongjian</dc:creator>
  <cp:lastModifiedBy>gongjian</cp:lastModifiedBy>
  <cp:revision>2</cp:revision>
  <dcterms:created xsi:type="dcterms:W3CDTF">2012-11-01T00:23:00Z</dcterms:created>
  <dcterms:modified xsi:type="dcterms:W3CDTF">2012-11-01T02:44:00Z</dcterms:modified>
</cp:coreProperties>
</file>