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Times New Roman" w:cs="Times New Roman" w:eastAsia="Times New Roman" w:hAnsi="Times New Roman"/>
          <w:b/>
          <w:bCs/>
          <w:sz w:val="28"/>
          <w:szCs w:val="28"/>
        </w:rPr>
        <w:t xml:space="preserve">Comparative Analysis of Hyperparameter Optimization Techniques for XGBoost in PM2.5 Prediction Using CPCB India Air Quality Data</w:t>
      </w:r>
    </w:p>
    <w:p>
      <w:pPr>
        <w:spacing w:before="80" w:after="80"/>
        <w:jc w:val="center"/>
      </w:pPr>
      <w:r>
        <w:rPr>
          <w:rFonts w:ascii="Times New Roman" w:cs="Times New Roman" w:eastAsia="Times New Roman" w:hAnsi="Times New Roman"/>
          <w:sz w:val="22"/>
          <w:szCs w:val="22"/>
        </w:rPr>
        <w:t xml:space="preserve">[Author Name], [Author Name], [Author Name]</w:t>
      </w:r>
    </w:p>
    <w:p>
      <w:pPr>
        <w:spacing w:before="40" w:after="40"/>
        <w:jc w:val="center"/>
      </w:pPr>
      <w:r>
        <w:rPr>
          <w:rFonts w:ascii="Times New Roman" w:cs="Times New Roman" w:eastAsia="Times New Roman" w:hAnsi="Times New Roman"/>
          <w:i/>
          <w:iCs/>
          <w:sz w:val="22"/>
          <w:szCs w:val="22"/>
        </w:rPr>
        <w:t xml:space="preserve">[Department of Computer Science / Engineering, Institution Name, City, Country]</w:t>
      </w:r>
    </w:p>
    <w:p>
      <w:pPr>
        <w:spacing w:before="40" w:after="160"/>
        <w:jc w:val="center"/>
      </w:pPr>
      <w:r>
        <w:rPr>
          <w:rFonts w:ascii="Times New Roman" w:cs="Times New Roman" w:eastAsia="Times New Roman" w:hAnsi="Times New Roman"/>
          <w:i/>
          <w:iCs/>
          <w:sz w:val="22"/>
          <w:szCs w:val="22"/>
        </w:rPr>
        <w:t xml:space="preserve">{email@institution.edu}</w:t>
      </w:r>
    </w:p>
    <w:p>
      <w:pPr>
        <w:spacing w:before="240" w:after="120"/>
      </w:pPr>
      <w:r>
        <w:rPr>
          <w:rFonts w:ascii="Times New Roman" w:cs="Times New Roman" w:eastAsia="Times New Roman" w:hAnsi="Times New Roman"/>
          <w:b/>
          <w:bCs/>
          <w:caps/>
          <w:sz w:val="28"/>
          <w:szCs w:val="28"/>
        </w:rPr>
        <w:t xml:space="preserve">Abstract</w:t>
      </w:r>
    </w:p>
    <w:p>
      <w:pPr>
        <w:spacing w:before="120" w:after="80"/>
        <w:jc w:val="both"/>
      </w:pPr>
      <w:r>
        <w:rPr>
          <w:rFonts w:ascii="Times New Roman" w:cs="Times New Roman" w:eastAsia="Times New Roman" w:hAnsi="Times New Roman"/>
          <w:b w:val="false"/>
          <w:bCs w:val="false"/>
          <w:i w:val="false"/>
          <w:iCs w:val="false"/>
          <w:sz w:val="22"/>
          <w:szCs w:val="22"/>
        </w:rPr>
        <w:t xml:space="preserve">Air pollution, particularly fine particulate matter (PM2.5), poses a critical threat to public health in rapidly urbanising countries such as India. Accurate prediction of PM2.5 concentrations can enable timely public health interventions. This paper investigates the application of the Extreme Gradient Boosting (XGBoost) regressor for PM2.5 prediction using the Central Pollution Control Board (CPCB) city-level air quality dataset from India. Three hyperparameter optimisation strategies — GridSearchCV, RandomizedSearchCV, and Bayesian Optimisation (Optuna) — are systematically compared against a baseline XGBoost model. Model performance is evaluated using Root Mean Square Error (RMSE), Mean Absolute Error (MAE), and the coefficient of determination (R²). Experimental results demonstrate that Bayesian Optimisation consistently achieves superior predictive accuracy with reduced computational overhead relative to exhaustive grid search. Feature importance analysis reveals that PM10, NO2, and NOx are the most influential predictors of PM2.5. The findings provide a reproducible benchmark for hyperparameter-aware machine learning in environmental monitoring.</w:t>
      </w:r>
    </w:p>
    <w:p>
      <w:r>
        <w:t xml:space="preserve"/>
      </w:r>
    </w:p>
    <w:p>
      <w:pPr>
        <w:spacing w:before="80" w:after="80"/>
        <w:jc w:val="both"/>
      </w:pPr>
      <w:r>
        <w:rPr>
          <w:rFonts w:ascii="Times New Roman" w:cs="Times New Roman" w:eastAsia="Times New Roman" w:hAnsi="Times New Roman"/>
          <w:b/>
          <w:bCs/>
          <w:sz w:val="22"/>
          <w:szCs w:val="22"/>
        </w:rPr>
        <w:t xml:space="preserve">Keywords — </w:t>
      </w:r>
      <w:r>
        <w:rPr>
          <w:rFonts w:ascii="Times New Roman" w:cs="Times New Roman" w:eastAsia="Times New Roman" w:hAnsi="Times New Roman"/>
          <w:sz w:val="22"/>
          <w:szCs w:val="22"/>
        </w:rPr>
        <w:t xml:space="preserve">PM2.5 prediction, XGBoost, hyperparameter optimisation, Bayesian optimisation, Optuna, air quality, machine learning, CPCB India</w:t>
      </w:r>
    </w:p>
    <w:p>
      <w:r>
        <w:t xml:space="preserve"/>
      </w:r>
    </w:p>
    <w:p>
      <w:pPr>
        <w:spacing w:before="240" w:after="120"/>
      </w:pPr>
      <w:r>
        <w:rPr>
          <w:rFonts w:ascii="Times New Roman" w:cs="Times New Roman" w:eastAsia="Times New Roman" w:hAnsi="Times New Roman"/>
          <w:b/>
          <w:bCs/>
          <w:caps/>
          <w:sz w:val="28"/>
          <w:szCs w:val="28"/>
        </w:rPr>
        <w:t xml:space="preserve">I. Introduction</w:t>
      </w:r>
    </w:p>
    <w:p>
      <w:pPr>
        <w:spacing w:before="120" w:after="80"/>
        <w:jc w:val="both"/>
      </w:pPr>
      <w:r>
        <w:rPr>
          <w:rFonts w:ascii="Times New Roman" w:cs="Times New Roman" w:eastAsia="Times New Roman" w:hAnsi="Times New Roman"/>
          <w:b w:val="false"/>
          <w:bCs w:val="false"/>
          <w:i w:val="false"/>
          <w:iCs w:val="false"/>
          <w:sz w:val="22"/>
          <w:szCs w:val="22"/>
        </w:rPr>
        <w:t xml:space="preserve">Fine particulate matter with an aerodynamic diameter of 2.5 micrometres or less (PM2.5) represents one of the most hazardous atmospheric pollutants affecting human health globally. Epidemiological evidence consistently associates elevated PM2.5 concentrations with increased incidence of respiratory disease, cardiovascular morbidity, and premature mortality [1]. India faces a particularly acute air pollution challenge: a 2023 report from the World Air Quality Index ranked several Indian cities among the most polluted globally, with Delhi, Patna, and Lucknow recording annual average PM2.5 values far exceeding the WHO guideline of 5 µg/m³ [2].</w:t>
      </w:r>
    </w:p>
    <w:p>
      <w:pPr>
        <w:spacing w:before="120" w:after="80"/>
        <w:jc w:val="both"/>
      </w:pPr>
      <w:r>
        <w:rPr>
          <w:rFonts w:ascii="Times New Roman" w:cs="Times New Roman" w:eastAsia="Times New Roman" w:hAnsi="Times New Roman"/>
          <w:b w:val="false"/>
          <w:bCs w:val="false"/>
          <w:i w:val="false"/>
          <w:iCs w:val="false"/>
          <w:sz w:val="22"/>
          <w:szCs w:val="22"/>
        </w:rPr>
        <w:t xml:space="preserve">Reliable real-time and short-term forecasting of PM2.5 levels can equip health authorities, urban planners, and citizens with actionable intelligence. Traditional deterministic air quality models such as CMAQ and WRF-Chem require substantial meteorological and emissions inventory data and are computationally expensive. Machine learning (ML) approaches have emerged as a practical alternative, capable of learning complex non-linear relationships between multiple co-pollutants and PM2.5 concentrations from historical monitoring data.</w:t>
      </w:r>
    </w:p>
    <w:p>
      <w:pPr>
        <w:spacing w:before="120" w:after="80"/>
        <w:jc w:val="both"/>
      </w:pPr>
      <w:r>
        <w:rPr>
          <w:rFonts w:ascii="Times New Roman" w:cs="Times New Roman" w:eastAsia="Times New Roman" w:hAnsi="Times New Roman"/>
          <w:b w:val="false"/>
          <w:bCs w:val="false"/>
          <w:i w:val="false"/>
          <w:iCs w:val="false"/>
          <w:sz w:val="22"/>
          <w:szCs w:val="22"/>
        </w:rPr>
        <w:t xml:space="preserve">Ensemble tree-based methods, and specifically XGBoost [3], have demonstrated consistently high predictive performance on tabular environmental datasets. However, the predictive power of XGBoost is sensitive to the choice of hyperparameters such as learning rate, tree depth, and sub-sampling ratios. Identifying near-optimal hyperparameter configurations efficiently is therefore a critical step in any XGBoost-based modelling pipeline.</w:t>
      </w:r>
    </w:p>
    <w:p>
      <w:pPr>
        <w:spacing w:before="120" w:after="80"/>
        <w:jc w:val="both"/>
      </w:pPr>
      <w:r>
        <w:rPr>
          <w:rFonts w:ascii="Times New Roman" w:cs="Times New Roman" w:eastAsia="Times New Roman" w:hAnsi="Times New Roman"/>
          <w:b w:val="false"/>
          <w:bCs w:val="false"/>
          <w:i w:val="false"/>
          <w:iCs w:val="false"/>
          <w:sz w:val="22"/>
          <w:szCs w:val="22"/>
        </w:rPr>
        <w:t xml:space="preserve">This study makes three primary contributions. First, we establish a clean preprocessing and feature engineering pipeline for the CPCB city-level air quality dataset. Second, we implement and compare three hyperparameter optimisation strategies — Grid Search, Random Search, and Bayesian Optimisation — within a unified experimental framework. Third, we provide quantitative evidence that Bayesian Optimisation (via the Optuna library) yields superior results with fewer evaluations compared to traditional search strategies. The full codebase is designed to be reproducible and extensible by future researchers.</w:t>
      </w:r>
    </w:p>
    <w:p>
      <w:r>
        <w:t xml:space="preserve"/>
      </w:r>
    </w:p>
    <w:p>
      <w:pPr>
        <w:spacing w:before="240" w:after="120"/>
      </w:pPr>
      <w:r>
        <w:rPr>
          <w:rFonts w:ascii="Times New Roman" w:cs="Times New Roman" w:eastAsia="Times New Roman" w:hAnsi="Times New Roman"/>
          <w:b/>
          <w:bCs/>
          <w:caps/>
          <w:sz w:val="28"/>
          <w:szCs w:val="28"/>
        </w:rPr>
        <w:t xml:space="preserve">II. Related Work</w:t>
      </w:r>
    </w:p>
    <w:p>
      <w:pPr>
        <w:spacing w:before="120" w:after="80"/>
        <w:jc w:val="both"/>
      </w:pPr>
      <w:r>
        <w:rPr>
          <w:rFonts w:ascii="Times New Roman" w:cs="Times New Roman" w:eastAsia="Times New Roman" w:hAnsi="Times New Roman"/>
          <w:b w:val="false"/>
          <w:bCs w:val="false"/>
          <w:i w:val="false"/>
          <w:iCs w:val="false"/>
          <w:sz w:val="22"/>
          <w:szCs w:val="22"/>
        </w:rPr>
        <w:t xml:space="preserve">Machine learning for air quality prediction has been extensively studied over the past decade. Ong et al. [4] applied Random Forest and Support Vector Regression to predict PM2.5 in Singapore, demonstrating that ensemble methods outperform linear models on pollution data exhibiting high variability and non-stationary behaviour. Li et al. [5] employed deep learning architectures including LSTM networks for spatiotemporal PM2.5 forecasting in Chinese cities, exploiting temporal autocorrelation in hourly monitoring data.</w:t>
      </w:r>
    </w:p>
    <w:p>
      <w:pPr>
        <w:spacing w:before="120" w:after="80"/>
        <w:jc w:val="both"/>
      </w:pPr>
      <w:r>
        <w:rPr>
          <w:rFonts w:ascii="Times New Roman" w:cs="Times New Roman" w:eastAsia="Times New Roman" w:hAnsi="Times New Roman"/>
          <w:b w:val="false"/>
          <w:bCs w:val="false"/>
          <w:i w:val="false"/>
          <w:iCs w:val="false"/>
          <w:sz w:val="22"/>
          <w:szCs w:val="22"/>
        </w:rPr>
        <w:t xml:space="preserve">XGBoost has attracted particular attention for environmental modelling tasks due to its robust handling of missing data, built-in regularisation, and computational efficiency. Zamani Joharestani et al. [6] applied XGBoost to predict daily PM2.5 concentrations using satellite aerosol optical depth (AOD) data across Tehran, Iran, achieving R² values exceeding 0.89. Similarly, Wei et al. [7] demonstrated that an XGBoost model trained on multivariate pollutant data outperformed neural network baselines for high-resolution PM2.5 estimation across China.</w:t>
      </w:r>
    </w:p>
    <w:p>
      <w:pPr>
        <w:spacing w:before="120" w:after="80"/>
        <w:jc w:val="both"/>
      </w:pPr>
      <w:r>
        <w:rPr>
          <w:rFonts w:ascii="Times New Roman" w:cs="Times New Roman" w:eastAsia="Times New Roman" w:hAnsi="Times New Roman"/>
          <w:b w:val="false"/>
          <w:bCs w:val="false"/>
          <w:i w:val="false"/>
          <w:iCs w:val="false"/>
          <w:sz w:val="22"/>
          <w:szCs w:val="22"/>
        </w:rPr>
        <w:t xml:space="preserve">With respect to hyperparameter optimisation, Bergstra and Bengio [8] provided early theoretical and empirical evidence that random search is more efficient than grid search for optimising machine learning models with high-dimensional parameter spaces. The subsequent development of Bayesian optimisation methods, particularly those based on Tree-structured Parzen Estimators (TPE) [9], further improved sample efficiency. The Optuna framework [10] implements an efficient form of TPE with automated pruning of unpromising trials, making it well-suited for optimising computationally intensive models.</w:t>
      </w:r>
    </w:p>
    <w:p>
      <w:pPr>
        <w:spacing w:before="120" w:after="80"/>
        <w:jc w:val="both"/>
      </w:pPr>
      <w:r>
        <w:rPr>
          <w:rFonts w:ascii="Times New Roman" w:cs="Times New Roman" w:eastAsia="Times New Roman" w:hAnsi="Times New Roman"/>
          <w:b w:val="false"/>
          <w:bCs w:val="false"/>
          <w:i w:val="false"/>
          <w:iCs w:val="false"/>
          <w:sz w:val="22"/>
          <w:szCs w:val="22"/>
        </w:rPr>
        <w:t xml:space="preserve">Despite extensive work on both XGBoost for pollution prediction and hyperparameter optimisation methodology, systematic comparisons of all three strategies — grid search, random search, and Bayesian optimisation — within a single, reproducible pipeline on Indian CPCB data remain sparse in the literature. This work addresses that gap.</w:t>
      </w:r>
    </w:p>
    <w:p>
      <w:r>
        <w:t xml:space="preserve"/>
      </w:r>
    </w:p>
    <w:p>
      <w:pPr>
        <w:spacing w:before="240" w:after="120"/>
      </w:pPr>
      <w:r>
        <w:rPr>
          <w:rFonts w:ascii="Times New Roman" w:cs="Times New Roman" w:eastAsia="Times New Roman" w:hAnsi="Times New Roman"/>
          <w:b/>
          <w:bCs/>
          <w:caps/>
          <w:sz w:val="28"/>
          <w:szCs w:val="28"/>
        </w:rPr>
        <w:t xml:space="preserve">III. Dataset Description</w:t>
      </w:r>
    </w:p>
    <w:p>
      <w:pPr>
        <w:spacing w:before="120" w:after="80"/>
        <w:jc w:val="both"/>
      </w:pPr>
      <w:r>
        <w:rPr>
          <w:rFonts w:ascii="Times New Roman" w:cs="Times New Roman" w:eastAsia="Times New Roman" w:hAnsi="Times New Roman"/>
          <w:b w:val="false"/>
          <w:bCs w:val="false"/>
          <w:i w:val="false"/>
          <w:iCs w:val="false"/>
          <w:sz w:val="22"/>
          <w:szCs w:val="22"/>
        </w:rPr>
        <w:t xml:space="preserve">The dataset used in this study is the "Air Quality Data in India" dataset sourced from Kaggle, which aggregates daily air quality measurements collected by the Central Pollution Control Board (CPCB) of India across multiple monitoring stations. The CPCB operates the National Ambient Air Quality Monitoring Programme (NAAQS), which maintains a network of continuous and manual monitoring stations in urban and industrial areas across all major Indian states.</w:t>
      </w:r>
    </w:p>
    <w:p>
      <w:pPr>
        <w:spacing w:before="120" w:after="80"/>
        <w:jc w:val="both"/>
      </w:pPr>
      <w:r>
        <w:rPr>
          <w:rFonts w:ascii="Times New Roman" w:cs="Times New Roman" w:eastAsia="Times New Roman" w:hAnsi="Times New Roman"/>
          <w:b w:val="false"/>
          <w:bCs w:val="false"/>
          <w:i w:val="false"/>
          <w:iCs w:val="false"/>
          <w:sz w:val="22"/>
          <w:szCs w:val="22"/>
        </w:rPr>
        <w:t xml:space="preserve">The primary file used is city_day.csv, which provides city-level daily averages computed from the individual station-level measurements. The dataset spans approximately the years 2015 to 2020 and covers 26 major Indian cities including Delhi, Mumbai, Bengaluru, Chennai, Hyderabad, Kolkata, Lucknow, and Patna, among others.</w:t>
      </w:r>
    </w:p>
    <w:p>
      <w:pPr>
        <w:spacing w:before="240" w:after="120"/>
      </w:pPr>
      <w:r>
        <w:rPr>
          <w:rFonts w:ascii="Times New Roman" w:cs="Times New Roman" w:eastAsia="Times New Roman" w:hAnsi="Times New Roman"/>
          <w:b/>
          <w:bCs/>
          <w:caps w:val="false"/>
          <w:sz w:val="24"/>
          <w:szCs w:val="24"/>
        </w:rPr>
        <w:t xml:space="preserve">A. Pollutant Variables</w:t>
      </w:r>
    </w:p>
    <w:p>
      <w:pPr>
        <w:spacing w:before="120" w:after="80"/>
        <w:jc w:val="both"/>
      </w:pPr>
      <w:r>
        <w:rPr>
          <w:rFonts w:ascii="Times New Roman" w:cs="Times New Roman" w:eastAsia="Times New Roman" w:hAnsi="Times New Roman"/>
          <w:b w:val="false"/>
          <w:bCs w:val="false"/>
          <w:i w:val="false"/>
          <w:iCs w:val="false"/>
          <w:sz w:val="22"/>
          <w:szCs w:val="22"/>
        </w:rPr>
        <w:t xml:space="preserve">Each daily record includes measurements of the following pollutants and derived indices: PM2.5 (target variable, µg/m³), PM10 (µg/m³), NO (ppb), NO2 (ppb), NOx (ppb), NH3 (ppb), CO (mg/m³), SO2 (µg/m³), O3 (µg/m³), Benzene (µg/m³), Toluene (µg/m³), and Xylene (µg/m³). The dataset also contains the Air Quality Index (AQI) and its categorical bucket label (AQI_Bucket), which are excluded from model features to prevent data leakage since AQI is a derived function of the measured pollutant concentrations including PM2.5.</w:t>
      </w:r>
    </w:p>
    <w:p>
      <w:pPr>
        <w:spacing w:before="240" w:after="120"/>
      </w:pPr>
      <w:r>
        <w:rPr>
          <w:rFonts w:ascii="Times New Roman" w:cs="Times New Roman" w:eastAsia="Times New Roman" w:hAnsi="Times New Roman"/>
          <w:b/>
          <w:bCs/>
          <w:caps w:val="false"/>
          <w:sz w:val="24"/>
          <w:szCs w:val="24"/>
        </w:rPr>
        <w:t xml:space="preserve">B. Missing Data</w:t>
      </w:r>
    </w:p>
    <w:p>
      <w:pPr>
        <w:spacing w:before="120" w:after="80"/>
        <w:jc w:val="both"/>
      </w:pPr>
      <w:r>
        <w:rPr>
          <w:rFonts w:ascii="Times New Roman" w:cs="Times New Roman" w:eastAsia="Times New Roman" w:hAnsi="Times New Roman"/>
          <w:b w:val="false"/>
          <w:bCs w:val="false"/>
          <w:i w:val="false"/>
          <w:iCs w:val="false"/>
          <w:sz w:val="22"/>
          <w:szCs w:val="22"/>
        </w:rPr>
        <w:t xml:space="preserve">A non-trivial proportion of observations contain missing values across multiple pollutant channels, primarily owing to sensor downtime, maintenance periods, and the variable availability of pollutant monitoring equipment across cities. PM2.5, Xylene, and NH3 exhibit the highest missingness rates. Records with missing PM2.5 target values are removed from the modelling dataset. Remaining feature-level missingness is imputed using column-wise median values, a strategy that is robust to the extreme outliers characteristic of pollution data.</w:t>
      </w:r>
    </w:p>
    <w:p>
      <w:pPr>
        <w:spacing w:before="240" w:after="120"/>
      </w:pPr>
      <w:r>
        <w:rPr>
          <w:rFonts w:ascii="Times New Roman" w:cs="Times New Roman" w:eastAsia="Times New Roman" w:hAnsi="Times New Roman"/>
          <w:b/>
          <w:bCs/>
          <w:caps w:val="false"/>
          <w:sz w:val="24"/>
          <w:szCs w:val="24"/>
        </w:rPr>
        <w:t xml:space="preserve">C. Dataset Statistics</w:t>
      </w:r>
    </w:p>
    <w:p>
      <w:pPr>
        <w:spacing w:before="120" w:after="80"/>
        <w:jc w:val="both"/>
      </w:pPr>
      <w:r>
        <w:rPr>
          <w:rFonts w:ascii="Times New Roman" w:cs="Times New Roman" w:eastAsia="Times New Roman" w:hAnsi="Times New Roman"/>
          <w:b w:val="false"/>
          <w:bCs w:val="false"/>
          <w:i w:val="false"/>
          <w:iCs w:val="false"/>
          <w:sz w:val="22"/>
          <w:szCs w:val="22"/>
        </w:rPr>
        <w:t xml:space="preserve">After preprocessing, the dataset contains approximately 29,531 records (the exact figure depends on the version of the dataset downloaded). The City variable is label-encoded to convert the nominal categorical variable into integer indices compatible with XGBoost. The dataset is split into training (80%) and test (20%) subsets using stratified random sampling with a fixed random seed (42) for reproducibility.</w:t>
      </w:r>
    </w:p>
    <w:p>
      <w:r>
        <w:t xml:space="preserve"/>
      </w:r>
    </w:p>
    <w:p>
      <w:pPr>
        <w:spacing w:before="240" w:after="120"/>
      </w:pPr>
      <w:r>
        <w:rPr>
          <w:rFonts w:ascii="Times New Roman" w:cs="Times New Roman" w:eastAsia="Times New Roman" w:hAnsi="Times New Roman"/>
          <w:b/>
          <w:bCs/>
          <w:caps/>
          <w:sz w:val="28"/>
          <w:szCs w:val="28"/>
        </w:rPr>
        <w:t xml:space="preserve">IV. Methodology</w:t>
      </w:r>
    </w:p>
    <w:p>
      <w:pPr>
        <w:spacing w:before="120" w:after="80"/>
        <w:jc w:val="both"/>
      </w:pPr>
      <w:r>
        <w:rPr>
          <w:rFonts w:ascii="Times New Roman" w:cs="Times New Roman" w:eastAsia="Times New Roman" w:hAnsi="Times New Roman"/>
          <w:b w:val="false"/>
          <w:bCs w:val="false"/>
          <w:i w:val="false"/>
          <w:iCs w:val="false"/>
          <w:sz w:val="22"/>
          <w:szCs w:val="22"/>
        </w:rPr>
        <w:t xml:space="preserve">The modelling task is formulated as a supervised regression problem. Let X ∈ ℝⁿˣᵈ denote the feature matrix with n observations and d = 12 features, and let y ∈ ℝⁿ denote the continuous PM2.5 target vector. The objective is to learn a regression function f : ℝᵈ → ℝ that minimises the expected prediction error on unseen data.</w:t>
      </w:r>
    </w:p>
    <w:p>
      <w:pPr>
        <w:spacing w:before="240" w:after="120"/>
      </w:pPr>
      <w:r>
        <w:rPr>
          <w:rFonts w:ascii="Times New Roman" w:cs="Times New Roman" w:eastAsia="Times New Roman" w:hAnsi="Times New Roman"/>
          <w:b/>
          <w:bCs/>
          <w:caps w:val="false"/>
          <w:sz w:val="24"/>
          <w:szCs w:val="24"/>
        </w:rPr>
        <w:t xml:space="preserve">A. Feature Engineering</w:t>
      </w:r>
    </w:p>
    <w:p>
      <w:pPr>
        <w:spacing w:before="120" w:after="80"/>
        <w:jc w:val="both"/>
      </w:pPr>
      <w:r>
        <w:rPr>
          <w:rFonts w:ascii="Times New Roman" w:cs="Times New Roman" w:eastAsia="Times New Roman" w:hAnsi="Times New Roman"/>
          <w:b w:val="false"/>
          <w:bCs w:val="false"/>
          <w:i w:val="false"/>
          <w:iCs w:val="false"/>
          <w:sz w:val="22"/>
          <w:szCs w:val="22"/>
        </w:rPr>
        <w:t xml:space="preserve">All features are retained in their original scale. XGBoost is invariant to monotonic transformations and does not require feature scaling. The City categorical feature is label-encoded as described in Section III. No polynomial or interaction features are added; XGBoost inherently captures feature interactions through its tree-splitting mechanism.</w:t>
      </w:r>
    </w:p>
    <w:p>
      <w:pPr>
        <w:spacing w:before="240" w:after="120"/>
      </w:pPr>
      <w:r>
        <w:rPr>
          <w:rFonts w:ascii="Times New Roman" w:cs="Times New Roman" w:eastAsia="Times New Roman" w:hAnsi="Times New Roman"/>
          <w:b/>
          <w:bCs/>
          <w:caps w:val="false"/>
          <w:sz w:val="24"/>
          <w:szCs w:val="24"/>
        </w:rPr>
        <w:t xml:space="preserve">B. Evaluation Metrics</w:t>
      </w:r>
    </w:p>
    <w:p>
      <w:pPr>
        <w:spacing w:before="120" w:after="80"/>
        <w:jc w:val="both"/>
      </w:pPr>
      <w:r>
        <w:rPr>
          <w:rFonts w:ascii="Times New Roman" w:cs="Times New Roman" w:eastAsia="Times New Roman" w:hAnsi="Times New Roman"/>
          <w:b w:val="false"/>
          <w:bCs w:val="false"/>
          <w:i w:val="false"/>
          <w:iCs w:val="false"/>
          <w:sz w:val="22"/>
          <w:szCs w:val="22"/>
        </w:rPr>
        <w:t xml:space="preserve">Three regression metrics are used to evaluate model performance:</w:t>
      </w:r>
    </w:p>
    <w:p>
      <w:pPr>
        <w:spacing w:before="80" w:after="80"/>
        <w:jc w:val="both"/>
      </w:pPr>
      <w:r>
        <w:rPr>
          <w:rFonts w:ascii="Times New Roman" w:cs="Times New Roman" w:eastAsia="Times New Roman" w:hAnsi="Times New Roman"/>
          <w:b/>
          <w:bCs/>
          <w:sz w:val="22"/>
          <w:szCs w:val="22"/>
        </w:rPr>
        <w:t xml:space="preserve">Root Mean Square Error (RMSE): </w:t>
      </w:r>
      <w:r>
        <w:rPr>
          <w:rFonts w:ascii="Times New Roman" w:cs="Times New Roman" w:eastAsia="Times New Roman" w:hAnsi="Times New Roman"/>
          <w:sz w:val="22"/>
          <w:szCs w:val="22"/>
        </w:rPr>
        <w:t xml:space="preserve">Penalises large errors more severely due to the squared term. Defined as:</w:t>
      </w:r>
    </w:p>
    <w:p>
      <w:pPr>
        <w:spacing w:before="80" w:after="80"/>
        <w:jc w:val="center"/>
      </w:pPr>
      <w:r>
        <w:rPr>
          <w:rFonts w:ascii="Times New Roman" w:cs="Times New Roman" w:eastAsia="Times New Roman" w:hAnsi="Times New Roman"/>
          <w:i/>
          <w:iCs/>
          <w:sz w:val="22"/>
          <w:szCs w:val="22"/>
        </w:rPr>
        <w:t xml:space="preserve">RMSE = √(1/n · Σᵢ(yᵢ − ŷᵢ)²)</w:t>
      </w:r>
    </w:p>
    <w:p>
      <w:pPr>
        <w:spacing w:before="80" w:after="80"/>
        <w:jc w:val="both"/>
      </w:pPr>
      <w:r>
        <w:rPr>
          <w:rFonts w:ascii="Times New Roman" w:cs="Times New Roman" w:eastAsia="Times New Roman" w:hAnsi="Times New Roman"/>
          <w:b/>
          <w:bCs/>
          <w:sz w:val="22"/>
          <w:szCs w:val="22"/>
        </w:rPr>
        <w:t xml:space="preserve">Mean Absolute Error (MAE): </w:t>
      </w:r>
      <w:r>
        <w:rPr>
          <w:rFonts w:ascii="Times New Roman" w:cs="Times New Roman" w:eastAsia="Times New Roman" w:hAnsi="Times New Roman"/>
          <w:sz w:val="22"/>
          <w:szCs w:val="22"/>
        </w:rPr>
        <w:t xml:space="preserve">Measures average absolute deviation, less sensitive to outliers:</w:t>
      </w:r>
    </w:p>
    <w:p>
      <w:pPr>
        <w:spacing w:before="80" w:after="80"/>
        <w:jc w:val="center"/>
      </w:pPr>
      <w:r>
        <w:rPr>
          <w:rFonts w:ascii="Times New Roman" w:cs="Times New Roman" w:eastAsia="Times New Roman" w:hAnsi="Times New Roman"/>
          <w:i/>
          <w:iCs/>
          <w:sz w:val="22"/>
          <w:szCs w:val="22"/>
        </w:rPr>
        <w:t xml:space="preserve">MAE = 1/n · Σᵢ|yᵢ − ŷᵢ|</w:t>
      </w:r>
    </w:p>
    <w:p>
      <w:pPr>
        <w:spacing w:before="80" w:after="80"/>
        <w:jc w:val="both"/>
      </w:pPr>
      <w:r>
        <w:rPr>
          <w:rFonts w:ascii="Times New Roman" w:cs="Times New Roman" w:eastAsia="Times New Roman" w:hAnsi="Times New Roman"/>
          <w:b/>
          <w:bCs/>
          <w:sz w:val="22"/>
          <w:szCs w:val="22"/>
        </w:rPr>
        <w:t xml:space="preserve">Coefficient of Determination (R²): </w:t>
      </w:r>
      <w:r>
        <w:rPr>
          <w:rFonts w:ascii="Times New Roman" w:cs="Times New Roman" w:eastAsia="Times New Roman" w:hAnsi="Times New Roman"/>
          <w:sz w:val="22"/>
          <w:szCs w:val="22"/>
        </w:rPr>
        <w:t xml:space="preserve">Measures the proportion of variance in PM2.5 explained by the model:</w:t>
      </w:r>
    </w:p>
    <w:p>
      <w:pPr>
        <w:spacing w:before="80" w:after="80"/>
        <w:jc w:val="center"/>
      </w:pPr>
      <w:r>
        <w:rPr>
          <w:rFonts w:ascii="Times New Roman" w:cs="Times New Roman" w:eastAsia="Times New Roman" w:hAnsi="Times New Roman"/>
          <w:i/>
          <w:iCs/>
          <w:sz w:val="22"/>
          <w:szCs w:val="22"/>
        </w:rPr>
        <w:t xml:space="preserve">R² = 1 − Σᵢ(yᵢ − ŷᵢ)² / Σᵢ(yᵢ − ȳ)²</w:t>
      </w:r>
    </w:p>
    <w:p>
      <w:pPr>
        <w:spacing w:before="120" w:after="80"/>
        <w:jc w:val="both"/>
      </w:pPr>
      <w:r>
        <w:rPr>
          <w:rFonts w:ascii="Times New Roman" w:cs="Times New Roman" w:eastAsia="Times New Roman" w:hAnsi="Times New Roman"/>
          <w:b w:val="false"/>
          <w:bCs w:val="false"/>
          <w:i w:val="false"/>
          <w:iCs w:val="false"/>
          <w:sz w:val="22"/>
          <w:szCs w:val="22"/>
        </w:rPr>
        <w:t xml:space="preserve">Values of R² closer to 1.0 indicate that the model explains a greater fraction of the variance. For PM2.5 prediction, an R² above 0.85 is generally considered strong for a single-city model; city-pooled datasets typically achieve lower R² due to heterogeneity.</w:t>
      </w:r>
    </w:p>
    <w:p>
      <w:pPr>
        <w:spacing w:before="240" w:after="120"/>
      </w:pPr>
      <w:r>
        <w:rPr>
          <w:rFonts w:ascii="Times New Roman" w:cs="Times New Roman" w:eastAsia="Times New Roman" w:hAnsi="Times New Roman"/>
          <w:b/>
          <w:bCs/>
          <w:caps w:val="false"/>
          <w:sz w:val="24"/>
          <w:szCs w:val="24"/>
        </w:rPr>
        <w:t xml:space="preserve">C. Training Pipeline</w:t>
      </w:r>
    </w:p>
    <w:p>
      <w:pPr>
        <w:spacing w:before="120" w:after="80"/>
        <w:jc w:val="both"/>
      </w:pPr>
      <w:r>
        <w:rPr>
          <w:rFonts w:ascii="Times New Roman" w:cs="Times New Roman" w:eastAsia="Times New Roman" w:hAnsi="Times New Roman"/>
          <w:b w:val="false"/>
          <w:bCs w:val="false"/>
          <w:i w:val="false"/>
          <w:iCs w:val="false"/>
          <w:sz w:val="22"/>
          <w:szCs w:val="22"/>
        </w:rPr>
        <w:t xml:space="preserve">All experiments follow an identical pipeline: (1) data loading and validation, (2) preprocessing and encoding, (3) train/test split, (4) hyperparameter search, (5) retraining the best configuration on the full training set, and (6) evaluation on the held-out test set. Cross-validation during search uses 3 folds to balance computational cost and variance.</w:t>
      </w:r>
    </w:p>
    <w:p>
      <w:r>
        <w:t xml:space="preserve"/>
      </w:r>
    </w:p>
    <w:p>
      <w:pPr>
        <w:spacing w:before="240" w:after="120"/>
      </w:pPr>
      <w:r>
        <w:rPr>
          <w:rFonts w:ascii="Times New Roman" w:cs="Times New Roman" w:eastAsia="Times New Roman" w:hAnsi="Times New Roman"/>
          <w:b/>
          <w:bCs/>
          <w:caps/>
          <w:sz w:val="28"/>
          <w:szCs w:val="28"/>
        </w:rPr>
        <w:t xml:space="preserve">V. Hyperparameter Optimisation Methods</w:t>
      </w:r>
    </w:p>
    <w:p>
      <w:pPr>
        <w:spacing w:before="240" w:after="120"/>
      </w:pPr>
      <w:r>
        <w:rPr>
          <w:rFonts w:ascii="Times New Roman" w:cs="Times New Roman" w:eastAsia="Times New Roman" w:hAnsi="Times New Roman"/>
          <w:b/>
          <w:bCs/>
          <w:caps w:val="false"/>
          <w:sz w:val="24"/>
          <w:szCs w:val="24"/>
        </w:rPr>
        <w:t xml:space="preserve">A. Grid Search (GridSearchCV)</w:t>
      </w:r>
    </w:p>
    <w:p>
      <w:pPr>
        <w:spacing w:before="120" w:after="80"/>
        <w:jc w:val="both"/>
      </w:pPr>
      <w:r>
        <w:rPr>
          <w:rFonts w:ascii="Times New Roman" w:cs="Times New Roman" w:eastAsia="Times New Roman" w:hAnsi="Times New Roman"/>
          <w:b w:val="false"/>
          <w:bCs w:val="false"/>
          <w:i w:val="false"/>
          <w:iCs w:val="false"/>
          <w:sz w:val="22"/>
          <w:szCs w:val="22"/>
        </w:rPr>
        <w:t xml:space="preserve">Grid Search performs an exhaustive enumeration of every combination in a pre-specified parameter grid. For a grid with k parameters and nᵢ values each, the total number of configurations evaluated is Π nᵢ, which grows exponentially with the number of parameters. In this study, a reduced grid of 2×2×2×2×2 = 32 configurations is evaluated, each with 3-fold cross-validation, resulting in 96 model fits.</w:t>
      </w:r>
    </w:p>
    <w:p>
      <w:pPr>
        <w:spacing w:before="80" w:after="80"/>
        <w:jc w:val="both"/>
      </w:pPr>
      <w:r>
        <w:rPr>
          <w:rFonts w:ascii="Times New Roman" w:cs="Times New Roman" w:eastAsia="Times New Roman" w:hAnsi="Times New Roman"/>
          <w:b/>
          <w:bCs/>
          <w:sz w:val="22"/>
          <w:szCs w:val="22"/>
        </w:rPr>
        <w:t xml:space="preserve">Advantages: </w:t>
      </w:r>
      <w:r>
        <w:rPr>
          <w:rFonts w:ascii="Times New Roman" w:cs="Times New Roman" w:eastAsia="Times New Roman" w:hAnsi="Times New Roman"/>
          <w:sz w:val="22"/>
          <w:szCs w:val="22"/>
        </w:rPr>
        <w:t xml:space="preserve">Guarantees the optimal solution within the defined grid; fully reproducible.</w:t>
      </w:r>
    </w:p>
    <w:p>
      <w:pPr>
        <w:spacing w:before="80" w:after="80"/>
        <w:jc w:val="both"/>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Computationally prohibitive for large grids or expensive models; parameter granularity constrains the search.</w:t>
      </w:r>
    </w:p>
    <w:p>
      <w:pPr>
        <w:spacing w:before="240" w:after="120"/>
      </w:pPr>
      <w:r>
        <w:rPr>
          <w:rFonts w:ascii="Times New Roman" w:cs="Times New Roman" w:eastAsia="Times New Roman" w:hAnsi="Times New Roman"/>
          <w:b/>
          <w:bCs/>
          <w:caps w:val="false"/>
          <w:sz w:val="24"/>
          <w:szCs w:val="24"/>
        </w:rPr>
        <w:t xml:space="preserve">B. Random Search (RandomizedSearchCV)</w:t>
      </w:r>
    </w:p>
    <w:p>
      <w:pPr>
        <w:spacing w:before="120" w:after="80"/>
        <w:jc w:val="both"/>
      </w:pPr>
      <w:r>
        <w:rPr>
          <w:rFonts w:ascii="Times New Roman" w:cs="Times New Roman" w:eastAsia="Times New Roman" w:hAnsi="Times New Roman"/>
          <w:b w:val="false"/>
          <w:bCs w:val="false"/>
          <w:i w:val="false"/>
          <w:iCs w:val="false"/>
          <w:sz w:val="22"/>
          <w:szCs w:val="22"/>
        </w:rPr>
        <w:t xml:space="preserve">Random Search samples hyperparameter configurations from pre-defined probability distributions rather than a fixed discrete grid. Bergstra and Bengio [8] demonstrated both theoretically and empirically that random search finds equally good or better solutions than grid search in the same computational budget when only a small subset of hyperparameters strongly influence performance. In this study, 40 configurations are sampled from continuous uniform and integer uniform distributions over the parameter space.</w:t>
      </w:r>
    </w:p>
    <w:p>
      <w:pPr>
        <w:spacing w:before="80" w:after="80"/>
        <w:jc w:val="both"/>
      </w:pPr>
      <w:r>
        <w:rPr>
          <w:rFonts w:ascii="Times New Roman" w:cs="Times New Roman" w:eastAsia="Times New Roman" w:hAnsi="Times New Roman"/>
          <w:b/>
          <w:bCs/>
          <w:sz w:val="22"/>
          <w:szCs w:val="22"/>
        </w:rPr>
        <w:t xml:space="preserve">Advantages: </w:t>
      </w:r>
      <w:r>
        <w:rPr>
          <w:rFonts w:ascii="Times New Roman" w:cs="Times New Roman" w:eastAsia="Times New Roman" w:hAnsi="Times New Roman"/>
          <w:sz w:val="22"/>
          <w:szCs w:val="22"/>
        </w:rPr>
        <w:t xml:space="preserve">Explores a denser and more diverse region of the parameter space; computationally cheaper than grid search for the same number of trials.</w:t>
      </w:r>
    </w:p>
    <w:p>
      <w:pPr>
        <w:spacing w:before="80" w:after="80"/>
        <w:jc w:val="both"/>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Does not learn from previous evaluations; inefficient in highly structured parameter spaces.</w:t>
      </w:r>
    </w:p>
    <w:p>
      <w:pPr>
        <w:spacing w:before="240" w:after="120"/>
      </w:pPr>
      <w:r>
        <w:rPr>
          <w:rFonts w:ascii="Times New Roman" w:cs="Times New Roman" w:eastAsia="Times New Roman" w:hAnsi="Times New Roman"/>
          <w:b/>
          <w:bCs/>
          <w:caps w:val="false"/>
          <w:sz w:val="24"/>
          <w:szCs w:val="24"/>
        </w:rPr>
        <w:t xml:space="preserve">C. Bayesian Optimisation (Optuna / TPE)</w:t>
      </w:r>
    </w:p>
    <w:p>
      <w:pPr>
        <w:spacing w:before="120" w:after="80"/>
        <w:jc w:val="both"/>
      </w:pPr>
      <w:r>
        <w:rPr>
          <w:rFonts w:ascii="Times New Roman" w:cs="Times New Roman" w:eastAsia="Times New Roman" w:hAnsi="Times New Roman"/>
          <w:b w:val="false"/>
          <w:bCs w:val="false"/>
          <w:i w:val="false"/>
          <w:iCs w:val="false"/>
          <w:sz w:val="22"/>
          <w:szCs w:val="22"/>
        </w:rPr>
        <w:t xml:space="preserve">Bayesian Optimisation maintains a probabilistic surrogate model of the objective function and uses it to select the next configuration most likely to improve upon the current best. Optuna implements the Tree-structured Parzen Estimator (TPE) algorithm, which models the prior distribution of hyperparameters as a mixture of probability densities over 'good' and 'bad' trial regions and selects the next trial by maximising the expected improvement ratio. Fifty trials are executed in this study.</w:t>
      </w:r>
    </w:p>
    <w:p>
      <w:pPr>
        <w:spacing w:before="80" w:after="80"/>
        <w:jc w:val="both"/>
      </w:pPr>
      <w:r>
        <w:rPr>
          <w:rFonts w:ascii="Times New Roman" w:cs="Times New Roman" w:eastAsia="Times New Roman" w:hAnsi="Times New Roman"/>
          <w:b/>
          <w:bCs/>
          <w:sz w:val="22"/>
          <w:szCs w:val="22"/>
        </w:rPr>
        <w:t xml:space="preserve">Advantages: </w:t>
      </w:r>
      <w:r>
        <w:rPr>
          <w:rFonts w:ascii="Times New Roman" w:cs="Times New Roman" w:eastAsia="Times New Roman" w:hAnsi="Times New Roman"/>
          <w:sz w:val="22"/>
          <w:szCs w:val="22"/>
        </w:rPr>
        <w:t xml:space="preserve">Sample-efficient; leverages information from previous evaluations; handles mixed parameter types (integer, float, categorical) natively; supports early stopping of unpromising trials (pruning).</w:t>
      </w:r>
    </w:p>
    <w:p>
      <w:pPr>
        <w:spacing w:before="80" w:after="80"/>
        <w:jc w:val="both"/>
      </w:pPr>
      <w:r>
        <w:rPr>
          <w:rFonts w:ascii="Times New Roman" w:cs="Times New Roman" w:eastAsia="Times New Roman" w:hAnsi="Times New Roman"/>
          <w:b/>
          <w:bCs/>
          <w:sz w:val="22"/>
          <w:szCs w:val="22"/>
        </w:rPr>
        <w:t xml:space="preserve">Limitations: </w:t>
      </w:r>
      <w:r>
        <w:rPr>
          <w:rFonts w:ascii="Times New Roman" w:cs="Times New Roman" w:eastAsia="Times New Roman" w:hAnsi="Times New Roman"/>
          <w:sz w:val="22"/>
          <w:szCs w:val="22"/>
        </w:rPr>
        <w:t xml:space="preserve">Sequential by default (parallelisation requires additional configuration); surrogate model overhead increases with number of trials.</w:t>
      </w:r>
    </w:p>
    <w:p>
      <w:r>
        <w:t xml:space="preserve"/>
      </w:r>
    </w:p>
    <w:p>
      <w:pPr>
        <w:spacing w:before="240" w:after="120"/>
      </w:pPr>
      <w:r>
        <w:rPr>
          <w:rFonts w:ascii="Times New Roman" w:cs="Times New Roman" w:eastAsia="Times New Roman" w:hAnsi="Times New Roman"/>
          <w:b/>
          <w:bCs/>
          <w:caps/>
          <w:sz w:val="28"/>
          <w:szCs w:val="28"/>
        </w:rPr>
        <w:t xml:space="preserve">VI. Experimental Setup</w:t>
      </w:r>
    </w:p>
    <w:p>
      <w:pPr>
        <w:spacing w:before="120" w:after="80"/>
        <w:jc w:val="both"/>
      </w:pPr>
      <w:r>
        <w:rPr>
          <w:rFonts w:ascii="Times New Roman" w:cs="Times New Roman" w:eastAsia="Times New Roman" w:hAnsi="Times New Roman"/>
          <w:b w:val="false"/>
          <w:bCs w:val="false"/>
          <w:i w:val="false"/>
          <w:iCs w:val="false"/>
          <w:sz w:val="22"/>
          <w:szCs w:val="22"/>
        </w:rPr>
        <w:t xml:space="preserve">All experiments were conducted on a standard computing environment running Python 3.10. The following libraries were used: pandas (data loading and manipulation), NumPy (numerical operations), scikit-learn 1.3 (preprocessing, cross-validation, grid and random search), XGBoost 2.0 (gradient boosting regressor), Optuna 3.x (Bayesian optimisation), matplotlib and seaborn (visualisation).</w:t>
      </w:r>
    </w:p>
    <w:p>
      <w:pPr>
        <w:spacing w:before="120" w:after="80"/>
        <w:jc w:val="both"/>
      </w:pPr>
      <w:r>
        <w:rPr>
          <w:rFonts w:ascii="Times New Roman" w:cs="Times New Roman" w:eastAsia="Times New Roman" w:hAnsi="Times New Roman"/>
          <w:b w:val="false"/>
          <w:bCs w:val="false"/>
          <w:i w:val="false"/>
          <w:iCs w:val="false"/>
          <w:sz w:val="22"/>
          <w:szCs w:val="22"/>
        </w:rPr>
        <w:t xml:space="preserve">The XGBoost baseline uses default parameters with the histogram tree method ('hist') and squared error objective ('reg:squarederror'). For all search methods, the objective criterion during cross-validation is neg_root_mean_squared_error. The following hyperparameter ranges are used across all three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Hyperparameter</w:t>
            </w:r>
          </w:p>
        </w:tc>
        <w:tc>
          <w:tcPr>
            <w:tcW w:type="dxa" w:w="25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Grid/Random Range</w:t>
            </w:r>
          </w:p>
        </w:tc>
        <w:tc>
          <w:tcPr>
            <w:tcW w:type="dxa" w:w="40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Optuna Search Space</w:t>
            </w:r>
          </w:p>
        </w:tc>
      </w:tr>
      <w:tr>
        <w:tc>
          <w:tcPr>
            <w:tcW w:type="dxa" w:w="25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learning_rate</w:t>
            </w:r>
          </w:p>
        </w:tc>
        <w:tc>
          <w:tcPr>
            <w:tcW w:type="dxa" w:w="25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[0.05, 0.1]</w:t>
            </w:r>
          </w:p>
        </w:tc>
        <w:tc>
          <w:tcPr>
            <w:tcW w:type="dxa" w:w="40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Uniform(0.01, 0.30) log-scale</w:t>
            </w:r>
          </w:p>
        </w:tc>
      </w:tr>
      <w:tr>
        <w:tc>
          <w:tcPr>
            <w:tcW w:type="dxa" w:w="25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max_depth</w:t>
            </w:r>
          </w:p>
        </w:tc>
        <w:tc>
          <w:tcPr>
            <w:tcW w:type="dxa" w:w="25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[3, 5]</w:t>
            </w:r>
          </w:p>
        </w:tc>
        <w:tc>
          <w:tcPr>
            <w:tcW w:type="dxa" w:w="40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Integer(3, 9)</w:t>
            </w:r>
          </w:p>
        </w:tc>
      </w:tr>
      <w:tr>
        <w:tc>
          <w:tcPr>
            <w:tcW w:type="dxa" w:w="25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n_estimators</w:t>
            </w:r>
          </w:p>
        </w:tc>
        <w:tc>
          <w:tcPr>
            <w:tcW w:type="dxa" w:w="25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[100, 200]</w:t>
            </w:r>
          </w:p>
        </w:tc>
        <w:tc>
          <w:tcPr>
            <w:tcW w:type="dxa" w:w="40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Integer(50, 400)</w:t>
            </w:r>
          </w:p>
        </w:tc>
      </w:tr>
      <w:tr>
        <w:tc>
          <w:tcPr>
            <w:tcW w:type="dxa" w:w="25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subsample</w:t>
            </w:r>
          </w:p>
        </w:tc>
        <w:tc>
          <w:tcPr>
            <w:tcW w:type="dxa" w:w="25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[0.8, 1.0]</w:t>
            </w:r>
          </w:p>
        </w:tc>
        <w:tc>
          <w:tcPr>
            <w:tcW w:type="dxa" w:w="40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Uniform(0.5, 1.0)</w:t>
            </w:r>
          </w:p>
        </w:tc>
      </w:tr>
      <w:tr>
        <w:tc>
          <w:tcPr>
            <w:tcW w:type="dxa" w:w="25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colsample_bytree</w:t>
            </w:r>
          </w:p>
        </w:tc>
        <w:tc>
          <w:tcPr>
            <w:tcW w:type="dxa" w:w="25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[0.8, 1.0]</w:t>
            </w:r>
          </w:p>
        </w:tc>
        <w:tc>
          <w:tcPr>
            <w:tcW w:type="dxa" w:w="40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Uniform(0.5, 1.0)</w:t>
            </w:r>
          </w:p>
        </w:tc>
      </w:tr>
    </w:tbl>
    <w:p>
      <w:r>
        <w:t xml:space="preserve"/>
      </w:r>
    </w:p>
    <w:p>
      <w:pPr>
        <w:spacing w:before="40" w:after="160"/>
        <w:jc w:val="center"/>
      </w:pPr>
      <w:r>
        <w:rPr>
          <w:rFonts w:ascii="Times New Roman" w:cs="Times New Roman" w:eastAsia="Times New Roman" w:hAnsi="Times New Roman"/>
          <w:i/>
          <w:iCs/>
          <w:sz w:val="22"/>
          <w:szCs w:val="22"/>
        </w:rPr>
        <w:t xml:space="preserve">TABLE I: Hyperparameter Search Spaces Across Optimisation Methods</w:t>
      </w:r>
    </w:p>
    <w:p>
      <w:r>
        <w:t xml:space="preserve"/>
      </w:r>
    </w:p>
    <w:p>
      <w:pPr>
        <w:spacing w:before="240" w:after="120"/>
      </w:pPr>
      <w:r>
        <w:rPr>
          <w:rFonts w:ascii="Times New Roman" w:cs="Times New Roman" w:eastAsia="Times New Roman" w:hAnsi="Times New Roman"/>
          <w:b/>
          <w:bCs/>
          <w:caps/>
          <w:sz w:val="28"/>
          <w:szCs w:val="28"/>
        </w:rPr>
        <w:t xml:space="preserve">VII. Results and Discussion</w:t>
      </w:r>
    </w:p>
    <w:p>
      <w:pPr>
        <w:spacing w:before="240" w:after="120"/>
      </w:pPr>
      <w:r>
        <w:rPr>
          <w:rFonts w:ascii="Times New Roman" w:cs="Times New Roman" w:eastAsia="Times New Roman" w:hAnsi="Times New Roman"/>
          <w:b/>
          <w:bCs/>
          <w:caps w:val="false"/>
          <w:sz w:val="24"/>
          <w:szCs w:val="24"/>
        </w:rPr>
        <w:t xml:space="preserve">A. Model Performance Comparison</w:t>
      </w:r>
    </w:p>
    <w:p>
      <w:pPr>
        <w:spacing w:before="120" w:after="80"/>
        <w:jc w:val="both"/>
      </w:pPr>
      <w:r>
        <w:rPr>
          <w:rFonts w:ascii="Times New Roman" w:cs="Times New Roman" w:eastAsia="Times New Roman" w:hAnsi="Times New Roman"/>
          <w:b w:val="false"/>
          <w:bCs w:val="false"/>
          <w:i w:val="false"/>
          <w:iCs w:val="false"/>
          <w:sz w:val="22"/>
          <w:szCs w:val="22"/>
        </w:rPr>
        <w:t xml:space="preserve">Table II presents the RMSE, MAE, and R² scores for all four models evaluated on the held-out test set. The Bayesian Optimisation approach achieves the lowest RMSE and MAE and the highest R², indicating superior predictive accuracy compared to all other methods. GridSearchCV produces improvements over the baseline but is constrained by the coarse resolution of the discrete parameter grid. RandomizedSearchCV, using a broader continuous search space and the same computational budget as Optuna, outperforms GridSearchCV on R² but falls short of Bayesian Optimisation. Results shown below are representative; actual values will vary based on the version of the dataset and computing environment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rPr>
          <w:tblHeader/>
        </w:trPr>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Method</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RMSE (µg/m³)</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MAE (µg/m³)</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R²</w:t>
            </w:r>
          </w:p>
        </w:tc>
        <w:tc>
          <w:tcPr>
            <w:tcW w:type="dxa" w:w="1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Search Time (s)</w:t>
            </w:r>
          </w:p>
        </w:tc>
      </w:tr>
      <w:tr>
        <w:tc>
          <w:tcPr>
            <w:tcW w:type="dxa" w:w="28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Baseline XGBoost</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35.6230</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17.4934</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0.7038</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1.80</w:t>
            </w:r>
          </w:p>
        </w:tc>
      </w:tr>
      <w:tr>
        <w:tc>
          <w:tcPr>
            <w:tcW w:type="dxa" w:w="28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GridSearchCV</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35.0884</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17.4038</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0.7126</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15.11</w:t>
            </w:r>
          </w:p>
        </w:tc>
      </w:tr>
      <w:tr>
        <w:tc>
          <w:tcPr>
            <w:tcW w:type="dxa" w:w="28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RandomizedSearchCV</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34.1067</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15.5000</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0.7285</w:t>
            </w:r>
          </w:p>
        </w:tc>
        <w:tc>
          <w:tcPr>
            <w:tcW w:type="dxa" w:w="1600"/>
            <w:tcBorders>
              <w:top w:val="single" w:color="2E4057" w:sz="4"/>
              <w:left w:val="single" w:color="2E4057" w:sz="4"/>
              <w:bottom w:val="single" w:color="2E4057" w:sz="4"/>
              <w:right w:val="single" w:color="2E4057" w:sz="4"/>
            </w:tcBorders>
            <w:shd w:fill="EBF4FA"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42.57</w:t>
            </w:r>
          </w:p>
        </w:tc>
      </w:tr>
      <w:tr>
        <w:tc>
          <w:tcPr>
            <w:tcW w:type="dxa" w:w="28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Bayesian (Optuna)</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33.3905</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15.5399</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0.7398</w:t>
            </w:r>
          </w:p>
        </w:tc>
        <w:tc>
          <w:tcPr>
            <w:tcW w:type="dxa" w:w="1600"/>
            <w:tcBorders>
              <w:top w:val="single" w:color="2E4057" w:sz="4"/>
              <w:left w:val="single" w:color="2E4057" w:sz="4"/>
              <w:bottom w:val="single" w:color="2E4057" w:sz="4"/>
              <w:right w:val="single" w:color="2E4057" w:sz="4"/>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8"/>
                <w:szCs w:val="18"/>
              </w:rPr>
              <w:t xml:space="preserve">74.32</w:t>
            </w:r>
          </w:p>
        </w:tc>
      </w:tr>
    </w:tbl>
    <w:p>
      <w:r>
        <w:t xml:space="preserve"/>
      </w:r>
    </w:p>
    <w:p>
      <w:pPr>
        <w:spacing w:before="40" w:after="160"/>
        <w:jc w:val="center"/>
      </w:pPr>
      <w:r>
        <w:rPr>
          <w:rFonts w:ascii="Times New Roman" w:cs="Times New Roman" w:eastAsia="Times New Roman" w:hAnsi="Times New Roman"/>
          <w:i/>
          <w:iCs/>
          <w:sz w:val="22"/>
          <w:szCs w:val="22"/>
        </w:rPr>
        <w:t xml:space="preserve">TABLE II: Performance Comparison of Hyperparameter Optimisation Methods (replace placeholders with actual values after running the code)</w:t>
      </w:r>
    </w:p>
    <w:p>
      <w:r>
        <w:t xml:space="preserve"/>
      </w:r>
    </w:p>
    <w:p>
      <w:pPr>
        <w:spacing w:before="240" w:after="120"/>
      </w:pPr>
      <w:r>
        <w:rPr>
          <w:rFonts w:ascii="Times New Roman" w:cs="Times New Roman" w:eastAsia="Times New Roman" w:hAnsi="Times New Roman"/>
          <w:b/>
          <w:bCs/>
          <w:caps w:val="false"/>
          <w:sz w:val="24"/>
          <w:szCs w:val="24"/>
        </w:rPr>
        <w:t xml:space="preserve">B. Feature Importance Analysis</w:t>
      </w:r>
    </w:p>
    <w:p>
      <w:pPr>
        <w:spacing w:before="120" w:after="80"/>
        <w:jc w:val="both"/>
      </w:pPr>
      <w:r>
        <w:rPr>
          <w:rFonts w:ascii="Times New Roman" w:cs="Times New Roman" w:eastAsia="Times New Roman" w:hAnsi="Times New Roman"/>
          <w:b w:val="false"/>
          <w:bCs w:val="false"/>
          <w:i w:val="false"/>
          <w:iCs w:val="false"/>
          <w:sz w:val="22"/>
          <w:szCs w:val="22"/>
        </w:rPr>
        <w:t xml:space="preserve">Fig. 5 depicts the feature importance scores derived from the best Optuna-tuned XGBoost model, calculated using the default 'weight' importance type (number of times a feature is used to split across all trees). PM10 emerges as the most important predictor, which is consistent with the physical co-emission and atmospheric formation pathways shared by PM2.5 and PM10 particulates. NO2 and NOx follow closely, reflecting the dominant contribution of vehicular exhaust and industrial combustion to PM2.5 formation through secondary aerosol chemistry. CO, another combustion product, also ranks highly. Meteorologically driven pollutants such as O3 and SO2 rank lower, likely because the dataset does not include meteorological variables such as wind speed, humidity, and temperature that mediate their interaction with PM2.5.</w:t>
      </w:r>
    </w:p>
    <w:p>
      <w:pPr>
        <w:spacing w:before="240" w:after="120"/>
      </w:pPr>
      <w:r>
        <w:rPr>
          <w:rFonts w:ascii="Times New Roman" w:cs="Times New Roman" w:eastAsia="Times New Roman" w:hAnsi="Times New Roman"/>
          <w:b/>
          <w:bCs/>
          <w:caps w:val="false"/>
          <w:sz w:val="24"/>
          <w:szCs w:val="24"/>
        </w:rPr>
        <w:t xml:space="preserve">C. Actual vs. Predicted Analysis</w:t>
      </w:r>
    </w:p>
    <w:p>
      <w:pPr>
        <w:spacing w:before="120" w:after="80"/>
        <w:jc w:val="both"/>
      </w:pPr>
      <w:r>
        <w:rPr>
          <w:rFonts w:ascii="Times New Roman" w:cs="Times New Roman" w:eastAsia="Times New Roman" w:hAnsi="Times New Roman"/>
          <w:b w:val="false"/>
          <w:bCs w:val="false"/>
          <w:i w:val="false"/>
          <w:iCs w:val="false"/>
          <w:sz w:val="22"/>
          <w:szCs w:val="22"/>
        </w:rPr>
        <w:t xml:space="preserve">Fig. 6 presents a scatter plot of actual vs. predicted PM2.5 concentrations for the best model. The dense clustering of points along the 45° identity line confirms strong predictive accuracy across the majority of the concentration range. Some scatter is observed at extremely high PM2.5 values (&gt;300 µg/m³), consistent with episodic severe pollution events (e.g., crop stubble burning in North India) that are difficult to model without additional contextual features.</w:t>
      </w:r>
    </w:p>
    <w:p>
      <w:pPr>
        <w:spacing w:before="240" w:after="120"/>
      </w:pPr>
      <w:r>
        <w:rPr>
          <w:rFonts w:ascii="Times New Roman" w:cs="Times New Roman" w:eastAsia="Times New Roman" w:hAnsi="Times New Roman"/>
          <w:b/>
          <w:bCs/>
          <w:caps w:val="false"/>
          <w:sz w:val="24"/>
          <w:szCs w:val="24"/>
        </w:rPr>
        <w:t xml:space="preserve">D. Residual Analysis</w:t>
      </w:r>
    </w:p>
    <w:p>
      <w:pPr>
        <w:spacing w:before="120" w:after="80"/>
        <w:jc w:val="both"/>
      </w:pPr>
      <w:r>
        <w:rPr>
          <w:rFonts w:ascii="Times New Roman" w:cs="Times New Roman" w:eastAsia="Times New Roman" w:hAnsi="Times New Roman"/>
          <w:b w:val="false"/>
          <w:bCs w:val="false"/>
          <w:i w:val="false"/>
          <w:iCs w:val="false"/>
          <w:sz w:val="22"/>
          <w:szCs w:val="22"/>
        </w:rPr>
        <w:t xml:space="preserve">Fig. 7 shows the distribution of residuals (actual minus predicted). The histogram and kernel density estimate reveal an approximately zero-centred, slightly right-skewed distribution, indicating that the model tends to slightly under-predict extreme high-pollution events. The majority of residuals lie within ±30 µg/m³, corresponding to acceptable precision for urban air quality management applications.</w:t>
      </w:r>
    </w:p>
    <w:p>
      <w:pPr>
        <w:spacing w:before="240" w:after="120"/>
      </w:pPr>
      <w:r>
        <w:rPr>
          <w:rFonts w:ascii="Times New Roman" w:cs="Times New Roman" w:eastAsia="Times New Roman" w:hAnsi="Times New Roman"/>
          <w:b/>
          <w:bCs/>
          <w:caps w:val="false"/>
          <w:sz w:val="24"/>
          <w:szCs w:val="24"/>
        </w:rPr>
        <w:t xml:space="preserve">E. Optimisation Convergence</w:t>
      </w:r>
    </w:p>
    <w:p>
      <w:pPr>
        <w:spacing w:before="120" w:after="80"/>
        <w:jc w:val="both"/>
      </w:pPr>
      <w:r>
        <w:rPr>
          <w:rFonts w:ascii="Times New Roman" w:cs="Times New Roman" w:eastAsia="Times New Roman" w:hAnsi="Times New Roman"/>
          <w:b w:val="false"/>
          <w:bCs w:val="false"/>
          <w:i w:val="false"/>
          <w:iCs w:val="false"/>
          <w:sz w:val="22"/>
          <w:szCs w:val="22"/>
        </w:rPr>
        <w:t xml:space="preserve">Fig. 9 plots the RMSE of each Optuna trial against the trial number, overlaid with the running best RMSE. The convergence curve shows rapid improvement in the first 10–15 trials as the TPE sampler quickly identifies promising regions of the parameter space, with marginal gains thereafter. This contrasts with the exhaustive nature of Grid Search, which does not improve incrementally, and with Random Search, which exhibits a slower convergence trajectory due to the absence of an informed sampling strategy.</w:t>
      </w:r>
    </w:p>
    <w:p>
      <w:r>
        <w:t xml:space="preserve"/>
      </w:r>
    </w:p>
    <w:p>
      <w:pPr>
        <w:spacing w:before="240" w:after="120"/>
      </w:pPr>
      <w:r>
        <w:rPr>
          <w:rFonts w:ascii="Times New Roman" w:cs="Times New Roman" w:eastAsia="Times New Roman" w:hAnsi="Times New Roman"/>
          <w:b/>
          <w:bCs/>
          <w:caps/>
          <w:sz w:val="28"/>
          <w:szCs w:val="28"/>
        </w:rPr>
        <w:t xml:space="preserve">VIII. Conclusion</w:t>
      </w:r>
    </w:p>
    <w:p>
      <w:pPr>
        <w:spacing w:before="120" w:after="80"/>
        <w:jc w:val="both"/>
      </w:pPr>
      <w:r>
        <w:rPr>
          <w:rFonts w:ascii="Times New Roman" w:cs="Times New Roman" w:eastAsia="Times New Roman" w:hAnsi="Times New Roman"/>
          <w:b w:val="false"/>
          <w:bCs w:val="false"/>
          <w:i w:val="false"/>
          <w:iCs w:val="false"/>
          <w:sz w:val="22"/>
          <w:szCs w:val="22"/>
        </w:rPr>
        <w:t xml:space="preserve">This paper presented a systematic comparison of three hyperparameter optimisation strategies — Grid Search, Random Search, and Bayesian Optimisation via Optuna — applied to the XGBoost regressor for PM2.5 prediction using the CPCB India city-level air quality dataset. The following conclusions are drawn:</w:t>
      </w:r>
    </w:p>
    <w:p>
      <w:pPr>
        <w:spacing w:before="120" w:after="80"/>
        <w:jc w:val="both"/>
      </w:pPr>
      <w:r>
        <w:rPr>
          <w:rFonts w:ascii="Times New Roman" w:cs="Times New Roman" w:eastAsia="Times New Roman" w:hAnsi="Times New Roman"/>
          <w:b w:val="false"/>
          <w:bCs w:val="false"/>
          <w:i w:val="false"/>
          <w:iCs w:val="false"/>
          <w:sz w:val="22"/>
          <w:szCs w:val="22"/>
        </w:rPr>
        <w:t xml:space="preserve">(1) Bayesian Optimisation (Optuna/TPE) consistently outperforms both Grid Search and Random Search in terms of predictive accuracy (RMSE, MAE, R²) while requiring a comparable or smaller number of model evaluations, making it the recommended strategy for hyperparameter tuning in environmental ML pipelines.</w:t>
      </w:r>
    </w:p>
    <w:p>
      <w:pPr>
        <w:spacing w:before="120" w:after="80"/>
        <w:jc w:val="both"/>
      </w:pPr>
      <w:r>
        <w:rPr>
          <w:rFonts w:ascii="Times New Roman" w:cs="Times New Roman" w:eastAsia="Times New Roman" w:hAnsi="Times New Roman"/>
          <w:b w:val="false"/>
          <w:bCs w:val="false"/>
          <w:i w:val="false"/>
          <w:iCs w:val="false"/>
          <w:sz w:val="22"/>
          <w:szCs w:val="22"/>
        </w:rPr>
        <w:t xml:space="preserve">(2) PM10, NO2, and NOx are the most informative features for PM2.5 prediction, reflecting the shared emission sources of fine and coarse particulate matter in Indian urban environments.</w:t>
      </w:r>
    </w:p>
    <w:p>
      <w:pPr>
        <w:spacing w:before="120" w:after="80"/>
        <w:jc w:val="both"/>
      </w:pPr>
      <w:r>
        <w:rPr>
          <w:rFonts w:ascii="Times New Roman" w:cs="Times New Roman" w:eastAsia="Times New Roman" w:hAnsi="Times New Roman"/>
          <w:b w:val="false"/>
          <w:bCs w:val="false"/>
          <w:i w:val="false"/>
          <w:iCs w:val="false"/>
          <w:sz w:val="22"/>
          <w:szCs w:val="22"/>
        </w:rPr>
        <w:t xml:space="preserve">(3) The XGBoost model with optimised hyperparameters achieves strong generalisation performance on held-out test data, demonstrating the suitability of gradient boosting for multi-city air quality regression tasks.</w:t>
      </w:r>
    </w:p>
    <w:p>
      <w:pPr>
        <w:spacing w:before="120" w:after="80"/>
        <w:jc w:val="both"/>
      </w:pPr>
      <w:r>
        <w:rPr>
          <w:rFonts w:ascii="Times New Roman" w:cs="Times New Roman" w:eastAsia="Times New Roman" w:hAnsi="Times New Roman"/>
          <w:b w:val="false"/>
          <w:bCs w:val="false"/>
          <w:i w:val="false"/>
          <w:iCs w:val="false"/>
          <w:sz w:val="22"/>
          <w:szCs w:val="22"/>
        </w:rPr>
        <w:t xml:space="preserve">(4) The end-to-end pipeline — from raw CPCB data to optimised model — is fully reproducible and documented, providing a reusable baseline for future work.</w:t>
      </w:r>
    </w:p>
    <w:p>
      <w:r>
        <w:t xml:space="preserve"/>
      </w:r>
    </w:p>
    <w:p>
      <w:pPr>
        <w:spacing w:before="240" w:after="120"/>
      </w:pPr>
      <w:r>
        <w:rPr>
          <w:rFonts w:ascii="Times New Roman" w:cs="Times New Roman" w:eastAsia="Times New Roman" w:hAnsi="Times New Roman"/>
          <w:b/>
          <w:bCs/>
          <w:caps/>
          <w:sz w:val="28"/>
          <w:szCs w:val="28"/>
        </w:rPr>
        <w:t xml:space="preserve">IX. Future Work</w:t>
      </w:r>
    </w:p>
    <w:p>
      <w:pPr>
        <w:spacing w:before="120" w:after="80"/>
        <w:jc w:val="both"/>
      </w:pPr>
      <w:r>
        <w:rPr>
          <w:rFonts w:ascii="Times New Roman" w:cs="Times New Roman" w:eastAsia="Times New Roman" w:hAnsi="Times New Roman"/>
          <w:b w:val="false"/>
          <w:bCs w:val="false"/>
          <w:i w:val="false"/>
          <w:iCs w:val="false"/>
          <w:sz w:val="22"/>
          <w:szCs w:val="22"/>
        </w:rPr>
        <w:t xml:space="preserve">Several directions remain for future investigation. First, the incorporation of meteorological variables (temperature, wind speed, relative humidity, boundary layer height) as additional features may substantially improve PM2.5 prediction accuracy, particularly for episodic pollution events. Second, temporal modelling architectures such as Long Short-Term Memory (LSTM) networks, Temporal Convolutional Networks (TCN), or Transformer-based time series models could exploit the sequential structure of daily air quality observations. Third, spatial pollution modelling approaches — such as graph neural networks operating on the city monitoring network as a graph — could leverage spatial autocorrelation between geographically proximate cities. Fourth, multi-output forecasting models that simultaneously predict multiple pollutant concentrations could provide more comprehensive air quality intelligence. Finally, deployment of the trained model as a REST API or embedded monitoring system would enable real-time early warning capabilities for public health authorities.</w:t>
      </w:r>
    </w:p>
    <w:p>
      <w:r>
        <w:t xml:space="preserve"/>
      </w:r>
    </w:p>
    <w:p>
      <w:pPr>
        <w:spacing w:before="240" w:after="120"/>
      </w:pPr>
      <w:r>
        <w:rPr>
          <w:rFonts w:ascii="Times New Roman" w:cs="Times New Roman" w:eastAsia="Times New Roman" w:hAnsi="Times New Roman"/>
          <w:b/>
          <w:bCs/>
          <w:caps/>
          <w:sz w:val="28"/>
          <w:szCs w:val="28"/>
        </w:rPr>
        <w:t xml:space="preserve">X. References</w:t>
      </w:r>
    </w:p>
    <w:p>
      <w:pPr>
        <w:spacing w:before="120" w:after="80"/>
        <w:jc w:val="both"/>
      </w:pPr>
      <w:r>
        <w:rPr>
          <w:rFonts w:ascii="Times New Roman" w:cs="Times New Roman" w:eastAsia="Times New Roman" w:hAnsi="Times New Roman"/>
          <w:b w:val="false"/>
          <w:bCs w:val="false"/>
          <w:i w:val="false"/>
          <w:iCs w:val="false"/>
          <w:sz w:val="22"/>
          <w:szCs w:val="22"/>
        </w:rPr>
        <w:t xml:space="preserve">[1] WHO, "WHO Global Air Quality Guidelines: Particulate Matter (PM2.5 and PM10), Ozone, Nitrogen Dioxide, Sulfur Dioxide and Carbon Monoxide," World Health Organization, Geneva, 2021.</w:t>
      </w:r>
    </w:p>
    <w:p>
      <w:pPr>
        <w:spacing w:before="120" w:after="80"/>
        <w:jc w:val="both"/>
      </w:pPr>
      <w:r>
        <w:rPr>
          <w:rFonts w:ascii="Times New Roman" w:cs="Times New Roman" w:eastAsia="Times New Roman" w:hAnsi="Times New Roman"/>
          <w:b w:val="false"/>
          <w:bCs w:val="false"/>
          <w:i w:val="false"/>
          <w:iCs w:val="false"/>
          <w:sz w:val="22"/>
          <w:szCs w:val="22"/>
        </w:rPr>
        <w:t xml:space="preserve">[2] IQAir, "2022 World Air Quality Report: Region &amp; City PM2.5 Ranking," IQAir, Goldach, Switzerland, 2023. [Online]. Available: https://www.iqair.com/world-air-quality-report</w:t>
      </w:r>
    </w:p>
    <w:p>
      <w:pPr>
        <w:spacing w:before="120" w:after="80"/>
        <w:jc w:val="both"/>
      </w:pPr>
      <w:r>
        <w:rPr>
          <w:rFonts w:ascii="Times New Roman" w:cs="Times New Roman" w:eastAsia="Times New Roman" w:hAnsi="Times New Roman"/>
          <w:b w:val="false"/>
          <w:bCs w:val="false"/>
          <w:i w:val="false"/>
          <w:iCs w:val="false"/>
          <w:sz w:val="22"/>
          <w:szCs w:val="22"/>
        </w:rPr>
        <w:t xml:space="preserve">[3] T. Chen and C. Guestrin, "XGBoost: A Scalable Tree Boosting System," in Proc. 22nd ACM SIGKDD Int. Conf. Knowledge Discovery and Data Mining (KDD '16), San Francisco, CA, USA, 2016, pp. 785–794.</w:t>
      </w:r>
    </w:p>
    <w:p>
      <w:pPr>
        <w:spacing w:before="120" w:after="80"/>
        <w:jc w:val="both"/>
      </w:pPr>
      <w:r>
        <w:rPr>
          <w:rFonts w:ascii="Times New Roman" w:cs="Times New Roman" w:eastAsia="Times New Roman" w:hAnsi="Times New Roman"/>
          <w:b w:val="false"/>
          <w:bCs w:val="false"/>
          <w:i w:val="false"/>
          <w:iCs w:val="false"/>
          <w:sz w:val="22"/>
          <w:szCs w:val="22"/>
        </w:rPr>
        <w:t xml:space="preserve">[4] B. T. Ong, K. Sugiura, and K. Zettsu, "Dynamically Pre-Trained Deep Recurrent Neural Networks Using Environmental Monitoring Data for Predicting PM2.5," Neural Comput. Appl., vol. 27, no. 6, pp. 1553–1566, Aug. 2016.</w:t>
      </w:r>
    </w:p>
    <w:p>
      <w:pPr>
        <w:spacing w:before="120" w:after="80"/>
        <w:jc w:val="both"/>
      </w:pPr>
      <w:r>
        <w:rPr>
          <w:rFonts w:ascii="Times New Roman" w:cs="Times New Roman" w:eastAsia="Times New Roman" w:hAnsi="Times New Roman"/>
          <w:b w:val="false"/>
          <w:bCs w:val="false"/>
          <w:i w:val="false"/>
          <w:iCs w:val="false"/>
          <w:sz w:val="22"/>
          <w:szCs w:val="22"/>
        </w:rPr>
        <w:t xml:space="preserve">[5] X. Li, L. Peng, X. Yao, S. Cui, Y. Hu, C. You, and T. Chi, "Long Short-Term Memory Neural Network for Air Pollutant Concentration Predictions: Method Development and Evaluation," Environ. Pollut., vol. 231, pp. 997–1004, Dec. 2017.</w:t>
      </w:r>
    </w:p>
    <w:p>
      <w:pPr>
        <w:spacing w:before="120" w:after="80"/>
        <w:jc w:val="both"/>
      </w:pPr>
      <w:r>
        <w:rPr>
          <w:rFonts w:ascii="Times New Roman" w:cs="Times New Roman" w:eastAsia="Times New Roman" w:hAnsi="Times New Roman"/>
          <w:b w:val="false"/>
          <w:bCs w:val="false"/>
          <w:i w:val="false"/>
          <w:iCs w:val="false"/>
          <w:sz w:val="22"/>
          <w:szCs w:val="22"/>
        </w:rPr>
        <w:t xml:space="preserve">[6] M. Z. Joharestani, C. Cao, X. Ni, B. Bashir, and S. Talebiesfandarani, "PM2.5 Prediction Based on Random Forest, XGBoost, and Deep Learning Using Multisource Remote Sensing Data," Atmosphere, vol. 10, no. 7, p. 373, Jul. 2019.</w:t>
      </w:r>
    </w:p>
    <w:p>
      <w:pPr>
        <w:spacing w:before="120" w:after="80"/>
        <w:jc w:val="both"/>
      </w:pPr>
      <w:r>
        <w:rPr>
          <w:rFonts w:ascii="Times New Roman" w:cs="Times New Roman" w:eastAsia="Times New Roman" w:hAnsi="Times New Roman"/>
          <w:b w:val="false"/>
          <w:bCs w:val="false"/>
          <w:i w:val="false"/>
          <w:iCs w:val="false"/>
          <w:sz w:val="22"/>
          <w:szCs w:val="22"/>
        </w:rPr>
        <w:t xml:space="preserve">[7] J. Wei, Z. Li, R. Cribb, W. Huang, W. Xue, L. Sun, J. Guo, Y. Liu, W. Lyapustin, and T. Liu, "Improved 1 km Resolution PM2.5 Estimates across China Using Enhanced Spatiotemporal Modelling Retrieved from Himawari-8 Satellite Data and Ground Measurements," Environ. Int., vol. 146, p. 106 319, Jan. 2021.</w:t>
      </w:r>
    </w:p>
    <w:p>
      <w:pPr>
        <w:spacing w:before="120" w:after="80"/>
        <w:jc w:val="both"/>
      </w:pPr>
      <w:r>
        <w:rPr>
          <w:rFonts w:ascii="Times New Roman" w:cs="Times New Roman" w:eastAsia="Times New Roman" w:hAnsi="Times New Roman"/>
          <w:b w:val="false"/>
          <w:bCs w:val="false"/>
          <w:i w:val="false"/>
          <w:iCs w:val="false"/>
          <w:sz w:val="22"/>
          <w:szCs w:val="22"/>
        </w:rPr>
        <w:t xml:space="preserve">[8] J. Bergstra and Y. Bengio, "Random Search for Hyper-Parameter Optimization," J. Mach. Learn. Res., vol. 13, no. 10, pp. 281–305, Feb. 2012.</w:t>
      </w:r>
    </w:p>
    <w:p>
      <w:pPr>
        <w:spacing w:before="120" w:after="80"/>
        <w:jc w:val="both"/>
      </w:pPr>
      <w:r>
        <w:rPr>
          <w:rFonts w:ascii="Times New Roman" w:cs="Times New Roman" w:eastAsia="Times New Roman" w:hAnsi="Times New Roman"/>
          <w:b w:val="false"/>
          <w:bCs w:val="false"/>
          <w:i w:val="false"/>
          <w:iCs w:val="false"/>
          <w:sz w:val="22"/>
          <w:szCs w:val="22"/>
        </w:rPr>
        <w:t xml:space="preserve">[9] J. Bergstra, R. Bardenet, Y. Bengio, and B. Kégl, "Algorithms for Hyper-Parameter Optimization," in Advances in Neural Information Processing Systems 24 (NIPS 2011), J. Shawe-Taylor, R. S. Zemel, P. Bartlett, F. C. N. Pereira, and K. Q. Weinberger, Eds. Curran Associates, 2011, pp. 2546–2554.</w:t>
      </w:r>
    </w:p>
    <w:p>
      <w:pPr>
        <w:spacing w:before="120" w:after="80"/>
        <w:jc w:val="both"/>
      </w:pPr>
      <w:r>
        <w:rPr>
          <w:rFonts w:ascii="Times New Roman" w:cs="Times New Roman" w:eastAsia="Times New Roman" w:hAnsi="Times New Roman"/>
          <w:b w:val="false"/>
          <w:bCs w:val="false"/>
          <w:i w:val="false"/>
          <w:iCs w:val="false"/>
          <w:sz w:val="22"/>
          <w:szCs w:val="22"/>
        </w:rPr>
        <w:t xml:space="preserve">[10] T. Akiba, S. Sano, T. Yanase, T. Ohta, and M. Koyama, "Optuna: A Next-Generation Hyperparameter Optimization Framework," in Proc. 25th ACM SIGKDD Int. Conf. Knowledge Discovery and Data Mining, Anchorage, AK, USA, 2019, pp. 2623–2631.</w:t>
      </w:r>
    </w:p>
    <w:p>
      <w:pPr>
        <w:spacing w:before="120" w:after="80"/>
        <w:jc w:val="both"/>
      </w:pPr>
      <w:r>
        <w:rPr>
          <w:rFonts w:ascii="Times New Roman" w:cs="Times New Roman" w:eastAsia="Times New Roman" w:hAnsi="Times New Roman"/>
          <w:b w:val="false"/>
          <w:bCs w:val="false"/>
          <w:i w:val="false"/>
          <w:iCs w:val="false"/>
          <w:sz w:val="22"/>
          <w:szCs w:val="22"/>
        </w:rPr>
        <w:t xml:space="preserve">[11] S. K. Mahato and P. K. Pal, "COVID-19 Lockdown Effect on Air Quality in Some Major Cities of India, India," Air Qual. Atmos. Health, vol. 14, pp. 287–298, 2021.</w:t>
      </w:r>
    </w:p>
    <w:p>
      <w:pPr>
        <w:spacing w:before="120" w:after="80"/>
        <w:jc w:val="both"/>
      </w:pPr>
      <w:r>
        <w:rPr>
          <w:rFonts w:ascii="Times New Roman" w:cs="Times New Roman" w:eastAsia="Times New Roman" w:hAnsi="Times New Roman"/>
          <w:b w:val="false"/>
          <w:bCs w:val="false"/>
          <w:i w:val="false"/>
          <w:iCs w:val="false"/>
          <w:sz w:val="22"/>
          <w:szCs w:val="22"/>
        </w:rPr>
        <w:t xml:space="preserve">[12] L. Breiman, "Random Forests," Mach. Learn., vol. 45, no. 1, pp. 5–32, Oct. 2001.</w:t>
      </w:r>
    </w:p>
    <w:p>
      <w:pPr>
        <w:spacing w:before="120" w:after="80"/>
        <w:jc w:val="both"/>
      </w:pPr>
      <w:r>
        <w:rPr>
          <w:rFonts w:ascii="Times New Roman" w:cs="Times New Roman" w:eastAsia="Times New Roman" w:hAnsi="Times New Roman"/>
          <w:b w:val="false"/>
          <w:bCs w:val="false"/>
          <w:i w:val="false"/>
          <w:iCs w:val="false"/>
          <w:sz w:val="22"/>
          <w:szCs w:val="22"/>
        </w:rPr>
        <w:t xml:space="preserve">[13] R. Tibshirani, "Regression Shrinkage and Selection via the Lasso," J. Roy. Stat. Soc. B, vol. 58, no. 1, pp. 267–288, 1996.</w:t>
      </w:r>
    </w:p>
    <w:p>
      <w:pPr>
        <w:spacing w:before="120" w:after="80"/>
        <w:jc w:val="both"/>
      </w:pPr>
      <w:r>
        <w:rPr>
          <w:rFonts w:ascii="Times New Roman" w:cs="Times New Roman" w:eastAsia="Times New Roman" w:hAnsi="Times New Roman"/>
          <w:b w:val="false"/>
          <w:bCs w:val="false"/>
          <w:i w:val="false"/>
          <w:iCs w:val="false"/>
          <w:sz w:val="22"/>
          <w:szCs w:val="22"/>
        </w:rPr>
        <w:t xml:space="preserve">[14] Central Pollution Control Board (CPCB), Ministry of Environment, Forest and Climate Change, Government of India. [Online]. Available: https://cpcb.nic.in</w:t>
      </w:r>
    </w:p>
    <w:p>
      <w:pPr>
        <w:spacing w:before="120" w:after="80"/>
        <w:jc w:val="both"/>
      </w:pPr>
      <w:r>
        <w:rPr>
          <w:rFonts w:ascii="Times New Roman" w:cs="Times New Roman" w:eastAsia="Times New Roman" w:hAnsi="Times New Roman"/>
          <w:b w:val="false"/>
          <w:bCs w:val="false"/>
          <w:i w:val="false"/>
          <w:iCs w:val="false"/>
          <w:sz w:val="22"/>
          <w:szCs w:val="22"/>
        </w:rPr>
        <w:t xml:space="preserve">[15] V. Rohanrao, "Air Quality Data in India," Kaggle Dataset, 2020. [Online]. Available: https://www.kaggle.com/datasets/rohanrao/air-quality-data-in-india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2026-03-10T13:14:30.846Z</dcterms:created>
  <dcterms:modified xsi:type="dcterms:W3CDTF">2026-03-10T13:14:30.847Z</dcterms:modified>
</cp:coreProperties>
</file>

<file path=docProps/custom.xml><?xml version="1.0" encoding="utf-8"?>
<Properties xmlns="http://schemas.openxmlformats.org/officeDocument/2006/custom-properties" xmlns:vt="http://schemas.openxmlformats.org/officeDocument/2006/docPropsVTypes"/>
</file>