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hd w:val="clear" w:color="auto" w:fill="E8F5F1"/>
      </w:pPr>
      <w:r>
        <w:rPr>
          <w:sz w:val="12"/>
        </w:rPr>
        <w:br/>
      </w:r>
    </w:p>
    <w:p>
      <w:pPr>
        <w:jc w:val="center"/>
        <w:shd w:val="clear" w:color="auto" w:fill="E8F5F1"/>
      </w:pPr>
      <w:r>
        <w:rPr>
          <w:b/>
          <w:i w:val="0"/>
          <w:color w:val="0F9D77"/>
          <w:sz w:val="56"/>
          <w:u w:val="none"/>
        </w:rPr>
        <w:t>OMRA HEALTH APP</w:t>
      </w:r>
    </w:p>
    <w:p>
      <w:pPr>
        <w:jc w:val="center"/>
        <w:shd w:val="clear" w:color="auto" w:fill="E8F5F1"/>
      </w:pPr>
      <w:r>
        <w:rPr>
          <w:b w:val="0"/>
          <w:i w:val="0"/>
          <w:color w:val="111827"/>
          <w:sz w:val="28"/>
          <w:u w:val="none"/>
        </w:rPr>
        <w:t>Business Model Report — Bangladesh Perspective</w:t>
      </w:r>
    </w:p>
    <w:p>
      <w:pPr>
        <w:jc w:val="center"/>
        <w:shd w:val="clear" w:color="auto" w:fill="E8F5F1"/>
      </w:pPr>
      <w:r>
        <w:rPr>
          <w:b w:val="0"/>
          <w:i/>
          <w:color w:val="6B7280"/>
          <w:sz w:val="20"/>
          <w:u w:val="none"/>
        </w:rPr>
        <w:t>May 2026  |  Exploration Work  |  Confidential</w:t>
      </w:r>
    </w:p>
    <w:p>
      <w:pPr>
        <w:jc w:val="center"/>
        <w:shd w:val="clear" w:color="auto" w:fill="E8F5F1"/>
      </w:pPr>
      <w:r>
        <w:rPr>
          <w:sz w:val="12"/>
        </w:rPr>
        <w:br/>
      </w:r>
    </w:p>
    <w:p>
      <w:r>
        <w:br w:type="page"/>
      </w:r>
    </w:p>
    <w:p>
      <w:pPr>
        <w:spacing w:before="360" w:after="80"/>
        <w:pBdr>
          <w:bottom w:val="single" w:sz="12" w:space="4" w:color="0F9D77"/>
        </w:pBdr>
      </w:pPr>
      <w:r>
        <w:rPr>
          <w:b/>
          <w:i w:val="0"/>
          <w:color w:val="0F9D77"/>
          <w:sz w:val="28"/>
          <w:u w:val="none"/>
        </w:rPr>
        <w:t>1.  Executive Summary</w:t>
      </w:r>
    </w:p>
    <w:p>
      <w:pPr>
        <w:spacing w:after="120"/>
      </w:pPr>
      <w:r>
        <w:rPr>
          <w:b w:val="0"/>
          <w:i w:val="0"/>
          <w:color w:val="111827"/>
          <w:sz w:val="21"/>
          <w:u w:val="none"/>
        </w:rPr>
        <w:t>Omra is a three-portal health management app serving patients, doctors, and family members. This report outlines viable business models for Omra in the context of Bangladesh — a country of 170 million people facing an acute doctor shortage (7 per 10,000 vs. WHO recommendation of 23), a surging burden of chronic disease, and a rapidly growing digital health market projected to reach USD 849 million by 2029.</w:t>
      </w:r>
    </w:p>
    <w:p>
      <w:pPr>
        <w:spacing w:after="120"/>
      </w:pPr>
      <w:r>
        <w:rPr>
          <w:b w:val="0"/>
          <w:i w:val="0"/>
          <w:color w:val="111827"/>
          <w:sz w:val="21"/>
          <w:u w:val="none"/>
        </w:rPr>
        <w:t>The core opportunity is clear: Bangladesh's healthcare system is structurally under-resourced, out-of-pocket spending accounts for 74% of all health expenditure, and the smartphone-connected population is growing fast. Omra is positioned to monetise across four distinct channels — B2C freemium subscriptions, B2B SaaS for clinics and hospitals, pharmaceutical data partnerships, and NGO/government program licensing — with the B2B channel offering the fastest path to revenue and the B2C channel offering the largest long-term scale.</w:t>
      </w:r>
    </w:p>
    <w:p>
      <w:pPr>
        <w:spacing w:before="360" w:after="80"/>
        <w:pBdr>
          <w:bottom w:val="single" w:sz="12" w:space="4" w:color="0F9D77"/>
        </w:pBdr>
      </w:pPr>
      <w:r>
        <w:rPr>
          <w:b/>
          <w:i w:val="0"/>
          <w:color w:val="0F9D77"/>
          <w:sz w:val="28"/>
          <w:u w:val="none"/>
        </w:rPr>
        <w:t>2.  Bangladesh Healthcare Landscape</w:t>
      </w:r>
    </w:p>
    <w:p>
      <w:pPr>
        <w:spacing w:before="200" w:after="40"/>
      </w:pPr>
      <w:r>
        <w:rPr>
          <w:b/>
          <w:i w:val="0"/>
          <w:color w:val="111827"/>
          <w:sz w:val="23"/>
          <w:u w:val="none"/>
        </w:rPr>
        <w:t>The Problem Space</w:t>
      </w:r>
    </w:p>
    <w:p>
      <w:pPr>
        <w:spacing w:after="120"/>
      </w:pPr>
      <w:r>
        <w:rPr>
          <w:b w:val="0"/>
          <w:i w:val="0"/>
          <w:color w:val="111827"/>
          <w:sz w:val="21"/>
          <w:u w:val="none"/>
        </w:rPr>
        <w:t>Bangladesh's healthcare system is under severe structural pressure. With 134,568 registered physicians serving 170 million people, the doctor-to-patient ratio is one of the lowest in Asia. 65% of the population lives in rural areas where specialist care can be hours away. The resulting burden falls disproportionately on patients who travel long distances, wait in overcrowded hospitals, and pay entirely out of pocket.</w:t>
      </w:r>
    </w:p>
    <w:p>
      <w:pPr>
        <w:spacing w:before="120" w:after="120"/>
        <w:ind w:left="288"/>
        <w:shd w:val="clear" w:color="auto" w:fill="E8F5F1"/>
      </w:pPr>
      <w:r>
        <w:rPr>
          <w:b w:val="0"/>
          <w:i/>
          <w:color w:val="111827"/>
          <w:sz w:val="20"/>
          <w:u w:val="none"/>
        </w:rPr>
        <w:t>📊  Key Stats: 14% diabetes prevalence · 29% hypertension prevalence among adults · 74% of health spending is out-of-pocket · 65% rural population · Digital health market: USD 605M in 2025 → USD 849M by 2029 (CAGR 8.82%)</w:t>
      </w:r>
    </w:p>
    <w:p>
      <w:pPr>
        <w:spacing w:before="200" w:after="40"/>
      </w:pPr>
      <w:r>
        <w:rPr>
          <w:b/>
          <w:i w:val="0"/>
          <w:color w:val="111827"/>
          <w:sz w:val="23"/>
          <w:u w:val="none"/>
        </w:rPr>
        <w:t>The Digital Opportunity</w:t>
      </w:r>
    </w:p>
    <w:p>
      <w:pPr>
        <w:spacing w:after="120"/>
      </w:pPr>
      <w:r>
        <w:rPr>
          <w:b w:val="0"/>
          <w:i w:val="0"/>
          <w:color w:val="111827"/>
          <w:sz w:val="21"/>
          <w:u w:val="none"/>
        </w:rPr>
        <w:t>Despite these challenges, Bangladesh has a rapidly growing digital infrastructure. Smartphone penetration is accelerating, mobile financial services (bKash, Nagad) have become the default payment layer for the unbanked population, and the government's "Smart Bangladesh 2041" vision is driving investment into digital public services including health. The COVID-19 pandemic dramatically accelerated telemedicine acceptance across urban and semi-urban populations.</w:t>
      </w:r>
    </w:p>
    <w:p>
      <w:pPr>
        <w:spacing w:after="120"/>
      </w:pPr>
      <w:r>
        <w:rPr>
          <w:b w:val="0"/>
          <w:i w:val="0"/>
          <w:color w:val="111827"/>
          <w:sz w:val="21"/>
          <w:u w:val="none"/>
        </w:rPr>
        <w:t>The digital care management segment — which is precisely where Omra operates — is the fastest growing segment within Bangladesh's digital health market, with a projected CAGR of 17.79% from 2024 to 2029, reaching USD 109 million.</w:t>
      </w:r>
    </w:p>
    <w:p>
      <w:pPr>
        <w:spacing w:before="200" w:after="40"/>
      </w:pPr>
      <w:r>
        <w:rPr>
          <w:b/>
          <w:i w:val="0"/>
          <w:color w:val="111827"/>
          <w:sz w:val="23"/>
          <w:u w:val="none"/>
        </w:rPr>
        <w:t>Who is Already in the Market?</w:t>
      </w:r>
    </w:p>
    <w:p>
      <w:pPr>
        <w:spacing w:after="120"/>
      </w:pPr>
      <w:r>
        <w:rPr>
          <w:b w:val="0"/>
          <w:i w:val="0"/>
          <w:color w:val="111827"/>
          <w:sz w:val="21"/>
          <w:u w:val="none"/>
        </w:rPr>
        <w:t>The Bangladeshi healthtech ecosystem has over 453 startups, but the competitive space for Omra's specific combination of features is thinner than it appears:</w:t>
      </w:r>
    </w:p>
    <w:p>
      <w:pPr>
        <w:pStyle w:val="ListBullet"/>
        <w:spacing w:after="80"/>
        <w:ind w:left="432"/>
      </w:pPr>
      <w:r>
        <w:rPr>
          <w:b w:val="0"/>
          <w:i w:val="0"/>
          <w:color w:val="111827"/>
          <w:sz w:val="21"/>
          <w:u w:val="none"/>
        </w:rPr>
        <w:t>Maya — AI health Q&amp;A + telemedicine consultations. Raised USD 2.2M. B2B focus on garment factory workers and corporate wellness. 3.4M downloads, 350K monthly active users.</w:t>
      </w:r>
    </w:p>
    <w:p>
      <w:pPr>
        <w:pStyle w:val="ListBullet"/>
        <w:spacing w:after="80"/>
        <w:ind w:left="432"/>
      </w:pPr>
      <w:r>
        <w:rPr>
          <w:b w:val="0"/>
          <w:i w:val="0"/>
          <w:color w:val="111827"/>
          <w:sz w:val="21"/>
          <w:u w:val="none"/>
        </w:rPr>
        <w:t>Praava Health — premium clinic chain with digital booking. Urban, upper-income focused.</w:t>
      </w:r>
    </w:p>
    <w:p>
      <w:pPr>
        <w:pStyle w:val="ListBullet"/>
        <w:spacing w:after="80"/>
        <w:ind w:left="432"/>
      </w:pPr>
      <w:r>
        <w:rPr>
          <w:b w:val="0"/>
          <w:i w:val="0"/>
          <w:color w:val="111827"/>
          <w:sz w:val="21"/>
          <w:u w:val="none"/>
        </w:rPr>
        <w:t>Tonic — health benefits platform tied to Robi telecom subscribers.</w:t>
      </w:r>
    </w:p>
    <w:p>
      <w:pPr>
        <w:pStyle w:val="ListBullet"/>
        <w:spacing w:after="80"/>
        <w:ind w:left="432"/>
      </w:pPr>
      <w:r>
        <w:rPr>
          <w:b w:val="0"/>
          <w:i w:val="0"/>
          <w:color w:val="111827"/>
          <w:sz w:val="21"/>
          <w:u w:val="none"/>
        </w:rPr>
        <w:t>Shastho Sheba (SSB) — government-backed telemedicine service.</w:t>
      </w:r>
    </w:p>
    <w:p>
      <w:pPr>
        <w:pStyle w:val="ListBullet"/>
        <w:spacing w:after="80"/>
        <w:ind w:left="432"/>
      </w:pPr>
      <w:r>
        <w:rPr>
          <w:b w:val="0"/>
          <w:i w:val="0"/>
          <w:color w:val="111827"/>
          <w:sz w:val="21"/>
          <w:u w:val="none"/>
        </w:rPr>
        <w:t>Arogga / MedEasy — online pharmacy and medicine delivery.</w:t>
      </w:r>
    </w:p>
    <w:p>
      <w:pPr>
        <w:spacing w:after="120"/>
      </w:pPr>
      <w:r>
        <w:rPr>
          <w:b w:val="0"/>
          <w:i w:val="0"/>
          <w:color w:val="111827"/>
          <w:sz w:val="21"/>
          <w:u w:val="none"/>
        </w:rPr>
        <w:t>The critical gap: no existing player offers the combination of vitals monitoring + medication adherence tracking + family member visibility + doctor-patient longitudinal records in a single integrated app. This is Omra's white space.</w:t>
      </w:r>
    </w:p>
    <w:p>
      <w:pPr>
        <w:spacing w:before="360" w:after="80"/>
        <w:pBdr>
          <w:bottom w:val="single" w:sz="12" w:space="4" w:color="0F9D77"/>
        </w:pBdr>
      </w:pPr>
      <w:r>
        <w:rPr>
          <w:b/>
          <w:i w:val="0"/>
          <w:color w:val="0F9D77"/>
          <w:sz w:val="28"/>
          <w:u w:val="none"/>
        </w:rPr>
        <w:t>3.  Target User Segments</w:t>
      </w:r>
    </w:p>
    <w:p>
      <w:pPr>
        <w:spacing w:before="200" w:after="40"/>
      </w:pPr>
      <w:r>
        <w:rPr>
          <w:b/>
          <w:i w:val="0"/>
          <w:color w:val="111827"/>
          <w:sz w:val="23"/>
          <w:u w:val="none"/>
        </w:rPr>
        <w:t>Primary: Chronic Disease Patients (Patients Portal)</w:t>
      </w:r>
    </w:p>
    <w:p>
      <w:pPr>
        <w:spacing w:after="120"/>
      </w:pPr>
      <w:r>
        <w:rPr>
          <w:b w:val="0"/>
          <w:i w:val="0"/>
          <w:color w:val="111827"/>
          <w:sz w:val="21"/>
          <w:u w:val="none"/>
        </w:rPr>
        <w:t>Bangladesh has an estimated 14% diabetes prevalence and 29% hypertension prevalence among adults. These patients need daily vitals tracking, medication reminders, prescription management, and regular doctor contact — all features Omra already has. This is the highest-value segment because their healthcare need is recurring and high-urgency.</w:t>
      </w:r>
    </w:p>
    <w:p>
      <w:pPr>
        <w:spacing w:after="60"/>
        <w:ind w:left="360"/>
      </w:pPr>
      <w:r>
        <w:rPr>
          <w:b/>
          <w:i w:val="0"/>
          <w:color w:val="0F9D77"/>
          <w:sz w:val="21"/>
          <w:u w:val="none"/>
        </w:rPr>
        <w:t xml:space="preserve">Age range: </w:t>
      </w:r>
      <w:r>
        <w:rPr>
          <w:b w:val="0"/>
          <w:i w:val="0"/>
          <w:color w:val="111827"/>
          <w:sz w:val="21"/>
          <w:u w:val="none"/>
        </w:rPr>
        <w:t>35–65 years</w:t>
      </w:r>
    </w:p>
    <w:p>
      <w:pPr>
        <w:spacing w:after="60"/>
        <w:ind w:left="360"/>
      </w:pPr>
      <w:r>
        <w:rPr>
          <w:b/>
          <w:i w:val="0"/>
          <w:color w:val="0F9D77"/>
          <w:sz w:val="21"/>
          <w:u w:val="none"/>
        </w:rPr>
        <w:t xml:space="preserve">Location: </w:t>
      </w:r>
      <w:r>
        <w:rPr>
          <w:b w:val="0"/>
          <w:i w:val="0"/>
          <w:color w:val="111827"/>
          <w:sz w:val="21"/>
          <w:u w:val="none"/>
        </w:rPr>
        <w:t>Dhaka, Chattogram, Sylhet, Gazipur (urban/semi-urban first)</w:t>
      </w:r>
    </w:p>
    <w:p>
      <w:pPr>
        <w:spacing w:after="60"/>
        <w:ind w:left="360"/>
      </w:pPr>
      <w:r>
        <w:rPr>
          <w:b/>
          <w:i w:val="0"/>
          <w:color w:val="0F9D77"/>
          <w:sz w:val="21"/>
          <w:u w:val="none"/>
        </w:rPr>
        <w:t xml:space="preserve">Willingness to pay: </w:t>
      </w:r>
      <w:r>
        <w:rPr>
          <w:b w:val="0"/>
          <w:i w:val="0"/>
          <w:color w:val="111827"/>
          <w:sz w:val="21"/>
          <w:u w:val="none"/>
        </w:rPr>
        <w:t>Low-to-moderate — BDT 150–300/month if clear health value is demonstrated</w:t>
      </w:r>
    </w:p>
    <w:p>
      <w:pPr>
        <w:spacing w:after="60"/>
        <w:ind w:left="360"/>
      </w:pPr>
      <w:r>
        <w:rPr>
          <w:b/>
          <w:i w:val="0"/>
          <w:color w:val="0F9D77"/>
          <w:sz w:val="21"/>
          <w:u w:val="none"/>
        </w:rPr>
        <w:t xml:space="preserve">Payment method: </w:t>
      </w:r>
      <w:r>
        <w:rPr>
          <w:b w:val="0"/>
          <w:i w:val="0"/>
          <w:color w:val="111827"/>
          <w:sz w:val="21"/>
          <w:u w:val="none"/>
        </w:rPr>
        <w:t>bKash, Nagad, mobile recharge vouchers</w:t>
      </w:r>
    </w:p>
    <w:p>
      <w:pPr>
        <w:spacing w:before="200" w:after="40"/>
      </w:pPr>
      <w:r>
        <w:rPr>
          <w:b/>
          <w:i w:val="0"/>
          <w:color w:val="111827"/>
          <w:sz w:val="23"/>
          <w:u w:val="none"/>
        </w:rPr>
        <w:t>Secondary: Families of Elderly Patients (Family Member Portal)</w:t>
      </w:r>
    </w:p>
    <w:p>
      <w:pPr>
        <w:spacing w:after="120"/>
      </w:pPr>
      <w:r>
        <w:rPr>
          <w:b w:val="0"/>
          <w:i w:val="0"/>
          <w:color w:val="111827"/>
          <w:sz w:val="21"/>
          <w:u w:val="none"/>
        </w:rPr>
        <w:t>In Bangladesh's joint family culture, adult children are heavily involved in managing parents' health. The Family Member portal — which lets a family member monitor a patient's vitals, medications, and appointments remotely — is a uniquely compelling feature in this cultural context, especially for families with members working in Dhaka while elderly parents are in rural areas.</w:t>
      </w:r>
    </w:p>
    <w:p>
      <w:pPr>
        <w:spacing w:after="60"/>
        <w:ind w:left="360"/>
      </w:pPr>
      <w:r>
        <w:rPr>
          <w:b/>
          <w:i w:val="0"/>
          <w:color w:val="0F9D77"/>
          <w:sz w:val="21"/>
          <w:u w:val="none"/>
        </w:rPr>
        <w:t xml:space="preserve">Use case: </w:t>
      </w:r>
      <w:r>
        <w:rPr>
          <w:b w:val="0"/>
          <w:i w:val="0"/>
          <w:color w:val="111827"/>
          <w:sz w:val="21"/>
          <w:u w:val="none"/>
        </w:rPr>
        <w:t>Children in cities monitoring parents in rural areas</w:t>
      </w:r>
    </w:p>
    <w:p>
      <w:pPr>
        <w:spacing w:after="60"/>
        <w:ind w:left="360"/>
      </w:pPr>
      <w:r>
        <w:rPr>
          <w:b/>
          <w:i w:val="0"/>
          <w:color w:val="0F9D77"/>
          <w:sz w:val="21"/>
          <w:u w:val="none"/>
        </w:rPr>
        <w:t xml:space="preserve">Willingness to pay: </w:t>
      </w:r>
      <w:r>
        <w:rPr>
          <w:b w:val="0"/>
          <w:i w:val="0"/>
          <w:color w:val="111827"/>
          <w:sz w:val="21"/>
          <w:u w:val="none"/>
        </w:rPr>
        <w:t>Moderate — will pay for peace of mind for a parent</w:t>
      </w:r>
    </w:p>
    <w:p>
      <w:pPr>
        <w:spacing w:before="200" w:after="40"/>
      </w:pPr>
      <w:r>
        <w:rPr>
          <w:b/>
          <w:i w:val="0"/>
          <w:color w:val="111827"/>
          <w:sz w:val="23"/>
          <w:u w:val="none"/>
        </w:rPr>
        <w:t>Tertiary: Private Doctors and Clinics (Doctor Portal)</w:t>
      </w:r>
    </w:p>
    <w:p>
      <w:pPr>
        <w:spacing w:after="120"/>
      </w:pPr>
      <w:r>
        <w:rPr>
          <w:b w:val="0"/>
          <w:i w:val="0"/>
          <w:color w:val="111827"/>
          <w:sz w:val="21"/>
          <w:u w:val="none"/>
        </w:rPr>
        <w:t>Bangladesh has a large number of private-practice doctors operating independent or small-group clinics. They have no affordable patient management software, no digital prescription system, and no way to monitor chronic patients between visits. Omra's Doctor Portal addresses all three.</w:t>
      </w:r>
    </w:p>
    <w:p>
      <w:pPr>
        <w:spacing w:after="60"/>
        <w:ind w:left="360"/>
      </w:pPr>
      <w:r>
        <w:rPr>
          <w:b/>
          <w:i w:val="0"/>
          <w:color w:val="0F9D77"/>
          <w:sz w:val="21"/>
          <w:u w:val="none"/>
        </w:rPr>
        <w:t xml:space="preserve">Target: </w:t>
      </w:r>
      <w:r>
        <w:rPr>
          <w:b w:val="0"/>
          <w:i w:val="0"/>
          <w:color w:val="111827"/>
          <w:sz w:val="21"/>
          <w:u w:val="none"/>
        </w:rPr>
        <w:t>GPs, diabetologists, cardiologists in private practice</w:t>
      </w:r>
    </w:p>
    <w:p>
      <w:pPr>
        <w:spacing w:after="60"/>
        <w:ind w:left="360"/>
      </w:pPr>
      <w:r>
        <w:rPr>
          <w:b/>
          <w:i w:val="0"/>
          <w:color w:val="0F9D77"/>
          <w:sz w:val="21"/>
          <w:u w:val="none"/>
        </w:rPr>
        <w:t xml:space="preserve">Clinic size: </w:t>
      </w:r>
      <w:r>
        <w:rPr>
          <w:b w:val="0"/>
          <w:i w:val="0"/>
          <w:color w:val="111827"/>
          <w:sz w:val="21"/>
          <w:u w:val="none"/>
        </w:rPr>
        <w:t>1–10 doctor practices, diagnostic centres</w:t>
      </w:r>
    </w:p>
    <w:p>
      <w:pPr>
        <w:spacing w:after="60"/>
        <w:ind w:left="360"/>
      </w:pPr>
      <w:r>
        <w:rPr>
          <w:b/>
          <w:i w:val="0"/>
          <w:color w:val="0F9D77"/>
          <w:sz w:val="21"/>
          <w:u w:val="none"/>
        </w:rPr>
        <w:t xml:space="preserve">Willingness to pay: </w:t>
      </w:r>
      <w:r>
        <w:rPr>
          <w:b w:val="0"/>
          <w:i w:val="0"/>
          <w:color w:val="111827"/>
          <w:sz w:val="21"/>
          <w:u w:val="none"/>
        </w:rPr>
        <w:t>BDT 2,000–8,000/month per clinic as SaaS</w:t>
      </w:r>
    </w:p>
    <w:p>
      <w:pPr>
        <w:spacing w:before="360" w:after="80"/>
        <w:pBdr>
          <w:bottom w:val="single" w:sz="12" w:space="4" w:color="0F9D77"/>
        </w:pBdr>
      </w:pPr>
      <w:r>
        <w:rPr>
          <w:b/>
          <w:i w:val="0"/>
          <w:color w:val="0F9D77"/>
          <w:sz w:val="28"/>
          <w:u w:val="none"/>
        </w:rPr>
        <w:t>4.  Business Model Options</w:t>
      </w:r>
    </w:p>
    <w:p>
      <w:pPr>
        <w:spacing w:after="120"/>
      </w:pPr>
      <w:r>
        <w:rPr>
          <w:b w:val="0"/>
          <w:i w:val="0"/>
          <w:color w:val="111827"/>
          <w:sz w:val="21"/>
          <w:u w:val="none"/>
        </w:rPr>
        <w:t>Four business model streams are viable for Omra in Bangladesh. They are not mutually exclusive — the recommended approach is to launch with B2B revenue first (lowest friction, fastest payback), then build the B2C subscriber base in parallel.</w:t>
      </w:r>
    </w:p>
    <w:p>
      <w:pPr>
        <w:spacing w:before="200" w:after="40"/>
      </w:pPr>
      <w:r>
        <w:rPr>
          <w:b/>
          <w:i w:val="0"/>
          <w:color w:val="111827"/>
          <w:sz w:val="23"/>
          <w:u w:val="none"/>
        </w:rPr>
        <w:t>4.1  B2C Freemium Subscription (Patient &amp; Family Member)</w:t>
      </w:r>
    </w:p>
    <w:p>
      <w:pPr>
        <w:spacing w:before="120" w:after="120"/>
        <w:ind w:left="288"/>
        <w:shd w:val="clear" w:color="auto" w:fill="FFF8E7"/>
      </w:pPr>
      <w:r>
        <w:rPr>
          <w:b w:val="0"/>
          <w:i/>
          <w:color w:val="111827"/>
          <w:sz w:val="20"/>
          <w:u w:val="none"/>
        </w:rPr>
        <w:t>Revenue type: Direct consumer subscription · Payment: bKash / Nagad / card · Speed to revenue: Medium</w:t>
      </w:r>
    </w:p>
    <w:p>
      <w:pPr>
        <w:spacing w:after="120"/>
      </w:pPr>
      <w:r>
        <w:rPr>
          <w:b w:val="0"/>
          <w:i w:val="0"/>
          <w:color w:val="111827"/>
          <w:sz w:val="21"/>
          <w:u w:val="none"/>
        </w:rPr>
        <w:t>Offer the app free with core features, and charge for premium capabilities. This mirrors the Maya model but with a health tracking and family connectivity angle rather than telemedicine.</w:t>
      </w:r>
    </w:p>
    <w:p>
      <w:pPr>
        <w:spacing w:after="120"/>
      </w:pPr>
      <w:r>
        <w:rPr>
          <w:b w:val="0"/>
          <w:i w:val="0"/>
          <w:color w:val="111827"/>
          <w:sz w:val="21"/>
          <w:u w:val="none"/>
        </w:rPr>
        <w:t>Free tier includes:</w:t>
      </w:r>
    </w:p>
    <w:p>
      <w:pPr>
        <w:pStyle w:val="ListBullet"/>
        <w:spacing w:after="80"/>
        <w:ind w:left="432"/>
      </w:pPr>
      <w:r>
        <w:rPr>
          <w:b w:val="0"/>
          <w:i w:val="0"/>
          <w:color w:val="111827"/>
          <w:sz w:val="21"/>
          <w:u w:val="none"/>
        </w:rPr>
        <w:t>Basic vitals log (manual entry, 30-day history)</w:t>
      </w:r>
    </w:p>
    <w:p>
      <w:pPr>
        <w:pStyle w:val="ListBullet"/>
        <w:spacing w:after="80"/>
        <w:ind w:left="432"/>
      </w:pPr>
      <w:r>
        <w:rPr>
          <w:b w:val="0"/>
          <w:i w:val="0"/>
          <w:color w:val="111827"/>
          <w:sz w:val="21"/>
          <w:u w:val="none"/>
        </w:rPr>
        <w:t>Medication reminder for up to 3 medicines</w:t>
      </w:r>
    </w:p>
    <w:p>
      <w:pPr>
        <w:pStyle w:val="ListBullet"/>
        <w:spacing w:after="80"/>
        <w:ind w:left="432"/>
      </w:pPr>
      <w:r>
        <w:rPr>
          <w:b w:val="0"/>
          <w:i w:val="0"/>
          <w:color w:val="111827"/>
          <w:sz w:val="21"/>
          <w:u w:val="none"/>
        </w:rPr>
        <w:t>1 family member connection</w:t>
      </w:r>
    </w:p>
    <w:p>
      <w:pPr>
        <w:pStyle w:val="ListBullet"/>
        <w:spacing w:after="80"/>
        <w:ind w:left="432"/>
      </w:pPr>
      <w:r>
        <w:rPr>
          <w:b w:val="0"/>
          <w:i w:val="0"/>
          <w:color w:val="111827"/>
          <w:sz w:val="21"/>
          <w:u w:val="none"/>
        </w:rPr>
        <w:t>Appointment booking (view only)</w:t>
      </w:r>
    </w:p>
    <w:p>
      <w:pPr>
        <w:spacing w:after="120"/>
      </w:pPr>
      <w:r>
        <w:rPr>
          <w:b w:val="0"/>
          <w:i w:val="0"/>
          <w:color w:val="111827"/>
          <w:sz w:val="21"/>
          <w:u w:val="none"/>
        </w:rPr>
        <w:t>Premium tier (BDT 150–250/month or BDT 1,200–1,800/year) includes:</w:t>
      </w:r>
    </w:p>
    <w:p>
      <w:pPr>
        <w:pStyle w:val="ListBullet"/>
        <w:spacing w:after="80"/>
        <w:ind w:left="432"/>
      </w:pPr>
      <w:r>
        <w:rPr>
          <w:b w:val="0"/>
          <w:i w:val="0"/>
          <w:color w:val="111827"/>
          <w:sz w:val="21"/>
          <w:u w:val="none"/>
        </w:rPr>
        <w:t>Unlimited vitals history with trend charts and AI insights</w:t>
      </w:r>
    </w:p>
    <w:p>
      <w:pPr>
        <w:pStyle w:val="ListBullet"/>
        <w:spacing w:after="80"/>
        <w:ind w:left="432"/>
      </w:pPr>
      <w:r>
        <w:rPr>
          <w:b w:val="0"/>
          <w:i w:val="0"/>
          <w:color w:val="111827"/>
          <w:sz w:val="21"/>
          <w:u w:val="none"/>
        </w:rPr>
        <w:t>Unlimited medicines + refill alerts</w:t>
      </w:r>
    </w:p>
    <w:p>
      <w:pPr>
        <w:pStyle w:val="ListBullet"/>
        <w:spacing w:after="80"/>
        <w:ind w:left="432"/>
      </w:pPr>
      <w:r>
        <w:rPr>
          <w:b w:val="0"/>
          <w:i w:val="0"/>
          <w:color w:val="111827"/>
          <w:sz w:val="21"/>
          <w:u w:val="none"/>
        </w:rPr>
        <w:t>Up to 5 family member connections</w:t>
      </w:r>
    </w:p>
    <w:p>
      <w:pPr>
        <w:pStyle w:val="ListBullet"/>
        <w:spacing w:after="80"/>
        <w:ind w:left="432"/>
      </w:pPr>
      <w:r>
        <w:rPr>
          <w:b w:val="0"/>
          <w:i w:val="0"/>
          <w:color w:val="111827"/>
          <w:sz w:val="21"/>
          <w:u w:val="none"/>
        </w:rPr>
        <w:t>Prescription storage and sharing</w:t>
      </w:r>
    </w:p>
    <w:p>
      <w:pPr>
        <w:pStyle w:val="ListBullet"/>
        <w:spacing w:after="80"/>
        <w:ind w:left="432"/>
      </w:pPr>
      <w:r>
        <w:rPr>
          <w:b w:val="0"/>
          <w:i w:val="0"/>
          <w:color w:val="111827"/>
          <w:sz w:val="21"/>
          <w:u w:val="none"/>
        </w:rPr>
        <w:t>Priority appointment slots with partner clinics</w:t>
      </w:r>
    </w:p>
    <w:p>
      <w:pPr>
        <w:pStyle w:val="ListBullet"/>
        <w:spacing w:after="80"/>
        <w:ind w:left="432"/>
      </w:pPr>
      <w:r>
        <w:rPr>
          <w:b w:val="0"/>
          <w:i w:val="0"/>
          <w:color w:val="111827"/>
          <w:sz w:val="21"/>
          <w:u w:val="none"/>
        </w:rPr>
        <w:t>Monthly health summary PDF (shareable with doctors)</w:t>
      </w:r>
    </w:p>
    <w:p>
      <w:pPr>
        <w:spacing w:after="120"/>
      </w:pPr>
      <w:r>
        <w:rPr>
          <w:b w:val="0"/>
          <w:i w:val="0"/>
          <w:color w:val="111827"/>
          <w:sz w:val="21"/>
          <w:u w:val="none"/>
        </w:rPr>
        <w:t>Key insight from the Bangladesh market: annual subscription pricing with bKash autopay significantly reduces churn. Positioning the premium plan as "your family's health safety net" rather than a personal tool aligns with Bangladeshi family values and increases conversion.</w:t>
      </w:r>
    </w:p>
    <w:p>
      <w:pPr>
        <w:spacing w:after="60"/>
        <w:ind w:left="360"/>
      </w:pPr>
      <w:r>
        <w:rPr>
          <w:b/>
          <w:i w:val="0"/>
          <w:color w:val="0F9D77"/>
          <w:sz w:val="21"/>
          <w:u w:val="none"/>
        </w:rPr>
        <w:t xml:space="preserve">Revenue estimate (Year 2): </w:t>
      </w:r>
      <w:r>
        <w:rPr>
          <w:b w:val="0"/>
          <w:i w:val="0"/>
          <w:color w:val="111827"/>
          <w:sz w:val="21"/>
          <w:u w:val="none"/>
        </w:rPr>
        <w:t>10,000 premium users × BDT 200/month = BDT 24M/year (~USD 200K)</w:t>
      </w:r>
    </w:p>
    <w:p>
      <w:pPr>
        <w:spacing w:before="200" w:after="40"/>
      </w:pPr>
      <w:r>
        <w:rPr>
          <w:b/>
          <w:i w:val="0"/>
          <w:color w:val="111827"/>
          <w:sz w:val="23"/>
          <w:u w:val="none"/>
        </w:rPr>
        <w:t>4.2  B2B SaaS — Clinics, Hospitals, and Diagnostic Centres</w:t>
      </w:r>
    </w:p>
    <w:p>
      <w:pPr>
        <w:spacing w:before="120" w:after="120"/>
        <w:ind w:left="288"/>
        <w:shd w:val="clear" w:color="auto" w:fill="EFF6FF"/>
      </w:pPr>
      <w:r>
        <w:rPr>
          <w:b w:val="0"/>
          <w:i/>
          <w:color w:val="111827"/>
          <w:sz w:val="20"/>
          <w:u w:val="none"/>
        </w:rPr>
        <w:t>Revenue type: Monthly SaaS license · Payment: Bank transfer / invoice · Speed to revenue: Fast</w:t>
      </w:r>
    </w:p>
    <w:p>
      <w:pPr>
        <w:spacing w:after="120"/>
      </w:pPr>
      <w:r>
        <w:rPr>
          <w:b w:val="0"/>
          <w:i w:val="0"/>
          <w:color w:val="111827"/>
          <w:sz w:val="21"/>
          <w:u w:val="none"/>
        </w:rPr>
        <w:t>License Omra's Doctor Portal to private clinics as a patient management and chronic care monitoring tool. The clinic pays a monthly fee, and their patients use the Patient Portal for free (or at a reduced rate) as a benefit of being a patient at that clinic. This dramatically lowers patient acquisition cost.</w:t>
      </w:r>
    </w:p>
    <w:p>
      <w:pPr>
        <w:spacing w:after="120"/>
      </w:pPr>
      <w:r>
        <w:rPr>
          <w:b w:val="0"/>
          <w:i w:val="0"/>
          <w:color w:val="111827"/>
          <w:sz w:val="21"/>
          <w:u w:val="none"/>
        </w:rPr>
        <w:t>Pricing tiers for clinics:</w:t>
      </w:r>
    </w:p>
    <w:p>
      <w:pPr>
        <w:pStyle w:val="ListBullet"/>
        <w:spacing w:after="80"/>
        <w:ind w:left="432"/>
      </w:pPr>
      <w:r>
        <w:rPr>
          <w:b w:val="0"/>
          <w:i w:val="0"/>
          <w:color w:val="111827"/>
          <w:sz w:val="21"/>
          <w:u w:val="none"/>
        </w:rPr>
        <w:t>Starter (1–2 doctors): BDT 2,500/month — up to 200 active patients</w:t>
      </w:r>
    </w:p>
    <w:p>
      <w:pPr>
        <w:pStyle w:val="ListBullet"/>
        <w:spacing w:after="80"/>
        <w:ind w:left="432"/>
      </w:pPr>
      <w:r>
        <w:rPr>
          <w:b w:val="0"/>
          <w:i w:val="0"/>
          <w:color w:val="111827"/>
          <w:sz w:val="21"/>
          <w:u w:val="none"/>
        </w:rPr>
        <w:t>Growth (3–5 doctors): BDT 5,500/month — up to 600 active patients</w:t>
      </w:r>
    </w:p>
    <w:p>
      <w:pPr>
        <w:pStyle w:val="ListBullet"/>
        <w:spacing w:after="80"/>
        <w:ind w:left="432"/>
      </w:pPr>
      <w:r>
        <w:rPr>
          <w:b w:val="0"/>
          <w:i w:val="0"/>
          <w:color w:val="111827"/>
          <w:sz w:val="21"/>
          <w:u w:val="none"/>
        </w:rPr>
        <w:t>Enterprise (hospital / 10+ doctors): BDT 12,000–25,000/month — unlimited patients, custom branding</w:t>
      </w:r>
    </w:p>
    <w:p>
      <w:pPr>
        <w:spacing w:after="120"/>
      </w:pPr>
      <w:r>
        <w:rPr>
          <w:b w:val="0"/>
          <w:i w:val="0"/>
          <w:color w:val="111827"/>
          <w:sz w:val="21"/>
          <w:u w:val="none"/>
        </w:rPr>
        <w:t>Value proposition for the clinic:</w:t>
      </w:r>
    </w:p>
    <w:p>
      <w:pPr>
        <w:pStyle w:val="ListBullet"/>
        <w:spacing w:after="80"/>
        <w:ind w:left="432"/>
      </w:pPr>
      <w:r>
        <w:rPr>
          <w:b w:val="0"/>
          <w:i w:val="0"/>
          <w:color w:val="111827"/>
          <w:sz w:val="21"/>
          <w:u w:val="none"/>
        </w:rPr>
        <w:t>Digital prescription and patient history — no paper files</w:t>
      </w:r>
    </w:p>
    <w:p>
      <w:pPr>
        <w:pStyle w:val="ListBullet"/>
        <w:spacing w:after="80"/>
        <w:ind w:left="432"/>
      </w:pPr>
      <w:r>
        <w:rPr>
          <w:b w:val="0"/>
          <w:i w:val="0"/>
          <w:color w:val="111827"/>
          <w:sz w:val="21"/>
          <w:u w:val="none"/>
        </w:rPr>
        <w:t>Between-visit vitals monitoring — doctors see patient data before the appointment</w:t>
      </w:r>
    </w:p>
    <w:p>
      <w:pPr>
        <w:pStyle w:val="ListBullet"/>
        <w:spacing w:after="80"/>
        <w:ind w:left="432"/>
      </w:pPr>
      <w:r>
        <w:rPr>
          <w:b w:val="0"/>
          <w:i w:val="0"/>
          <w:color w:val="111827"/>
          <w:sz w:val="21"/>
          <w:u w:val="none"/>
        </w:rPr>
        <w:t>Automatic appointment reminders reduce no-shows</w:t>
      </w:r>
    </w:p>
    <w:p>
      <w:pPr>
        <w:pStyle w:val="ListBullet"/>
        <w:spacing w:after="80"/>
        <w:ind w:left="432"/>
      </w:pPr>
      <w:r>
        <w:rPr>
          <w:b w:val="0"/>
          <w:i w:val="0"/>
          <w:color w:val="111827"/>
          <w:sz w:val="21"/>
          <w:u w:val="none"/>
        </w:rPr>
        <w:t>Patient retention — patients who use the app stay connected to the same clinic</w:t>
      </w:r>
    </w:p>
    <w:p>
      <w:pPr>
        <w:pStyle w:val="ListBullet"/>
        <w:spacing w:after="80"/>
        <w:ind w:left="432"/>
      </w:pPr>
      <w:r>
        <w:rPr>
          <w:b w:val="0"/>
          <w:i w:val="0"/>
          <w:color w:val="111827"/>
          <w:sz w:val="21"/>
          <w:u w:val="none"/>
        </w:rPr>
        <w:t>Premium brand positioning — "this clinic uses a digital health system"</w:t>
      </w:r>
    </w:p>
    <w:p>
      <w:pPr>
        <w:spacing w:after="60"/>
        <w:ind w:left="360"/>
      </w:pPr>
      <w:r>
        <w:rPr>
          <w:b/>
          <w:i w:val="0"/>
          <w:color w:val="0F9D77"/>
          <w:sz w:val="21"/>
          <w:u w:val="none"/>
        </w:rPr>
        <w:t xml:space="preserve">Revenue estimate (Year 1): </w:t>
      </w:r>
      <w:r>
        <w:rPr>
          <w:b w:val="0"/>
          <w:i w:val="0"/>
          <w:color w:val="111827"/>
          <w:sz w:val="21"/>
          <w:u w:val="none"/>
        </w:rPr>
        <w:t>50 clinics × avg BDT 4,500/month = BDT 2.7M/month (~USD 22K/month)</w:t>
      </w:r>
    </w:p>
    <w:p>
      <w:pPr>
        <w:spacing w:after="60"/>
        <w:ind w:left="360"/>
      </w:pPr>
      <w:r>
        <w:rPr>
          <w:b/>
          <w:i w:val="0"/>
          <w:color w:val="0F9D77"/>
          <w:sz w:val="21"/>
          <w:u w:val="none"/>
        </w:rPr>
        <w:t xml:space="preserve">Revenue estimate (Year 2): </w:t>
      </w:r>
      <w:r>
        <w:rPr>
          <w:b w:val="0"/>
          <w:i w:val="0"/>
          <w:color w:val="111827"/>
          <w:sz w:val="21"/>
          <w:u w:val="none"/>
        </w:rPr>
        <w:t>200 clinics at same average = BDT 10.8M/month (~USD 90K/month)</w:t>
      </w:r>
    </w:p>
    <w:p>
      <w:pPr>
        <w:spacing w:after="120"/>
      </w:pPr>
      <w:r>
        <w:rPr>
          <w:b w:val="0"/>
          <w:i w:val="0"/>
          <w:color w:val="111827"/>
          <w:sz w:val="21"/>
          <w:u w:val="none"/>
        </w:rPr>
        <w:t>This is the fastest revenue channel. Clinics make purchase decisions in weeks, not months, and a single clinic customer generates more revenue than hundreds of B2C subscribers.</w:t>
      </w:r>
    </w:p>
    <w:p>
      <w:pPr>
        <w:spacing w:before="200" w:after="40"/>
      </w:pPr>
      <w:r>
        <w:rPr>
          <w:b/>
          <w:i w:val="0"/>
          <w:color w:val="111827"/>
          <w:sz w:val="23"/>
          <w:u w:val="none"/>
        </w:rPr>
        <w:t>4.3  B2B Corporate Wellness — Employers and RMG Sector</w:t>
      </w:r>
    </w:p>
    <w:p>
      <w:pPr>
        <w:spacing w:before="120" w:after="120"/>
        <w:ind w:left="288"/>
        <w:shd w:val="clear" w:color="auto" w:fill="FFF8E7"/>
      </w:pPr>
      <w:r>
        <w:rPr>
          <w:b w:val="0"/>
          <w:i/>
          <w:color w:val="111827"/>
          <w:sz w:val="20"/>
          <w:u w:val="none"/>
        </w:rPr>
        <w:t>Revenue type: Per-employee license · Payment: Corporate invoice · Speed to revenue: Medium</w:t>
      </w:r>
    </w:p>
    <w:p>
      <w:pPr>
        <w:spacing w:after="120"/>
      </w:pPr>
      <w:r>
        <w:rPr>
          <w:b w:val="0"/>
          <w:i w:val="0"/>
          <w:color w:val="111827"/>
          <w:sz w:val="21"/>
          <w:u w:val="none"/>
        </w:rPr>
        <w:t>Bangladesh's ready-made garment (RMG) sector employs 4 million workers, the majority of whom are young women in the 18–35 age group with limited healthcare access. Maya's most successful B2B revenue stream came from selling employee wellness plans to BGMEA member factories and international buyers like M&amp;S and Primark. Omra can target the same channel with a health tracking and chronic disease angle.</w:t>
      </w:r>
    </w:p>
    <w:p>
      <w:pPr>
        <w:spacing w:after="120"/>
      </w:pPr>
      <w:r>
        <w:rPr>
          <w:b w:val="0"/>
          <w:i w:val="0"/>
          <w:color w:val="111827"/>
          <w:sz w:val="21"/>
          <w:u w:val="none"/>
        </w:rPr>
        <w:t>Corporate wellness offering:</w:t>
      </w:r>
    </w:p>
    <w:p>
      <w:pPr>
        <w:pStyle w:val="ListBullet"/>
        <w:spacing w:after="80"/>
        <w:ind w:left="432"/>
      </w:pPr>
      <w:r>
        <w:rPr>
          <w:b w:val="0"/>
          <w:i w:val="0"/>
          <w:color w:val="111827"/>
          <w:sz w:val="21"/>
          <w:u w:val="none"/>
        </w:rPr>
        <w:t>Bulk employee licences at BDT 80–120/employee/month</w:t>
      </w:r>
    </w:p>
    <w:p>
      <w:pPr>
        <w:pStyle w:val="ListBullet"/>
        <w:spacing w:after="80"/>
        <w:ind w:left="432"/>
      </w:pPr>
      <w:r>
        <w:rPr>
          <w:b w:val="0"/>
          <w:i w:val="0"/>
          <w:color w:val="111827"/>
          <w:sz w:val="21"/>
          <w:u w:val="none"/>
        </w:rPr>
        <w:t>Aggregate health reports (anonymised) for HR teams</w:t>
      </w:r>
    </w:p>
    <w:p>
      <w:pPr>
        <w:pStyle w:val="ListBullet"/>
        <w:spacing w:after="80"/>
        <w:ind w:left="432"/>
      </w:pPr>
      <w:r>
        <w:rPr>
          <w:b w:val="0"/>
          <w:i w:val="0"/>
          <w:color w:val="111827"/>
          <w:sz w:val="21"/>
          <w:u w:val="none"/>
        </w:rPr>
        <w:t>Integration with factory health clinics for record sharing</w:t>
      </w:r>
    </w:p>
    <w:p>
      <w:pPr>
        <w:pStyle w:val="ListBullet"/>
        <w:spacing w:after="80"/>
        <w:ind w:left="432"/>
      </w:pPr>
      <w:r>
        <w:rPr>
          <w:b w:val="0"/>
          <w:i w:val="0"/>
          <w:color w:val="111827"/>
          <w:sz w:val="21"/>
          <w:u w:val="none"/>
        </w:rPr>
        <w:t>Family member monitoring as an employee benefit</w:t>
      </w:r>
    </w:p>
    <w:p>
      <w:pPr>
        <w:spacing w:after="60"/>
        <w:ind w:left="360"/>
      </w:pPr>
      <w:r>
        <w:rPr>
          <w:b/>
          <w:i w:val="0"/>
          <w:color w:val="0F9D77"/>
          <w:sz w:val="21"/>
          <w:u w:val="none"/>
        </w:rPr>
        <w:t xml:space="preserve">Target companies: </w:t>
      </w:r>
      <w:r>
        <w:rPr>
          <w:b w:val="0"/>
          <w:i w:val="0"/>
          <w:color w:val="111827"/>
          <w:sz w:val="21"/>
          <w:u w:val="none"/>
        </w:rPr>
        <w:t>RMG factories, banks (BRAC Bank, Dutch-Bangla), telecom (Grameenphone, Robi), large NGOs</w:t>
      </w:r>
    </w:p>
    <w:p>
      <w:pPr>
        <w:spacing w:after="60"/>
        <w:ind w:left="360"/>
      </w:pPr>
      <w:r>
        <w:rPr>
          <w:b/>
          <w:i w:val="0"/>
          <w:color w:val="0F9D77"/>
          <w:sz w:val="21"/>
          <w:u w:val="none"/>
        </w:rPr>
        <w:t xml:space="preserve">Revenue estimate: </w:t>
      </w:r>
      <w:r>
        <w:rPr>
          <w:b w:val="0"/>
          <w:i w:val="0"/>
          <w:color w:val="111827"/>
          <w:sz w:val="21"/>
          <w:u w:val="none"/>
        </w:rPr>
        <w:t>5 corporate clients × 500 employees × BDT 100/month = BDT 250K/month to start</w:t>
      </w:r>
    </w:p>
    <w:p>
      <w:pPr>
        <w:spacing w:before="200" w:after="40"/>
      </w:pPr>
      <w:r>
        <w:rPr>
          <w:b/>
          <w:i w:val="0"/>
          <w:color w:val="111827"/>
          <w:sz w:val="23"/>
          <w:u w:val="none"/>
        </w:rPr>
        <w:t>4.4  B2G / NGO Program Licensing</w:t>
      </w:r>
    </w:p>
    <w:p>
      <w:pPr>
        <w:spacing w:before="120" w:after="120"/>
        <w:ind w:left="288"/>
        <w:shd w:val="clear" w:color="auto" w:fill="DCFCE7"/>
      </w:pPr>
      <w:r>
        <w:rPr>
          <w:b w:val="0"/>
          <w:i/>
          <w:color w:val="111827"/>
          <w:sz w:val="20"/>
          <w:u w:val="none"/>
        </w:rPr>
        <w:t>Revenue type: Program contract / grant-funded · Payment: Milestone billing · Speed to revenue: Slow but large</w:t>
      </w:r>
    </w:p>
    <w:p>
      <w:pPr>
        <w:spacing w:after="120"/>
      </w:pPr>
      <w:r>
        <w:rPr>
          <w:b w:val="0"/>
          <w:i w:val="0"/>
          <w:color w:val="111827"/>
          <w:sz w:val="21"/>
          <w:u w:val="none"/>
        </w:rPr>
        <w:t>Bangladesh has a large ecosystem of international NGOs (BRAC, icddr,b, Marie Stopes, CARE, World Vision) running community health programs. These organisations need digital tools to track patient outcomes, medicine adherence, and vitals for their beneficiary populations. Omra can be licensed as the digital health record and monitoring layer for these programs.</w:t>
      </w:r>
    </w:p>
    <w:p>
      <w:pPr>
        <w:spacing w:after="120"/>
      </w:pPr>
      <w:r>
        <w:rPr>
          <w:b w:val="0"/>
          <w:i w:val="0"/>
          <w:color w:val="111827"/>
          <w:sz w:val="21"/>
          <w:u w:val="none"/>
        </w:rPr>
        <w:t>Government alignment opportunities:</w:t>
      </w:r>
    </w:p>
    <w:p>
      <w:pPr>
        <w:pStyle w:val="ListBullet"/>
        <w:spacing w:after="80"/>
        <w:ind w:left="432"/>
      </w:pPr>
      <w:r>
        <w:rPr>
          <w:b w:val="0"/>
          <w:i w:val="0"/>
          <w:color w:val="111827"/>
          <w:sz w:val="21"/>
          <w:u w:val="none"/>
        </w:rPr>
        <w:t>Ministry of Health's "Digital Health Strategy 2022–2031" calls for integrated patient records</w:t>
      </w:r>
    </w:p>
    <w:p>
      <w:pPr>
        <w:pStyle w:val="ListBullet"/>
        <w:spacing w:after="80"/>
        <w:ind w:left="432"/>
      </w:pPr>
      <w:r>
        <w:rPr>
          <w:b w:val="0"/>
          <w:i w:val="0"/>
          <w:color w:val="111827"/>
          <w:sz w:val="21"/>
          <w:u w:val="none"/>
        </w:rPr>
        <w:t>Community clinic network (13,000+ clinics nationwide) needs digital tools for CHCPs</w:t>
      </w:r>
    </w:p>
    <w:p>
      <w:pPr>
        <w:pStyle w:val="ListBullet"/>
        <w:spacing w:after="80"/>
        <w:ind w:left="432"/>
      </w:pPr>
      <w:r>
        <w:rPr>
          <w:b w:val="0"/>
          <w:i w:val="0"/>
          <w:color w:val="111827"/>
          <w:sz w:val="21"/>
          <w:u w:val="none"/>
        </w:rPr>
        <w:t>Non-communicable disease (NCD) control programs tracking diabetes and hypertension</w:t>
      </w:r>
    </w:p>
    <w:p>
      <w:pPr>
        <w:spacing w:after="120"/>
      </w:pPr>
      <w:r>
        <w:rPr>
          <w:b w:val="0"/>
          <w:i w:val="0"/>
          <w:color w:val="111827"/>
          <w:sz w:val="21"/>
          <w:u w:val="none"/>
        </w:rPr>
        <w:t>Revenue model:</w:t>
      </w:r>
    </w:p>
    <w:p>
      <w:pPr>
        <w:pStyle w:val="ListBullet"/>
        <w:spacing w:after="80"/>
        <w:ind w:left="432"/>
      </w:pPr>
      <w:r>
        <w:rPr>
          <w:b w:val="0"/>
          <w:i w:val="0"/>
          <w:color w:val="111827"/>
          <w:sz w:val="21"/>
          <w:u w:val="none"/>
        </w:rPr>
        <w:t>Fixed program fee: BDT 5–20 lakh per 6-month program contract</w:t>
      </w:r>
    </w:p>
    <w:p>
      <w:pPr>
        <w:pStyle w:val="ListBullet"/>
        <w:spacing w:after="80"/>
        <w:ind w:left="432"/>
      </w:pPr>
      <w:r>
        <w:rPr>
          <w:b w:val="0"/>
          <w:i w:val="0"/>
          <w:color w:val="111827"/>
          <w:sz w:val="21"/>
          <w:u w:val="none"/>
        </w:rPr>
        <w:t>Per-beneficiary fee: BDT 30–60 per registered patient per month</w:t>
      </w:r>
    </w:p>
    <w:p>
      <w:pPr>
        <w:pStyle w:val="ListBullet"/>
        <w:spacing w:after="80"/>
        <w:ind w:left="432"/>
      </w:pPr>
      <w:r>
        <w:rPr>
          <w:b w:val="0"/>
          <w:i w:val="0"/>
          <w:color w:val="111827"/>
          <w:sz w:val="21"/>
          <w:u w:val="none"/>
        </w:rPr>
        <w:t>White-label licensing: NGO or government branding, Omra backend</w:t>
      </w:r>
    </w:p>
    <w:p>
      <w:pPr>
        <w:spacing w:after="60"/>
        <w:ind w:left="360"/>
      </w:pPr>
      <w:r>
        <w:rPr>
          <w:b/>
          <w:i w:val="0"/>
          <w:color w:val="0F9D77"/>
          <w:sz w:val="21"/>
          <w:u w:val="none"/>
        </w:rPr>
        <w:t xml:space="preserve">Risk: </w:t>
      </w:r>
      <w:r>
        <w:rPr>
          <w:b w:val="0"/>
          <w:i w:val="0"/>
          <w:color w:val="111827"/>
          <w:sz w:val="21"/>
          <w:u w:val="none"/>
        </w:rPr>
        <w:t>Long sales cycle (6–18 months), heavy reporting requirements</w:t>
      </w:r>
    </w:p>
    <w:p>
      <w:pPr>
        <w:spacing w:after="60"/>
        <w:ind w:left="360"/>
      </w:pPr>
      <w:r>
        <w:rPr>
          <w:b/>
          <w:i w:val="0"/>
          <w:color w:val="0F9D77"/>
          <w:sz w:val="21"/>
          <w:u w:val="none"/>
        </w:rPr>
        <w:t xml:space="preserve">Reward: </w:t>
      </w:r>
      <w:r>
        <w:rPr>
          <w:b w:val="0"/>
          <w:i w:val="0"/>
          <w:color w:val="111827"/>
          <w:sz w:val="21"/>
          <w:u w:val="none"/>
        </w:rPr>
        <w:t>Large contracts, non-dilutive revenue, massive user base growth, credibility</w:t>
      </w:r>
    </w:p>
    <w:p>
      <w:pPr>
        <w:spacing w:before="200" w:after="40"/>
      </w:pPr>
      <w:r>
        <w:rPr>
          <w:b/>
          <w:i w:val="0"/>
          <w:color w:val="111827"/>
          <w:sz w:val="23"/>
          <w:u w:val="none"/>
        </w:rPr>
        <w:t>4.5  Pharmaceutical and Diagnostic Lab Partnerships</w:t>
      </w:r>
    </w:p>
    <w:p>
      <w:pPr>
        <w:spacing w:before="120" w:after="120"/>
        <w:ind w:left="288"/>
        <w:shd w:val="clear" w:color="auto" w:fill="FEE2E2"/>
      </w:pPr>
      <w:r>
        <w:rPr>
          <w:b w:val="0"/>
          <w:i/>
          <w:color w:val="111827"/>
          <w:sz w:val="20"/>
          <w:u w:val="none"/>
        </w:rPr>
        <w:t>Revenue type: Referral commission + data licensing · Speed to revenue: Medium</w:t>
      </w:r>
    </w:p>
    <w:p>
      <w:pPr>
        <w:spacing w:after="120"/>
      </w:pPr>
      <w:r>
        <w:rPr>
          <w:b w:val="0"/>
          <w:i w:val="0"/>
          <w:color w:val="111827"/>
          <w:sz w:val="21"/>
          <w:u w:val="none"/>
        </w:rPr>
        <w:t>As Omra accumulates longitudinal health data (vitals trends, medication adherence, prescription histories), it becomes valuable to pharmaceutical companies and diagnostic labs. Two monetisation models apply:</w:t>
      </w:r>
    </w:p>
    <w:p>
      <w:pPr>
        <w:spacing w:after="120"/>
      </w:pPr>
      <w:r>
        <w:rPr>
          <w:b w:val="0"/>
          <w:i w:val="0"/>
          <w:color w:val="111827"/>
          <w:sz w:val="21"/>
          <w:u w:val="none"/>
        </w:rPr>
        <w:t>Referral model (launch phase):</w:t>
      </w:r>
    </w:p>
    <w:p>
      <w:pPr>
        <w:pStyle w:val="ListBullet"/>
        <w:spacing w:after="80"/>
        <w:ind w:left="432"/>
      </w:pPr>
      <w:r>
        <w:rPr>
          <w:b w:val="0"/>
          <w:i w:val="0"/>
          <w:color w:val="111827"/>
          <w:sz w:val="21"/>
          <w:u w:val="none"/>
        </w:rPr>
        <w:t>Partner with diagnostic labs (Popular, Ibn Sina, Delta) — earn BDT 50–150 per test referral</w:t>
      </w:r>
    </w:p>
    <w:p>
      <w:pPr>
        <w:pStyle w:val="ListBullet"/>
        <w:spacing w:after="80"/>
        <w:ind w:left="432"/>
      </w:pPr>
      <w:r>
        <w:rPr>
          <w:b w:val="0"/>
          <w:i w:val="0"/>
          <w:color w:val="111827"/>
          <w:sz w:val="21"/>
          <w:u w:val="none"/>
        </w:rPr>
        <w:t>Partner with pharmacies (Arogga, MedEasy) — earn commission on medicine orders triggered from the app</w:t>
      </w:r>
    </w:p>
    <w:p>
      <w:pPr>
        <w:pStyle w:val="ListBullet"/>
        <w:spacing w:after="80"/>
        <w:ind w:left="432"/>
      </w:pPr>
      <w:r>
        <w:rPr>
          <w:b w:val="0"/>
          <w:i w:val="0"/>
          <w:color w:val="111827"/>
          <w:sz w:val="21"/>
          <w:u w:val="none"/>
        </w:rPr>
        <w:t>Partner with telemedicine platforms — earn referral fee when patient books a consultation</w:t>
      </w:r>
    </w:p>
    <w:p>
      <w:pPr>
        <w:spacing w:after="120"/>
      </w:pPr>
      <w:r>
        <w:rPr>
          <w:b w:val="0"/>
          <w:i w:val="0"/>
          <w:color w:val="111827"/>
          <w:sz w:val="21"/>
          <w:u w:val="none"/>
        </w:rPr>
        <w:t>Data licensing model (scale phase — requires privacy compliance):</w:t>
      </w:r>
    </w:p>
    <w:p>
      <w:pPr>
        <w:pStyle w:val="ListBullet"/>
        <w:spacing w:after="80"/>
        <w:ind w:left="432"/>
      </w:pPr>
      <w:r>
        <w:rPr>
          <w:b w:val="0"/>
          <w:i w:val="0"/>
          <w:color w:val="111827"/>
          <w:sz w:val="21"/>
          <w:u w:val="none"/>
        </w:rPr>
        <w:t>Anonymised population-level health trend data sold to pharma companies for market research</w:t>
      </w:r>
    </w:p>
    <w:p>
      <w:pPr>
        <w:pStyle w:val="ListBullet"/>
        <w:spacing w:after="80"/>
        <w:ind w:left="432"/>
      </w:pPr>
      <w:r>
        <w:rPr>
          <w:b w:val="0"/>
          <w:i w:val="0"/>
          <w:color w:val="111827"/>
          <w:sz w:val="21"/>
          <w:u w:val="none"/>
        </w:rPr>
        <w:t>Medication adherence insights for clinical trial recruitment</w:t>
      </w:r>
    </w:p>
    <w:p>
      <w:pPr>
        <w:pStyle w:val="ListBullet"/>
        <w:spacing w:after="80"/>
        <w:ind w:left="432"/>
      </w:pPr>
      <w:r>
        <w:rPr>
          <w:b w:val="0"/>
          <w:i w:val="0"/>
          <w:color w:val="111827"/>
          <w:sz w:val="21"/>
          <w:u w:val="none"/>
        </w:rPr>
        <w:t>NOTE: Requires explicit opt-in consent and DGDA/BTRC compliance before launching</w:t>
      </w:r>
    </w:p>
    <w:p>
      <w:pPr>
        <w:spacing w:after="60"/>
        <w:ind w:left="360"/>
      </w:pPr>
      <w:r>
        <w:rPr>
          <w:b/>
          <w:i w:val="0"/>
          <w:color w:val="0F9D77"/>
          <w:sz w:val="21"/>
          <w:u w:val="none"/>
        </w:rPr>
        <w:t xml:space="preserve">Ethical consideration: </w:t>
      </w:r>
      <w:r>
        <w:rPr>
          <w:b w:val="0"/>
          <w:i w:val="0"/>
          <w:color w:val="111827"/>
          <w:sz w:val="21"/>
          <w:u w:val="none"/>
        </w:rPr>
        <w:t>Full patient consent and anonymisation is mandatory — no individual data may be sold</w:t>
      </w:r>
    </w:p>
    <w:p>
      <w:pPr>
        <w:spacing w:after="60"/>
        <w:ind w:left="360"/>
      </w:pPr>
      <w:r>
        <w:rPr>
          <w:b/>
          <w:i w:val="0"/>
          <w:color w:val="0F9D77"/>
          <w:sz w:val="21"/>
          <w:u w:val="none"/>
        </w:rPr>
        <w:t xml:space="preserve">Revenue estimate: </w:t>
      </w:r>
      <w:r>
        <w:rPr>
          <w:b w:val="0"/>
          <w:i w:val="0"/>
          <w:color w:val="111827"/>
          <w:sz w:val="21"/>
          <w:u w:val="none"/>
        </w:rPr>
        <w:t>BDT 5–15 lakh/year from referrals at early scale</w:t>
      </w:r>
    </w:p>
    <w:p>
      <w:pPr>
        <w:spacing w:before="360" w:after="80"/>
        <w:pBdr>
          <w:bottom w:val="single" w:sz="12" w:space="4" w:color="0F9D77"/>
        </w:pBdr>
      </w:pPr>
      <w:r>
        <w:rPr>
          <w:b/>
          <w:i w:val="0"/>
          <w:color w:val="0F9D77"/>
          <w:sz w:val="28"/>
          <w:u w:val="none"/>
        </w:rPr>
        <w:t>5.  Pricing Strategy for Bangladesh</w:t>
      </w:r>
    </w:p>
    <w:p>
      <w:pPr>
        <w:spacing w:after="120"/>
      </w:pPr>
      <w:r>
        <w:rPr>
          <w:b w:val="0"/>
          <w:i w:val="0"/>
          <w:color w:val="111827"/>
          <w:sz w:val="21"/>
          <w:u w:val="none"/>
        </w:rPr>
        <w:t>Bangladesh is a price-sensitive market. Consumer willingness to pay for digital health tools is low in absolute terms but growing. The right pricing strategy combines affordability, bKash integration, and strong value framing.</w:t>
      </w:r>
    </w:p>
    <w:p>
      <w:pPr>
        <w:spacing w:after="120"/>
      </w:pPr>
      <w:r>
        <w:rPr>
          <w:b w:val="0"/>
          <w:i w:val="0"/>
          <w:color w:val="111827"/>
          <w:sz w:val="21"/>
          <w:u w:val="none"/>
        </w:rPr>
        <w:t>Principles:</w:t>
      </w:r>
    </w:p>
    <w:p>
      <w:pPr>
        <w:pStyle w:val="ListBullet"/>
        <w:spacing w:after="80"/>
        <w:ind w:left="432"/>
      </w:pPr>
      <w:r>
        <w:rPr>
          <w:b w:val="0"/>
          <w:i w:val="0"/>
          <w:color w:val="111827"/>
          <w:sz w:val="21"/>
          <w:u w:val="none"/>
        </w:rPr>
        <w:t>Price in BDT, never USD — USD pricing creates psychological friction</w:t>
      </w:r>
    </w:p>
    <w:p>
      <w:pPr>
        <w:pStyle w:val="ListBullet"/>
        <w:spacing w:after="80"/>
        <w:ind w:left="432"/>
      </w:pPr>
      <w:r>
        <w:rPr>
          <w:b w:val="0"/>
          <w:i w:val="0"/>
          <w:color w:val="111827"/>
          <w:sz w:val="21"/>
          <w:u w:val="none"/>
        </w:rPr>
        <w:t>Offer monthly AND annual plans — annual with 2-month discount drives cash flow and reduces churn</w:t>
      </w:r>
    </w:p>
    <w:p>
      <w:pPr>
        <w:pStyle w:val="ListBullet"/>
        <w:spacing w:after="80"/>
        <w:ind w:left="432"/>
      </w:pPr>
      <w:r>
        <w:rPr>
          <w:b w:val="0"/>
          <w:i w:val="0"/>
          <w:color w:val="111827"/>
          <w:sz w:val="21"/>
          <w:u w:val="none"/>
        </w:rPr>
        <w:t>Support bKash autopay and Nagad — the majority of target users do not have credit cards</w:t>
      </w:r>
    </w:p>
    <w:p>
      <w:pPr>
        <w:pStyle w:val="ListBullet"/>
        <w:spacing w:after="80"/>
        <w:ind w:left="432"/>
      </w:pPr>
      <w:r>
        <w:rPr>
          <w:b w:val="0"/>
          <w:i w:val="0"/>
          <w:color w:val="111827"/>
          <w:sz w:val="21"/>
          <w:u w:val="none"/>
        </w:rPr>
        <w:t>Never paywall emergency alerts, medication reminders, or crisis features — these build trust and retention</w:t>
      </w:r>
    </w:p>
    <w:p>
      <w:pPr>
        <w:pStyle w:val="ListBullet"/>
        <w:spacing w:after="80"/>
        <w:ind w:left="432"/>
      </w:pPr>
      <w:r>
        <w:rPr>
          <w:b w:val="0"/>
          <w:i w:val="0"/>
          <w:color w:val="111827"/>
          <w:sz w:val="21"/>
          <w:u w:val="none"/>
        </w:rPr>
        <w:t>Use "family plan" framing — "protect your parents for BDT 8/day" converts better than "subscribe for BDT 250/month"</w:t>
      </w:r>
    </w:p>
    <w:p>
      <w:pPr>
        <w:spacing w:before="200" w:after="40"/>
      </w:pPr>
      <w:r>
        <w:rPr>
          <w:b/>
          <w:i w:val="0"/>
          <w:color w:val="111827"/>
          <w:sz w:val="23"/>
          <w:u w:val="none"/>
        </w:rPr>
        <w:t>Suggested Pricing Summary</w:t>
      </w:r>
    </w:p>
    <w:p>
      <w:pPr>
        <w:spacing w:after="60"/>
        <w:ind w:left="360"/>
      </w:pPr>
      <w:r>
        <w:rPr>
          <w:b/>
          <w:i w:val="0"/>
          <w:color w:val="0F9D77"/>
          <w:sz w:val="21"/>
          <w:u w:val="none"/>
        </w:rPr>
        <w:t xml:space="preserve">Patient Free Tier: </w:t>
      </w:r>
      <w:r>
        <w:rPr>
          <w:b w:val="0"/>
          <w:i w:val="0"/>
          <w:color w:val="111827"/>
          <w:sz w:val="21"/>
          <w:u w:val="none"/>
        </w:rPr>
        <w:t>BDT 0 — basic tracking, 30-day history, 3 medicines</w:t>
      </w:r>
    </w:p>
    <w:p>
      <w:pPr>
        <w:spacing w:after="60"/>
        <w:ind w:left="360"/>
      </w:pPr>
      <w:r>
        <w:rPr>
          <w:b/>
          <w:i w:val="0"/>
          <w:color w:val="0F9D77"/>
          <w:sz w:val="21"/>
          <w:u w:val="none"/>
        </w:rPr>
        <w:t xml:space="preserve">Patient Premium: </w:t>
      </w:r>
      <w:r>
        <w:rPr>
          <w:b w:val="0"/>
          <w:i w:val="0"/>
          <w:color w:val="111827"/>
          <w:sz w:val="21"/>
          <w:u w:val="none"/>
        </w:rPr>
        <w:t>BDT 199/month or BDT 1,699/year (~BDT 141/month)</w:t>
      </w:r>
    </w:p>
    <w:p>
      <w:pPr>
        <w:spacing w:after="60"/>
        <w:ind w:left="360"/>
      </w:pPr>
      <w:r>
        <w:rPr>
          <w:b/>
          <w:i w:val="0"/>
          <w:color w:val="0F9D77"/>
          <w:sz w:val="21"/>
          <w:u w:val="none"/>
        </w:rPr>
        <w:t xml:space="preserve">Family Plan (1 patient + 3 family members): </w:t>
      </w:r>
      <w:r>
        <w:rPr>
          <w:b w:val="0"/>
          <w:i w:val="0"/>
          <w:color w:val="111827"/>
          <w:sz w:val="21"/>
          <w:u w:val="none"/>
        </w:rPr>
        <w:t>BDT 299/month or BDT 2,499/year</w:t>
      </w:r>
    </w:p>
    <w:p>
      <w:pPr>
        <w:spacing w:after="60"/>
        <w:ind w:left="360"/>
      </w:pPr>
      <w:r>
        <w:rPr>
          <w:b/>
          <w:i w:val="0"/>
          <w:color w:val="0F9D77"/>
          <w:sz w:val="21"/>
          <w:u w:val="none"/>
        </w:rPr>
        <w:t xml:space="preserve">Clinic Starter (1–2 doctors): </w:t>
      </w:r>
      <w:r>
        <w:rPr>
          <w:b w:val="0"/>
          <w:i w:val="0"/>
          <w:color w:val="111827"/>
          <w:sz w:val="21"/>
          <w:u w:val="none"/>
        </w:rPr>
        <w:t>BDT 2,500/month or BDT 25,000/year</w:t>
      </w:r>
    </w:p>
    <w:p>
      <w:pPr>
        <w:spacing w:after="60"/>
        <w:ind w:left="360"/>
      </w:pPr>
      <w:r>
        <w:rPr>
          <w:b/>
          <w:i w:val="0"/>
          <w:color w:val="0F9D77"/>
          <w:sz w:val="21"/>
          <w:u w:val="none"/>
        </w:rPr>
        <w:t xml:space="preserve">Clinic Growth (3–5 doctors): </w:t>
      </w:r>
      <w:r>
        <w:rPr>
          <w:b w:val="0"/>
          <w:i w:val="0"/>
          <w:color w:val="111827"/>
          <w:sz w:val="21"/>
          <w:u w:val="none"/>
        </w:rPr>
        <w:t>BDT 5,500/month or BDT 55,000/year</w:t>
      </w:r>
    </w:p>
    <w:p>
      <w:pPr>
        <w:spacing w:after="60"/>
        <w:ind w:left="360"/>
      </w:pPr>
      <w:r>
        <w:rPr>
          <w:b/>
          <w:i w:val="0"/>
          <w:color w:val="0F9D77"/>
          <w:sz w:val="21"/>
          <w:u w:val="none"/>
        </w:rPr>
        <w:t xml:space="preserve">Clinic Enterprise (hospital): </w:t>
      </w:r>
      <w:r>
        <w:rPr>
          <w:b w:val="0"/>
          <w:i w:val="0"/>
          <w:color w:val="111827"/>
          <w:sz w:val="21"/>
          <w:u w:val="none"/>
        </w:rPr>
        <w:t>BDT 12,000–25,000/month (custom)</w:t>
      </w:r>
    </w:p>
    <w:p>
      <w:pPr>
        <w:spacing w:after="60"/>
        <w:ind w:left="360"/>
      </w:pPr>
      <w:r>
        <w:rPr>
          <w:b/>
          <w:i w:val="0"/>
          <w:color w:val="0F9D77"/>
          <w:sz w:val="21"/>
          <w:u w:val="none"/>
        </w:rPr>
        <w:t xml:space="preserve">Corporate wellness (per employee): </w:t>
      </w:r>
      <w:r>
        <w:rPr>
          <w:b w:val="0"/>
          <w:i w:val="0"/>
          <w:color w:val="111827"/>
          <w:sz w:val="21"/>
          <w:u w:val="none"/>
        </w:rPr>
        <w:t>BDT 80–120/employee/month (min 100 employees)</w:t>
      </w:r>
    </w:p>
    <w:p>
      <w:pPr>
        <w:spacing w:before="360" w:after="80"/>
        <w:pBdr>
          <w:bottom w:val="single" w:sz="12" w:space="4" w:color="0F9D77"/>
        </w:pBdr>
      </w:pPr>
      <w:r>
        <w:rPr>
          <w:b/>
          <w:i w:val="0"/>
          <w:color w:val="0F9D77"/>
          <w:sz w:val="28"/>
          <w:u w:val="none"/>
        </w:rPr>
        <w:t>6.  Go-to-Market Strategy</w:t>
      </w:r>
    </w:p>
    <w:p>
      <w:pPr>
        <w:spacing w:before="200" w:after="40"/>
      </w:pPr>
      <w:r>
        <w:rPr>
          <w:b/>
          <w:i w:val="0"/>
          <w:color w:val="111827"/>
          <w:sz w:val="23"/>
          <w:u w:val="none"/>
        </w:rPr>
        <w:t>Phase 1 — Months 0–6: Clinic-Led Launch (B2B First)</w:t>
      </w:r>
    </w:p>
    <w:p>
      <w:pPr>
        <w:spacing w:after="120"/>
      </w:pPr>
      <w:r>
        <w:rPr>
          <w:b w:val="0"/>
          <w:i w:val="0"/>
          <w:color w:val="111827"/>
          <w:sz w:val="21"/>
          <w:u w:val="none"/>
        </w:rPr>
        <w:t>Launch the Doctor Portal with 10–20 pilot clinics in Dhaka (Dhanmondi, Mirpur, Uttara). Offer free 3-month trials to GPs and diabetologists. Their patients automatically become Patient Portal users — no separate B2C marketing needed. Clinics become the distribution channel.</w:t>
      </w:r>
    </w:p>
    <w:p>
      <w:pPr>
        <w:pStyle w:val="ListBullet"/>
        <w:spacing w:after="80"/>
        <w:ind w:left="432"/>
      </w:pPr>
      <w:r>
        <w:rPr>
          <w:b w:val="0"/>
          <w:i w:val="0"/>
          <w:color w:val="111827"/>
          <w:sz w:val="21"/>
          <w:u w:val="none"/>
        </w:rPr>
        <w:t>Target: 20 clinic partnerships, 2,000 patient app users</w:t>
      </w:r>
    </w:p>
    <w:p>
      <w:pPr>
        <w:pStyle w:val="ListBullet"/>
        <w:spacing w:after="80"/>
        <w:ind w:left="432"/>
      </w:pPr>
      <w:r>
        <w:rPr>
          <w:b w:val="0"/>
          <w:i w:val="0"/>
          <w:color w:val="111827"/>
          <w:sz w:val="21"/>
          <w:u w:val="none"/>
        </w:rPr>
        <w:t>Revenue target: BDT 500K/month by Month 6</w:t>
      </w:r>
    </w:p>
    <w:p>
      <w:pPr>
        <w:pStyle w:val="ListBullet"/>
        <w:spacing w:after="80"/>
        <w:ind w:left="432"/>
      </w:pPr>
      <w:r>
        <w:rPr>
          <w:b w:val="0"/>
          <w:i w:val="0"/>
          <w:color w:val="111827"/>
          <w:sz w:val="21"/>
          <w:u w:val="none"/>
        </w:rPr>
        <w:t>Key action: Hire 1 B2B sales person based in Dhaka</w:t>
      </w:r>
    </w:p>
    <w:p>
      <w:pPr>
        <w:spacing w:before="200" w:after="40"/>
      </w:pPr>
      <w:r>
        <w:rPr>
          <w:b/>
          <w:i w:val="0"/>
          <w:color w:val="111827"/>
          <w:sz w:val="23"/>
          <w:u w:val="none"/>
        </w:rPr>
        <w:t>Phase 2 — Months 6–18: B2C Growth + Corporate</w:t>
      </w:r>
    </w:p>
    <w:p>
      <w:pPr>
        <w:spacing w:after="120"/>
      </w:pPr>
      <w:r>
        <w:rPr>
          <w:b w:val="0"/>
          <w:i w:val="0"/>
          <w:color w:val="111827"/>
          <w:sz w:val="21"/>
          <w:u w:val="none"/>
        </w:rPr>
        <w:t>Activate B2C marketing targeting diabetes and hypertension patient communities on Facebook (Bangladesh's dominant social platform). Launch the Family Plan with a "protect your parents" campaign timed around Eid. Begin approaching 2–3 RMG factories for corporate wellness pilots.</w:t>
      </w:r>
    </w:p>
    <w:p>
      <w:pPr>
        <w:pStyle w:val="ListBullet"/>
        <w:spacing w:after="80"/>
        <w:ind w:left="432"/>
      </w:pPr>
      <w:r>
        <w:rPr>
          <w:b w:val="0"/>
          <w:i w:val="0"/>
          <w:color w:val="111827"/>
          <w:sz w:val="21"/>
          <w:u w:val="none"/>
        </w:rPr>
        <w:t>Target: 5,000 premium B2C subscribers, 2 corporate wellness clients</w:t>
      </w:r>
    </w:p>
    <w:p>
      <w:pPr>
        <w:pStyle w:val="ListBullet"/>
        <w:spacing w:after="80"/>
        <w:ind w:left="432"/>
      </w:pPr>
      <w:r>
        <w:rPr>
          <w:b w:val="0"/>
          <w:i w:val="0"/>
          <w:color w:val="111827"/>
          <w:sz w:val="21"/>
          <w:u w:val="none"/>
        </w:rPr>
        <w:t>Revenue target: BDT 3M/month by Month 18</w:t>
      </w:r>
    </w:p>
    <w:p>
      <w:pPr>
        <w:spacing w:before="200" w:after="40"/>
      </w:pPr>
      <w:r>
        <w:rPr>
          <w:b/>
          <w:i w:val="0"/>
          <w:color w:val="111827"/>
          <w:sz w:val="23"/>
          <w:u w:val="none"/>
        </w:rPr>
        <w:t>Phase 3 — Month 18+: NGO/Government + Data Partnerships</w:t>
      </w:r>
    </w:p>
    <w:p>
      <w:pPr>
        <w:spacing w:after="120"/>
      </w:pPr>
      <w:r>
        <w:rPr>
          <w:b w:val="0"/>
          <w:i w:val="0"/>
          <w:color w:val="111827"/>
          <w:sz w:val="21"/>
          <w:u w:val="none"/>
        </w:rPr>
        <w:t>With a proven product and real-world health outcome data, approach BRAC Health and the Ministry of Health for pilot programs. Begin exploring anonymised data partnerships with pharma companies operating in Bangladesh (AstraZeneca, Novo Nordisk, Square Pharma).</w:t>
      </w:r>
    </w:p>
    <w:p>
      <w:pPr>
        <w:spacing w:before="360" w:after="80"/>
        <w:pBdr>
          <w:bottom w:val="single" w:sz="12" w:space="4" w:color="0F9D77"/>
        </w:pBdr>
      </w:pPr>
      <w:r>
        <w:rPr>
          <w:b/>
          <w:i w:val="0"/>
          <w:color w:val="0F9D77"/>
          <w:sz w:val="28"/>
          <w:u w:val="none"/>
        </w:rPr>
        <w:t>7.  Challenges and Risks</w:t>
      </w:r>
    </w:p>
    <w:p>
      <w:pPr>
        <w:spacing w:after="60"/>
        <w:ind w:left="360"/>
      </w:pPr>
      <w:r>
        <w:rPr>
          <w:b/>
          <w:i w:val="0"/>
          <w:color w:val="0F9D77"/>
          <w:sz w:val="21"/>
          <w:u w:val="none"/>
        </w:rPr>
        <w:t xml:space="preserve">Low digital health literacy: </w:t>
      </w:r>
      <w:r>
        <w:rPr>
          <w:b w:val="0"/>
          <w:i w:val="0"/>
          <w:color w:val="111827"/>
          <w:sz w:val="21"/>
          <w:u w:val="none"/>
        </w:rPr>
        <w:t>Many target patients have never used a health app. Requires simple UX (Bengali language support is critical), and community health worker-assisted onboarding in rural areas.</w:t>
      </w:r>
    </w:p>
    <w:p>
      <w:pPr>
        <w:spacing w:after="60"/>
        <w:ind w:left="360"/>
      </w:pPr>
      <w:r>
        <w:rPr>
          <w:b/>
          <w:i w:val="0"/>
          <w:color w:val="0F9D77"/>
          <w:sz w:val="21"/>
          <w:u w:val="none"/>
        </w:rPr>
        <w:t xml:space="preserve">Payment friction: </w:t>
      </w:r>
      <w:r>
        <w:rPr>
          <w:b w:val="0"/>
          <w:i w:val="0"/>
          <w:color w:val="111827"/>
          <w:sz w:val="21"/>
          <w:u w:val="none"/>
        </w:rPr>
        <w:t>bKash and Nagad integration is essential — without it, conversion from free to paid will be very low.</w:t>
      </w:r>
    </w:p>
    <w:p>
      <w:pPr>
        <w:spacing w:after="60"/>
        <w:ind w:left="360"/>
      </w:pPr>
      <w:r>
        <w:rPr>
          <w:b/>
          <w:i w:val="0"/>
          <w:color w:val="0F9D77"/>
          <w:sz w:val="21"/>
          <w:u w:val="none"/>
        </w:rPr>
        <w:t xml:space="preserve">Doctor adoption resistance: </w:t>
      </w:r>
      <w:r>
        <w:rPr>
          <w:b w:val="0"/>
          <w:i w:val="0"/>
          <w:color w:val="111827"/>
          <w:sz w:val="21"/>
          <w:u w:val="none"/>
        </w:rPr>
        <w:t>Older private-practice doctors may resist digital tools. A simple, fast onboarding flow for doctors and demonstrable time savings (fewer phone calls from patients) are key.</w:t>
      </w:r>
    </w:p>
    <w:p>
      <w:pPr>
        <w:spacing w:after="60"/>
        <w:ind w:left="360"/>
      </w:pPr>
      <w:r>
        <w:rPr>
          <w:b/>
          <w:i w:val="0"/>
          <w:color w:val="0F9D77"/>
          <w:sz w:val="21"/>
          <w:u w:val="none"/>
        </w:rPr>
        <w:t xml:space="preserve">Data privacy and regulation: </w:t>
      </w:r>
      <w:r>
        <w:rPr>
          <w:b w:val="0"/>
          <w:i w:val="0"/>
          <w:color w:val="111827"/>
          <w:sz w:val="21"/>
          <w:u w:val="none"/>
        </w:rPr>
        <w:t>Bangladesh's Digital Security Act and health data regulations are evolving. Privacy-by-design architecture and patient consent frameworks must be built from the start.</w:t>
      </w:r>
    </w:p>
    <w:p>
      <w:pPr>
        <w:spacing w:after="60"/>
        <w:ind w:left="360"/>
      </w:pPr>
      <w:r>
        <w:rPr>
          <w:b/>
          <w:i w:val="0"/>
          <w:color w:val="0F9D77"/>
          <w:sz w:val="21"/>
          <w:u w:val="none"/>
        </w:rPr>
        <w:t xml:space="preserve">Competition from funded players: </w:t>
      </w:r>
      <w:r>
        <w:rPr>
          <w:b w:val="0"/>
          <w:i w:val="0"/>
          <w:color w:val="111827"/>
          <w:sz w:val="21"/>
          <w:u w:val="none"/>
        </w:rPr>
        <w:t>Maya has funding and brand recognition. Omra's differentiation must be the integrated family monitoring + doctor continuity angle, which Maya does not offer.</w:t>
      </w:r>
    </w:p>
    <w:p>
      <w:pPr>
        <w:spacing w:after="60"/>
        <w:ind w:left="360"/>
      </w:pPr>
      <w:r>
        <w:rPr>
          <w:b/>
          <w:i w:val="0"/>
          <w:color w:val="0F9D77"/>
          <w:sz w:val="21"/>
          <w:u w:val="none"/>
        </w:rPr>
        <w:t xml:space="preserve">Internet connectivity in rural areas: </w:t>
      </w:r>
      <w:r>
        <w:rPr>
          <w:b w:val="0"/>
          <w:i w:val="0"/>
          <w:color w:val="111827"/>
          <w:sz w:val="21"/>
          <w:u w:val="none"/>
        </w:rPr>
        <w:t>Offline-capable features (local data sync, SMS-based reminders as fallback) are needed to serve semi-urban and rural patients.</w:t>
      </w:r>
    </w:p>
    <w:p>
      <w:pPr>
        <w:spacing w:before="360" w:after="80"/>
        <w:pBdr>
          <w:bottom w:val="single" w:sz="12" w:space="4" w:color="0F9D77"/>
        </w:pBdr>
      </w:pPr>
      <w:r>
        <w:rPr>
          <w:b/>
          <w:i w:val="0"/>
          <w:color w:val="0F9D77"/>
          <w:sz w:val="28"/>
          <w:u w:val="none"/>
        </w:rPr>
        <w:t>8.  Recommended Approach</w:t>
      </w:r>
    </w:p>
    <w:p>
      <w:pPr>
        <w:spacing w:after="120"/>
      </w:pPr>
      <w:r>
        <w:rPr>
          <w:b w:val="0"/>
          <w:i w:val="0"/>
          <w:color w:val="111827"/>
          <w:sz w:val="21"/>
          <w:u w:val="none"/>
        </w:rPr>
        <w:t>Based on the market research, the following sequenced approach is recommended for Omra:</w:t>
      </w:r>
    </w:p>
    <w:p>
      <w:pPr>
        <w:pStyle w:val="ListBullet"/>
        <w:spacing w:after="80"/>
        <w:ind w:left="432"/>
      </w:pPr>
      <w:r>
        <w:rPr>
          <w:b w:val="0"/>
          <w:i w:val="0"/>
          <w:color w:val="111827"/>
          <w:sz w:val="21"/>
          <w:u w:val="none"/>
        </w:rPr>
        <w:t>Start with B2B clinic SaaS. It generates the most revenue the fastest, with the least marketing spend.</w:t>
      </w:r>
    </w:p>
    <w:p>
      <w:pPr>
        <w:pStyle w:val="ListBullet"/>
        <w:spacing w:after="80"/>
        <w:ind w:left="432"/>
      </w:pPr>
      <w:r>
        <w:rPr>
          <w:b w:val="0"/>
          <w:i w:val="0"/>
          <w:color w:val="111827"/>
          <w:sz w:val="21"/>
          <w:u w:val="none"/>
        </w:rPr>
        <w:t>Use clinic partnerships as the organic distribution engine for patient-side B2C growth.</w:t>
      </w:r>
    </w:p>
    <w:p>
      <w:pPr>
        <w:pStyle w:val="ListBullet"/>
        <w:spacing w:after="80"/>
        <w:ind w:left="432"/>
      </w:pPr>
      <w:r>
        <w:rPr>
          <w:b w:val="0"/>
          <w:i w:val="0"/>
          <w:color w:val="111827"/>
          <w:sz w:val="21"/>
          <w:u w:val="none"/>
        </w:rPr>
        <w:t>Add Bengali language support before launch — it is a requirement, not a nice-to-have.</w:t>
      </w:r>
    </w:p>
    <w:p>
      <w:pPr>
        <w:pStyle w:val="ListBullet"/>
        <w:spacing w:after="80"/>
        <w:ind w:left="432"/>
      </w:pPr>
      <w:r>
        <w:rPr>
          <w:b w:val="0"/>
          <w:i w:val="0"/>
          <w:color w:val="111827"/>
          <w:sz w:val="21"/>
          <w:u w:val="none"/>
        </w:rPr>
        <w:t>Integrate bKash and Nagad payment before monetising B2C.</w:t>
      </w:r>
    </w:p>
    <w:p>
      <w:pPr>
        <w:pStyle w:val="ListBullet"/>
        <w:spacing w:after="80"/>
        <w:ind w:left="432"/>
      </w:pPr>
      <w:r>
        <w:rPr>
          <w:b w:val="0"/>
          <w:i w:val="0"/>
          <w:color w:val="111827"/>
          <w:sz w:val="21"/>
          <w:u w:val="none"/>
        </w:rPr>
        <w:t>Build the Family Plan as the flagship consumer product — the family monitoring angle is unique and culturally resonant in Bangladesh.</w:t>
      </w:r>
    </w:p>
    <w:p>
      <w:pPr>
        <w:pStyle w:val="ListBullet"/>
        <w:spacing w:after="80"/>
        <w:ind w:left="432"/>
      </w:pPr>
      <w:r>
        <w:rPr>
          <w:b w:val="0"/>
          <w:i w:val="0"/>
          <w:color w:val="111827"/>
          <w:sz w:val="21"/>
          <w:u w:val="none"/>
        </w:rPr>
        <w:t>Do not pursue data monetisation until you have 50,000+ users and a proper consent and compliance framework.</w:t>
      </w:r>
    </w:p>
    <w:p>
      <w:pPr>
        <w:pStyle w:val="ListBullet"/>
        <w:spacing w:after="80"/>
        <w:ind w:left="432"/>
      </w:pPr>
      <w:r>
        <w:rPr>
          <w:b w:val="0"/>
          <w:i w:val="0"/>
          <w:color w:val="111827"/>
          <w:sz w:val="21"/>
          <w:u w:val="none"/>
        </w:rPr>
        <w:t>Approach BRAC Health for a pilot program around Month 18 — credibility from clinic partnerships will open that door.</w:t>
      </w:r>
    </w:p>
    <w:p>
      <w:pPr>
        <w:spacing w:before="120" w:after="120"/>
        <w:ind w:left="288"/>
        <w:shd w:val="clear" w:color="auto" w:fill="E8F5F1"/>
      </w:pPr>
      <w:r>
        <w:rPr>
          <w:b w:val="0"/>
          <w:i/>
          <w:color w:val="111827"/>
          <w:sz w:val="20"/>
          <w:u w:val="none"/>
        </w:rPr>
        <w:t>💡  The core insight: In Bangladesh, the fastest path to sustainable revenue is not chasing individual consumer subscriptions — it is becoming the digital backbone of private clinics and letting their existing patients become your users organically.</w:t>
      </w:r>
    </w:p>
    <w:p>
      <w:pPr>
        <w:spacing w:before="360" w:after="80"/>
        <w:pBdr>
          <w:bottom w:val="single" w:sz="12" w:space="4" w:color="0F9D77"/>
        </w:pBdr>
      </w:pPr>
      <w:r>
        <w:rPr>
          <w:b/>
          <w:i w:val="0"/>
          <w:color w:val="0F9D77"/>
          <w:sz w:val="28"/>
          <w:u w:val="none"/>
        </w:rPr>
        <w:t>9.  Revenue Projection Summary</w:t>
      </w:r>
    </w:p>
    <w:p>
      <w:pPr>
        <w:spacing w:after="120"/>
      </w:pPr>
      <w:r>
        <w:rPr>
          <w:b w:val="0"/>
          <w:i w:val="0"/>
          <w:color w:val="111827"/>
          <w:sz w:val="21"/>
          <w:u w:val="none"/>
        </w:rPr>
        <w:t>Conservative estimates based on Bangladesh market benchmarks:</w:t>
      </w:r>
    </w:p>
    <w:tbl>
      <w:tblPr>
        <w:tblStyle w:val="TableGrid"/>
        <w:tblW w:type="auto" w:w="0"/>
        <w:tblLook w:firstColumn="1" w:firstRow="1" w:lastColumn="0" w:lastRow="0" w:noHBand="0" w:noVBand="1" w:val="04A0"/>
      </w:tblPr>
      <w:tblGrid>
        <w:gridCol w:w="2268"/>
        <w:gridCol w:w="2268"/>
        <w:gridCol w:w="2268"/>
        <w:gridCol w:w="2268"/>
      </w:tblGrid>
      <w:tr>
        <w:tc>
          <w:tcPr>
            <w:tcW w:type="dxa" w:w="2268"/>
            <w:shd w:val="clear" w:color="auto" w:fill="0F9D77"/>
          </w:tcPr>
          <w:p>
            <w:r>
              <w:rPr>
                <w:b/>
                <w:color w:val="FFFFFF"/>
                <w:sz w:val="20"/>
              </w:rPr>
              <w:t>Revenue Stream</w:t>
            </w:r>
          </w:p>
        </w:tc>
        <w:tc>
          <w:tcPr>
            <w:tcW w:type="dxa" w:w="2268"/>
            <w:shd w:val="clear" w:color="auto" w:fill="0F9D77"/>
          </w:tcPr>
          <w:p>
            <w:r>
              <w:rPr>
                <w:b/>
                <w:color w:val="FFFFFF"/>
                <w:sz w:val="20"/>
              </w:rPr>
              <w:t>Year 1</w:t>
            </w:r>
          </w:p>
        </w:tc>
        <w:tc>
          <w:tcPr>
            <w:tcW w:type="dxa" w:w="2268"/>
            <w:shd w:val="clear" w:color="auto" w:fill="0F9D77"/>
          </w:tcPr>
          <w:p>
            <w:r>
              <w:rPr>
                <w:b/>
                <w:color w:val="FFFFFF"/>
                <w:sz w:val="20"/>
              </w:rPr>
              <w:t>Year 2</w:t>
            </w:r>
          </w:p>
        </w:tc>
        <w:tc>
          <w:tcPr>
            <w:tcW w:type="dxa" w:w="2268"/>
            <w:shd w:val="clear" w:color="auto" w:fill="0F9D77"/>
          </w:tcPr>
          <w:p>
            <w:r>
              <w:rPr>
                <w:b/>
                <w:color w:val="FFFFFF"/>
                <w:sz w:val="20"/>
              </w:rPr>
              <w:t>Year 3</w:t>
            </w:r>
          </w:p>
        </w:tc>
      </w:tr>
      <w:tr>
        <w:tc>
          <w:tcPr>
            <w:tcW w:type="dxa" w:w="2268"/>
            <w:shd w:val="clear" w:color="auto" w:fill="F2FAF7"/>
          </w:tcPr>
          <w:p>
            <w:r>
              <w:rPr>
                <w:color w:val="111827"/>
                <w:sz w:val="20"/>
              </w:rPr>
              <w:t>B2B Clinic SaaS</w:t>
            </w:r>
          </w:p>
        </w:tc>
        <w:tc>
          <w:tcPr>
            <w:tcW w:type="dxa" w:w="2268"/>
            <w:shd w:val="clear" w:color="auto" w:fill="F2FAF7"/>
          </w:tcPr>
          <w:p>
            <w:r>
              <w:rPr>
                <w:color w:val="111827"/>
                <w:sz w:val="20"/>
              </w:rPr>
              <w:t>BDT 6M</w:t>
            </w:r>
          </w:p>
        </w:tc>
        <w:tc>
          <w:tcPr>
            <w:tcW w:type="dxa" w:w="2268"/>
            <w:shd w:val="clear" w:color="auto" w:fill="F2FAF7"/>
          </w:tcPr>
          <w:p>
            <w:r>
              <w:rPr>
                <w:color w:val="111827"/>
                <w:sz w:val="20"/>
              </w:rPr>
              <w:t>BDT 28M</w:t>
            </w:r>
          </w:p>
        </w:tc>
        <w:tc>
          <w:tcPr>
            <w:tcW w:type="dxa" w:w="2268"/>
            <w:shd w:val="clear" w:color="auto" w:fill="F2FAF7"/>
          </w:tcPr>
          <w:p>
            <w:r>
              <w:rPr>
                <w:color w:val="111827"/>
                <w:sz w:val="20"/>
              </w:rPr>
              <w:t>BDT 75M</w:t>
            </w:r>
          </w:p>
        </w:tc>
      </w:tr>
      <w:tr>
        <w:tc>
          <w:tcPr>
            <w:tcW w:type="dxa" w:w="2268"/>
          </w:tcPr>
          <w:p>
            <w:r>
              <w:rPr>
                <w:color w:val="111827"/>
                <w:sz w:val="20"/>
              </w:rPr>
              <w:t>B2C Freemium</w:t>
            </w:r>
          </w:p>
        </w:tc>
        <w:tc>
          <w:tcPr>
            <w:tcW w:type="dxa" w:w="2268"/>
          </w:tcPr>
          <w:p>
            <w:r>
              <w:rPr>
                <w:color w:val="111827"/>
                <w:sz w:val="20"/>
              </w:rPr>
              <w:t>BDT 1M</w:t>
            </w:r>
          </w:p>
        </w:tc>
        <w:tc>
          <w:tcPr>
            <w:tcW w:type="dxa" w:w="2268"/>
          </w:tcPr>
          <w:p>
            <w:r>
              <w:rPr>
                <w:color w:val="111827"/>
                <w:sz w:val="20"/>
              </w:rPr>
              <w:t>BDT 8M</w:t>
            </w:r>
          </w:p>
        </w:tc>
        <w:tc>
          <w:tcPr>
            <w:tcW w:type="dxa" w:w="2268"/>
          </w:tcPr>
          <w:p>
            <w:r>
              <w:rPr>
                <w:color w:val="111827"/>
                <w:sz w:val="20"/>
              </w:rPr>
              <w:t>BDT 24M</w:t>
            </w:r>
          </w:p>
        </w:tc>
      </w:tr>
      <w:tr>
        <w:tc>
          <w:tcPr>
            <w:tcW w:type="dxa" w:w="2268"/>
            <w:shd w:val="clear" w:color="auto" w:fill="F2FAF7"/>
          </w:tcPr>
          <w:p>
            <w:r>
              <w:rPr>
                <w:color w:val="111827"/>
                <w:sz w:val="20"/>
              </w:rPr>
              <w:t>Corporate Wellness</w:t>
            </w:r>
          </w:p>
        </w:tc>
        <w:tc>
          <w:tcPr>
            <w:tcW w:type="dxa" w:w="2268"/>
            <w:shd w:val="clear" w:color="auto" w:fill="F2FAF7"/>
          </w:tcPr>
          <w:p>
            <w:r>
              <w:rPr>
                <w:color w:val="111827"/>
                <w:sz w:val="20"/>
              </w:rPr>
              <w:t>BDT 0.5M</w:t>
            </w:r>
          </w:p>
        </w:tc>
        <w:tc>
          <w:tcPr>
            <w:tcW w:type="dxa" w:w="2268"/>
            <w:shd w:val="clear" w:color="auto" w:fill="F2FAF7"/>
          </w:tcPr>
          <w:p>
            <w:r>
              <w:rPr>
                <w:color w:val="111827"/>
                <w:sz w:val="20"/>
              </w:rPr>
              <w:t>BDT 4M</w:t>
            </w:r>
          </w:p>
        </w:tc>
        <w:tc>
          <w:tcPr>
            <w:tcW w:type="dxa" w:w="2268"/>
            <w:shd w:val="clear" w:color="auto" w:fill="F2FAF7"/>
          </w:tcPr>
          <w:p>
            <w:r>
              <w:rPr>
                <w:color w:val="111827"/>
                <w:sz w:val="20"/>
              </w:rPr>
              <w:t>BDT 15M</w:t>
            </w:r>
          </w:p>
        </w:tc>
      </w:tr>
      <w:tr>
        <w:tc>
          <w:tcPr>
            <w:tcW w:type="dxa" w:w="2268"/>
          </w:tcPr>
          <w:p>
            <w:r>
              <w:rPr>
                <w:color w:val="111827"/>
                <w:sz w:val="20"/>
              </w:rPr>
              <w:t>Referral / Partnerships</w:t>
            </w:r>
          </w:p>
        </w:tc>
        <w:tc>
          <w:tcPr>
            <w:tcW w:type="dxa" w:w="2268"/>
          </w:tcPr>
          <w:p>
            <w:r>
              <w:rPr>
                <w:color w:val="111827"/>
                <w:sz w:val="20"/>
              </w:rPr>
              <w:t>BDT 0.2M</w:t>
            </w:r>
          </w:p>
        </w:tc>
        <w:tc>
          <w:tcPr>
            <w:tcW w:type="dxa" w:w="2268"/>
          </w:tcPr>
          <w:p>
            <w:r>
              <w:rPr>
                <w:color w:val="111827"/>
                <w:sz w:val="20"/>
              </w:rPr>
              <w:t>BDT 2M</w:t>
            </w:r>
          </w:p>
        </w:tc>
        <w:tc>
          <w:tcPr>
            <w:tcW w:type="dxa" w:w="2268"/>
          </w:tcPr>
          <w:p>
            <w:r>
              <w:rPr>
                <w:color w:val="111827"/>
                <w:sz w:val="20"/>
              </w:rPr>
              <w:t>BDT 8M</w:t>
            </w:r>
          </w:p>
        </w:tc>
      </w:tr>
    </w:tbl>
    <w:p>
      <w:pPr>
        <w:spacing w:after="120"/>
      </w:pPr>
      <w:r>
        <w:rPr>
          <w:b w:val="0"/>
          <w:i w:val="0"/>
          <w:color w:val="111827"/>
          <w:sz w:val="21"/>
          <w:u w:val="none"/>
        </w:rPr>
      </w:r>
    </w:p>
    <w:p>
      <w:pPr>
        <w:spacing w:after="60"/>
        <w:ind w:left="360"/>
      </w:pPr>
      <w:r>
        <w:rPr>
          <w:b/>
          <w:i w:val="0"/>
          <w:color w:val="0F9D77"/>
          <w:sz w:val="21"/>
          <w:u w:val="none"/>
        </w:rPr>
        <w:t xml:space="preserve">Year 1 Total: </w:t>
      </w:r>
      <w:r>
        <w:rPr>
          <w:b w:val="0"/>
          <w:i w:val="0"/>
          <w:color w:val="111827"/>
          <w:sz w:val="21"/>
          <w:u w:val="none"/>
        </w:rPr>
        <w:t>BDT 7.7M (~USD 65K)</w:t>
      </w:r>
    </w:p>
    <w:p>
      <w:pPr>
        <w:spacing w:after="60"/>
        <w:ind w:left="360"/>
      </w:pPr>
      <w:r>
        <w:rPr>
          <w:b/>
          <w:i w:val="0"/>
          <w:color w:val="0F9D77"/>
          <w:sz w:val="21"/>
          <w:u w:val="none"/>
        </w:rPr>
        <w:t xml:space="preserve">Year 2 Total: </w:t>
      </w:r>
      <w:r>
        <w:rPr>
          <w:b w:val="0"/>
          <w:i w:val="0"/>
          <w:color w:val="111827"/>
          <w:sz w:val="21"/>
          <w:u w:val="none"/>
        </w:rPr>
        <w:t>BDT 42M (~USD 350K)</w:t>
      </w:r>
    </w:p>
    <w:p>
      <w:pPr>
        <w:spacing w:after="60"/>
        <w:ind w:left="360"/>
      </w:pPr>
      <w:r>
        <w:rPr>
          <w:b/>
          <w:i w:val="0"/>
          <w:color w:val="0F9D77"/>
          <w:sz w:val="21"/>
          <w:u w:val="none"/>
        </w:rPr>
        <w:t xml:space="preserve">Year 3 Total: </w:t>
      </w:r>
      <w:r>
        <w:rPr>
          <w:b w:val="0"/>
          <w:i w:val="0"/>
          <w:color w:val="111827"/>
          <w:sz w:val="21"/>
          <w:u w:val="none"/>
        </w:rPr>
        <w:t>BDT 122M (~USD 1M+)</w:t>
      </w:r>
    </w:p>
    <w:p>
      <w:pPr>
        <w:spacing w:after="120"/>
      </w:pPr>
      <w:r>
        <w:rPr>
          <w:b w:val="0"/>
          <w:i w:val="0"/>
          <w:color w:val="111827"/>
          <w:sz w:val="21"/>
          <w:u w:val="none"/>
        </w:rPr>
        <w:t>These projections are conservative and assume no external investment. With a seed round, B2B sales staffing, and aggressive clinic outreach, Year 2 revenue could reach BDT 60–80M.</w:t>
      </w:r>
    </w:p>
    <w:p/>
    <w:p>
      <w:pPr>
        <w:spacing w:before="400"/>
        <w:pBdr>
          <w:bottom w:val="single" w:sz="6" w:space="4" w:color="E5E5E3"/>
        </w:pBdr>
      </w:pPr>
      <w:r>
        <w:rPr>
          <w:b/>
          <w:i w:val="0"/>
          <w:color w:val="6B7280"/>
          <w:sz w:val="18"/>
          <w:u w:val="none"/>
        </w:rPr>
        <w:t>Sources &amp; References</w:t>
      </w:r>
    </w:p>
    <w:p>
      <w:pPr>
        <w:spacing w:after="40"/>
        <w:ind w:left="288"/>
      </w:pPr>
      <w:r>
        <w:rPr>
          <w:b w:val="0"/>
          <w:i/>
          <w:color w:val="6B7280"/>
          <w:sz w:val="17"/>
          <w:u w:val="none"/>
        </w:rPr>
        <w:t>• Statista — Digital Health Bangladesh Market Forecast 2025–2029</w:t>
      </w:r>
    </w:p>
    <w:p>
      <w:pPr>
        <w:spacing w:after="40"/>
        <w:ind w:left="288"/>
      </w:pPr>
      <w:r>
        <w:rPr>
          <w:b w:val="0"/>
          <w:i/>
          <w:color w:val="6B7280"/>
          <w:sz w:val="17"/>
          <w:u w:val="none"/>
        </w:rPr>
        <w:t>• Statista — Digital Care Management Bangladesh Market Forecast</w:t>
      </w:r>
    </w:p>
    <w:p>
      <w:pPr>
        <w:spacing w:after="40"/>
        <w:ind w:left="288"/>
      </w:pPr>
      <w:r>
        <w:rPr>
          <w:b w:val="0"/>
          <w:i/>
          <w:color w:val="6B7280"/>
          <w:sz w:val="17"/>
          <w:u w:val="none"/>
        </w:rPr>
        <w:t>• TechCrunch — Maya raises USD 2.2M seed round (Feb 2021)</w:t>
      </w:r>
    </w:p>
    <w:p>
      <w:pPr>
        <w:spacing w:after="40"/>
        <w:ind w:left="288"/>
      </w:pPr>
      <w:r>
        <w:rPr>
          <w:b w:val="0"/>
          <w:i/>
          <w:color w:val="6B7280"/>
          <w:sz w:val="17"/>
          <w:u w:val="none"/>
        </w:rPr>
        <w:t>• Future Startup — State of Telemedicine in Bangladesh</w:t>
      </w:r>
    </w:p>
    <w:p>
      <w:pPr>
        <w:spacing w:after="40"/>
        <w:ind w:left="288"/>
      </w:pPr>
      <w:r>
        <w:rPr>
          <w:b w:val="0"/>
          <w:i/>
          <w:color w:val="6B7280"/>
          <w:sz w:val="17"/>
          <w:u w:val="none"/>
        </w:rPr>
        <w:t>• BMC Public Health — Cost of diabetes and hypertension care in rural Bangladesh (2024)</w:t>
      </w:r>
    </w:p>
    <w:p>
      <w:pPr>
        <w:spacing w:after="40"/>
        <w:ind w:left="288"/>
      </w:pPr>
      <w:r>
        <w:rPr>
          <w:b w:val="0"/>
          <w:i/>
          <w:color w:val="6B7280"/>
          <w:sz w:val="17"/>
          <w:u w:val="none"/>
        </w:rPr>
        <w:t>• Springer Nature — Unmet healthcare needs and OOP payments among hypertensive adults in Bangladesh</w:t>
      </w:r>
    </w:p>
    <w:p>
      <w:pPr>
        <w:spacing w:after="40"/>
        <w:ind w:left="288"/>
      </w:pPr>
      <w:r>
        <w:rPr>
          <w:b w:val="0"/>
          <w:i/>
          <w:color w:val="6B7280"/>
          <w:sz w:val="17"/>
          <w:u w:val="none"/>
        </w:rPr>
        <w:t>• Tracxn — HealthTech Startups in Bangladesh (2025)</w:t>
      </w:r>
    </w:p>
    <w:p>
      <w:pPr>
        <w:spacing w:after="40"/>
        <w:ind w:left="288"/>
      </w:pPr>
      <w:r>
        <w:rPr>
          <w:b w:val="0"/>
          <w:i/>
          <w:color w:val="6B7280"/>
          <w:sz w:val="17"/>
          <w:u w:val="none"/>
        </w:rPr>
        <w:t>• WHO — Bangladesh Digital Health Journey</w:t>
      </w:r>
    </w:p>
    <w:p>
      <w:pPr>
        <w:spacing w:after="40"/>
        <w:ind w:left="288"/>
      </w:pPr>
      <w:r>
        <w:rPr>
          <w:b w:val="0"/>
          <w:i/>
          <w:color w:val="6B7280"/>
          <w:sz w:val="17"/>
          <w:u w:val="none"/>
        </w:rPr>
        <w:t>• World Bank — Path to Transform Bangladesh's Health System</w:t>
      </w:r>
    </w:p>
    <w:p>
      <w:pPr>
        <w:spacing w:after="40"/>
        <w:ind w:left="288"/>
      </w:pPr>
      <w:r>
        <w:rPr>
          <w:b w:val="0"/>
          <w:i/>
          <w:color w:val="6B7280"/>
          <w:sz w:val="17"/>
          <w:u w:val="none"/>
        </w:rPr>
        <w:t>• HealthTech Opportunities in Bangladesh (Scribd Sector Analysis)</w:t>
      </w:r>
    </w:p>
    <w:sectPr w:rsidR="00FC693F" w:rsidRPr="0006063C" w:rsidSect="00034616">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