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E8F5F1"/>
      </w:pPr>
      <w:r>
        <w:rPr>
          <w:color w:val="6B7280"/>
          <w:sz w:val="16"/>
        </w:rPr>
        <w:br/>
      </w:r>
    </w:p>
    <w:p>
      <w:pPr>
        <w:jc w:val="center"/>
        <w:shd w:val="clear" w:color="auto" w:fill="E8F5F1"/>
      </w:pPr>
      <w:r>
        <w:rPr>
          <w:b/>
          <w:color w:val="0F9D77"/>
          <w:sz w:val="60"/>
        </w:rPr>
        <w:t>OMRA HEALTH APP</w:t>
      </w:r>
    </w:p>
    <w:p>
      <w:pPr>
        <w:jc w:val="center"/>
        <w:shd w:val="clear" w:color="auto" w:fill="E8F5F1"/>
      </w:pPr>
      <w:r>
        <w:rPr>
          <w:b/>
          <w:color w:val="111827"/>
          <w:sz w:val="32"/>
        </w:rPr>
        <w:t>Business Model Report</w:t>
      </w:r>
    </w:p>
    <w:p>
      <w:pPr>
        <w:jc w:val="center"/>
        <w:shd w:val="clear" w:color="auto" w:fill="E8F5F1"/>
      </w:pPr>
      <w:r>
        <w:rPr>
          <w:color w:val="6B7280"/>
          <w:sz w:val="24"/>
        </w:rPr>
        <w:t>Bangladesh Perspective  ·  Policy-Integrated Research Edition</w:t>
      </w:r>
    </w:p>
    <w:p>
      <w:pPr>
        <w:jc w:val="center"/>
        <w:shd w:val="clear" w:color="auto" w:fill="E8F5F1"/>
      </w:pPr>
      <w:r>
        <w:rPr>
          <w:color w:val="6B7280"/>
          <w:sz w:val="20"/>
        </w:rPr>
        <w:t>May 2026  |  Confidential  |  Exploration Work</w:t>
      </w:r>
    </w:p>
    <w:p>
      <w:pPr>
        <w:jc w:val="center"/>
        <w:shd w:val="clear" w:color="auto" w:fill="E8F5F1"/>
      </w:pPr>
      <w:r>
        <w:rPr>
          <w:color w:val="6B7280"/>
          <w:sz w:val="16"/>
        </w:rPr>
        <w:br/>
      </w:r>
    </w:p>
    <w:p>
      <w:r>
        <w:br w:type="page"/>
      </w:r>
    </w:p>
    <w:p>
      <w:pPr>
        <w:pBdr>
          <w:bottom w:val="single" w:sz="10" w:space="4" w:color="0F9D77"/>
        </w:pBdr>
      </w:pPr>
      <w:r>
        <w:rPr>
          <w:b/>
          <w:i w:val="0"/>
          <w:color w:val="0F9D77"/>
          <w:sz w:val="26"/>
        </w:rPr>
        <w:t>Contents</w:t>
      </w:r>
    </w:p>
    <w:p>
      <w:pPr>
        <w:spacing w:after="40"/>
        <w:ind w:left="288"/>
      </w:pPr>
      <w:r>
        <w:rPr>
          <w:b w:val="0"/>
          <w:i w:val="0"/>
          <w:color w:val="111827"/>
          <w:sz w:val="20"/>
        </w:rPr>
        <w:t>1.  Executive Summary</w:t>
      </w:r>
    </w:p>
    <w:p>
      <w:pPr>
        <w:spacing w:after="40"/>
        <w:ind w:left="288"/>
      </w:pPr>
      <w:r>
        <w:rPr>
          <w:b w:val="0"/>
          <w:i w:val="0"/>
          <w:color w:val="111827"/>
          <w:sz w:val="20"/>
        </w:rPr>
        <w:t>2.  Bangladesh Healthcare Landscape — Market Research</w:t>
      </w:r>
    </w:p>
    <w:p>
      <w:pPr>
        <w:spacing w:after="40"/>
        <w:ind w:left="288"/>
      </w:pPr>
      <w:r>
        <w:rPr>
          <w:b w:val="0"/>
          <w:i w:val="0"/>
          <w:color w:val="111827"/>
          <w:sz w:val="20"/>
        </w:rPr>
        <w:t>3.  Competitive Landscape</w:t>
      </w:r>
    </w:p>
    <w:p>
      <w:pPr>
        <w:spacing w:after="40"/>
        <w:ind w:left="288"/>
      </w:pPr>
      <w:r>
        <w:rPr>
          <w:b w:val="0"/>
          <w:i w:val="0"/>
          <w:color w:val="111827"/>
          <w:sz w:val="20"/>
        </w:rPr>
        <w:t>4.  Play Store Policy Declarations — Business Model Impact</w:t>
      </w:r>
    </w:p>
    <w:p>
      <w:pPr>
        <w:spacing w:after="40"/>
        <w:ind w:left="288"/>
      </w:pPr>
      <w:r>
        <w:rPr>
          <w:b w:val="0"/>
          <w:i w:val="0"/>
          <w:color w:val="111827"/>
          <w:sz w:val="20"/>
        </w:rPr>
        <w:t>5.  Target User Segments</w:t>
      </w:r>
    </w:p>
    <w:p>
      <w:pPr>
        <w:spacing w:after="40"/>
        <w:ind w:left="288"/>
      </w:pPr>
      <w:r>
        <w:rPr>
          <w:b w:val="0"/>
          <w:i w:val="0"/>
          <w:color w:val="111827"/>
          <w:sz w:val="20"/>
        </w:rPr>
        <w:t>6.  Business Model Streams — Research + Policy Validated</w:t>
      </w:r>
    </w:p>
    <w:p>
      <w:pPr>
        <w:spacing w:after="40"/>
        <w:ind w:left="288"/>
      </w:pPr>
      <w:r>
        <w:rPr>
          <w:b w:val="0"/>
          <w:i w:val="0"/>
          <w:color w:val="111827"/>
          <w:sz w:val="20"/>
        </w:rPr>
        <w:t>7.  Pricing Strategy for Bangladesh</w:t>
      </w:r>
    </w:p>
    <w:p>
      <w:pPr>
        <w:spacing w:after="40"/>
        <w:ind w:left="288"/>
      </w:pPr>
      <w:r>
        <w:rPr>
          <w:b w:val="0"/>
          <w:i w:val="0"/>
          <w:color w:val="111827"/>
          <w:sz w:val="20"/>
        </w:rPr>
        <w:t>8.  Go-to-Market Strategy</w:t>
      </w:r>
    </w:p>
    <w:p>
      <w:pPr>
        <w:spacing w:after="40"/>
        <w:ind w:left="288"/>
      </w:pPr>
      <w:r>
        <w:rPr>
          <w:b w:val="0"/>
          <w:i w:val="0"/>
          <w:color w:val="111827"/>
          <w:sz w:val="20"/>
        </w:rPr>
        <w:t>9.  Data Safety — What Is and Is Not Allowed</w:t>
      </w:r>
    </w:p>
    <w:p>
      <w:pPr>
        <w:spacing w:after="40"/>
        <w:ind w:left="288"/>
      </w:pPr>
      <w:r>
        <w:rPr>
          <w:b w:val="0"/>
          <w:i w:val="0"/>
          <w:color w:val="111827"/>
          <w:sz w:val="20"/>
        </w:rPr>
        <w:t>10.  Revenue Projections — Policy-Compliant Model</w:t>
      </w:r>
    </w:p>
    <w:p>
      <w:pPr>
        <w:spacing w:after="40"/>
        <w:ind w:left="288"/>
      </w:pPr>
      <w:r>
        <w:rPr>
          <w:b w:val="0"/>
          <w:i w:val="0"/>
          <w:color w:val="111827"/>
          <w:sz w:val="20"/>
        </w:rPr>
        <w:t>11.  Risks and Challenges</w:t>
      </w:r>
    </w:p>
    <w:p>
      <w:pPr>
        <w:spacing w:after="40"/>
        <w:ind w:left="288"/>
      </w:pPr>
      <w:r>
        <w:rPr>
          <w:b w:val="0"/>
          <w:i w:val="0"/>
          <w:color w:val="111827"/>
          <w:sz w:val="20"/>
        </w:rPr>
        <w:t>12.  Recommendations</w:t>
      </w:r>
    </w:p>
    <w:p>
      <w:r>
        <w:br w:type="page"/>
      </w:r>
    </w:p>
    <w:p>
      <w:pPr>
        <w:spacing w:before="440" w:after="100"/>
        <w:pBdr>
          <w:bottom w:val="single" w:sz="14" w:space="4" w:color="0F9D77"/>
        </w:pBdr>
      </w:pPr>
      <w:r>
        <w:rPr>
          <w:b/>
          <w:i w:val="0"/>
          <w:color w:val="0F9D77"/>
          <w:sz w:val="28"/>
        </w:rPr>
        <w:t>1.  Executive Summary</w:t>
      </w:r>
    </w:p>
    <w:p>
      <w:pPr>
        <w:spacing w:after="120"/>
      </w:pPr>
      <w:r>
        <w:rPr>
          <w:b w:val="0"/>
          <w:i w:val="0"/>
          <w:color w:val="111827"/>
          <w:sz w:val="21"/>
        </w:rPr>
        <w:t>Omra is a three-portal health management application serving patients, doctors, and family members. It combines vitals tracking, medication management, prescription storage, appointment booking, and remote family monitoring in a single integrated platform.</w:t>
      </w:r>
    </w:p>
    <w:p>
      <w:pPr>
        <w:spacing w:after="120"/>
      </w:pPr>
      <w:r>
        <w:rPr>
          <w:b w:val="0"/>
          <w:i w:val="0"/>
          <w:color w:val="111827"/>
          <w:sz w:val="21"/>
        </w:rPr>
        <w:t>This report synthesises primary market research on the Bangladesh digital health sector with a direct analysis of the Play Store policy declarations already submitted in the Google Play Console. Those declarations — covering ads, financial features, target audience, health data, and alarms — eliminate certain revenue models and validate others, and the final business model presented here is built around what is both commercially strong and policy-compliant.</w:t>
      </w:r>
    </w:p>
    <w:p>
      <w:pPr>
        <w:spacing w:before="120" w:after="120"/>
        <w:ind w:left="288" w:right="288"/>
        <w:shd w:val="clear" w:color="auto" w:fill="E8F5F1"/>
      </w:pPr>
      <w:r>
        <w:rPr>
          <w:b w:val="0"/>
          <w:i/>
          <w:color w:val="111827"/>
          <w:sz w:val="20"/>
        </w:rPr>
        <w:t>🔑  Core finding: Bangladesh's healthcare system is structurally under-resourced (7 doctors per 10,000 people vs. WHO's recommended 23), 74% of health spending is out-of-pocket, chronic disease is surging (14% diabetes, 29% hypertension), and the digital health market is growing at 8.82% CAGR toward USD 849M by 2029. Omra's Play Store declarations — especially "No ads" and the Alarms/Reminders approval — position it perfectly for a subscription-first, clinic-led, privacy-respecting business model that is the right fit for this market.</w:t>
      </w:r>
    </w:p>
    <w:p>
      <w:pPr>
        <w:spacing w:before="440" w:after="100"/>
        <w:pBdr>
          <w:bottom w:val="single" w:sz="14" w:space="4" w:color="0F9D77"/>
        </w:pBdr>
      </w:pPr>
      <w:r>
        <w:rPr>
          <w:b/>
          <w:i w:val="0"/>
          <w:color w:val="0F9D77"/>
          <w:sz w:val="28"/>
        </w:rPr>
        <w:t>2.  Bangladesh Healthcare Landscape — Market Research</w:t>
      </w:r>
    </w:p>
    <w:p>
      <w:pPr>
        <w:spacing w:before="240" w:after="60"/>
      </w:pPr>
      <w:r>
        <w:rPr>
          <w:b/>
          <w:i w:val="0"/>
          <w:color w:val="111827"/>
          <w:sz w:val="23"/>
        </w:rPr>
        <w:t>2.1  The Healthcare Access Crisis</w:t>
      </w:r>
    </w:p>
    <w:p>
      <w:pPr>
        <w:spacing w:after="120"/>
      </w:pPr>
      <w:r>
        <w:rPr>
          <w:b w:val="0"/>
          <w:i w:val="0"/>
          <w:color w:val="111827"/>
          <w:sz w:val="21"/>
        </w:rPr>
        <w:t>Bangladesh is home to 170 million people served by approximately 134,568 registered physicians. That is a ratio of roughly 7 doctors per 10,000 people — significantly below the WHO-recommended minimum of 22.8 per 10,000. Geographic inequity compounds the shortage: 65% of the population lives in rural areas where specialist care can be hours or days away. The result is that patients in rural Bangladesh routinely delay care until a condition is serious, travel to Dhaka or Chattogram for consultations that could be managed remotely, and pay entirely out of pocket with no insurance safety net.</w:t>
      </w:r>
    </w:p>
    <w:p>
      <w:pPr>
        <w:spacing w:after="80"/>
        <w:ind w:left="360"/>
        <w:shd w:val="clear" w:color="auto" w:fill="F2FAF7"/>
      </w:pPr>
      <w:r>
        <w:rPr>
          <w:b/>
          <w:i w:val="0"/>
          <w:color w:val="0F9D77"/>
          <w:sz w:val="20"/>
        </w:rPr>
        <w:t xml:space="preserve">Population: </w:t>
      </w:r>
      <w:r>
        <w:rPr>
          <w:b w:val="0"/>
          <w:i w:val="0"/>
          <w:color w:val="111827"/>
          <w:sz w:val="20"/>
        </w:rPr>
        <w:t>170 million</w:t>
      </w:r>
      <w:r>
        <w:rPr>
          <w:b w:val="0"/>
          <w:i w:val="0"/>
          <w:color w:val="6B7280"/>
          <w:sz w:val="20"/>
        </w:rPr>
        <w:t xml:space="preserve">   |   </w:t>
      </w:r>
      <w:r>
        <w:rPr>
          <w:b/>
          <w:i w:val="0"/>
          <w:color w:val="0F9D77"/>
          <w:sz w:val="20"/>
        </w:rPr>
        <w:t xml:space="preserve">Doctors per 10,000: </w:t>
      </w:r>
      <w:r>
        <w:rPr>
          <w:b w:val="0"/>
          <w:i w:val="0"/>
          <w:color w:val="111827"/>
          <w:sz w:val="20"/>
        </w:rPr>
        <w:t>7 (WHO recommends 23)</w:t>
      </w:r>
      <w:r>
        <w:rPr>
          <w:b w:val="0"/>
          <w:i w:val="0"/>
          <w:color w:val="6B7280"/>
          <w:sz w:val="20"/>
        </w:rPr>
        <w:t xml:space="preserve">   |   </w:t>
      </w:r>
      <w:r>
        <w:rPr>
          <w:b/>
          <w:i w:val="0"/>
          <w:color w:val="0F9D77"/>
          <w:sz w:val="20"/>
        </w:rPr>
        <w:t xml:space="preserve">Rural population: </w:t>
      </w:r>
      <w:r>
        <w:rPr>
          <w:b w:val="0"/>
          <w:i w:val="0"/>
          <w:color w:val="111827"/>
          <w:sz w:val="20"/>
        </w:rPr>
        <w:t>65%</w:t>
      </w:r>
      <w:r>
        <w:rPr>
          <w:b w:val="0"/>
          <w:i w:val="0"/>
          <w:color w:val="6B7280"/>
          <w:sz w:val="20"/>
        </w:rPr>
        <w:t xml:space="preserve">   |   </w:t>
      </w:r>
      <w:r>
        <w:rPr>
          <w:b/>
          <w:i w:val="0"/>
          <w:color w:val="0F9D77"/>
          <w:sz w:val="20"/>
        </w:rPr>
        <w:t xml:space="preserve">OOP health spending: </w:t>
      </w:r>
      <w:r>
        <w:rPr>
          <w:b w:val="0"/>
          <w:i w:val="0"/>
          <w:color w:val="111827"/>
          <w:sz w:val="20"/>
        </w:rPr>
        <w:t>74% of total</w:t>
      </w:r>
    </w:p>
    <w:p>
      <w:pPr>
        <w:spacing w:before="240" w:after="60"/>
      </w:pPr>
      <w:r>
        <w:rPr>
          <w:b/>
          <w:i w:val="0"/>
          <w:color w:val="111827"/>
          <w:sz w:val="23"/>
        </w:rPr>
        <w:t>2.2  The Chronic Disease Burden</w:t>
      </w:r>
    </w:p>
    <w:p>
      <w:pPr>
        <w:spacing w:after="120"/>
      </w:pPr>
      <w:r>
        <w:rPr>
          <w:b w:val="0"/>
          <w:i w:val="0"/>
          <w:color w:val="111827"/>
          <w:sz w:val="21"/>
        </w:rPr>
        <w:t>Non-communicable diseases (NCDs) are Bangladesh's fastest-growing health crisis. Diabetes prevalence among adults stands at 14% and hypertension at 29% — both rising sharply due to urbanisation, dietary change, and sedentary lifestyles. These patients require daily vitals monitoring, regular medication, and ongoing doctor contact. Without a digital tool like Omra, most manage their condition through sporadic hospital visits and paper prescription records that are frequently lost or ignored.</w:t>
      </w:r>
    </w:p>
    <w:p>
      <w:pPr>
        <w:spacing w:after="80"/>
        <w:ind w:left="360"/>
        <w:shd w:val="clear" w:color="auto" w:fill="F2FAF7"/>
      </w:pPr>
      <w:r>
        <w:rPr>
          <w:b/>
          <w:i w:val="0"/>
          <w:color w:val="0F9D77"/>
          <w:sz w:val="20"/>
        </w:rPr>
        <w:t xml:space="preserve">Diabetes prevalence (adults): </w:t>
      </w:r>
      <w:r>
        <w:rPr>
          <w:b w:val="0"/>
          <w:i w:val="0"/>
          <w:color w:val="111827"/>
          <w:sz w:val="20"/>
        </w:rPr>
        <w:t>14%</w:t>
      </w:r>
      <w:r>
        <w:rPr>
          <w:b w:val="0"/>
          <w:i w:val="0"/>
          <w:color w:val="6B7280"/>
          <w:sz w:val="20"/>
        </w:rPr>
        <w:t xml:space="preserve">   |   </w:t>
      </w:r>
      <w:r>
        <w:rPr>
          <w:b/>
          <w:i w:val="0"/>
          <w:color w:val="0F9D77"/>
          <w:sz w:val="20"/>
        </w:rPr>
        <w:t xml:space="preserve">Hypertension prevalence (adults): </w:t>
      </w:r>
      <w:r>
        <w:rPr>
          <w:b w:val="0"/>
          <w:i w:val="0"/>
          <w:color w:val="111827"/>
          <w:sz w:val="20"/>
        </w:rPr>
        <w:t>29%</w:t>
      </w:r>
      <w:r>
        <w:rPr>
          <w:b w:val="0"/>
          <w:i w:val="0"/>
          <w:color w:val="6B7280"/>
          <w:sz w:val="20"/>
        </w:rPr>
        <w:t xml:space="preserve">   |   </w:t>
      </w:r>
      <w:r>
        <w:rPr>
          <w:b/>
          <w:i w:val="0"/>
          <w:color w:val="0F9D77"/>
          <w:sz w:val="20"/>
        </w:rPr>
        <w:t xml:space="preserve">Annual cost per NCD patient: </w:t>
      </w:r>
      <w:r>
        <w:rPr>
          <w:b w:val="0"/>
          <w:i w:val="0"/>
          <w:color w:val="111827"/>
          <w:sz w:val="20"/>
        </w:rPr>
        <w:t>BDT 15,000–40,000 out-of-pocket</w:t>
      </w:r>
    </w:p>
    <w:p>
      <w:pPr>
        <w:spacing w:after="120"/>
      </w:pPr>
      <w:r>
        <w:rPr>
          <w:b w:val="0"/>
          <w:i w:val="0"/>
          <w:color w:val="111827"/>
          <w:sz w:val="21"/>
        </w:rPr>
        <w:t>Research published in BMC Public Health (2024) confirms that managing diabetes and hypertension in rural Bangladesh is particularly challenging due to limited healthcare access, workforce shortages, and constrained resources. Digital health monitoring tools directly address all three of these barriers.</w:t>
      </w:r>
    </w:p>
    <w:p>
      <w:pPr>
        <w:spacing w:before="240" w:after="60"/>
      </w:pPr>
      <w:r>
        <w:rPr>
          <w:b/>
          <w:i w:val="0"/>
          <w:color w:val="111827"/>
          <w:sz w:val="23"/>
        </w:rPr>
        <w:t>2.3  The Digital Health Market — Size and Growth</w:t>
      </w:r>
    </w:p>
    <w:p>
      <w:pPr>
        <w:spacing w:after="120"/>
      </w:pPr>
      <w:r>
        <w:rPr>
          <w:b w:val="0"/>
          <w:i w:val="0"/>
          <w:color w:val="111827"/>
          <w:sz w:val="21"/>
        </w:rPr>
        <w:t>The Bangladesh digital health market is one of the fastest-growing in South Asia. Statista projects total digital health revenue in Bangladesh to reach USD 605.60 million in 2025, growing at a CAGR of 8.82% to reach USD 849.30 million by 2029. The digital care management segment — the segment most directly relevant to Omra — is growing even faster at 17.79% CAGR, projected to reach USD 109.70 million by 2029.</w:t>
      </w:r>
    </w:p>
    <w:p>
      <w:pPr>
        <w:spacing w:after="80"/>
        <w:ind w:left="360"/>
        <w:shd w:val="clear" w:color="auto" w:fill="F2FAF7"/>
      </w:pPr>
      <w:r>
        <w:rPr>
          <w:b/>
          <w:i w:val="0"/>
          <w:color w:val="0F9D77"/>
          <w:sz w:val="20"/>
        </w:rPr>
        <w:t xml:space="preserve">Digital health market 2025: </w:t>
      </w:r>
      <w:r>
        <w:rPr>
          <w:b w:val="0"/>
          <w:i w:val="0"/>
          <w:color w:val="111827"/>
          <w:sz w:val="20"/>
        </w:rPr>
        <w:t>USD 605.6M</w:t>
      </w:r>
      <w:r>
        <w:rPr>
          <w:b w:val="0"/>
          <w:i w:val="0"/>
          <w:color w:val="6B7280"/>
          <w:sz w:val="20"/>
        </w:rPr>
        <w:t xml:space="preserve">   |   </w:t>
      </w:r>
      <w:r>
        <w:rPr>
          <w:b/>
          <w:i w:val="0"/>
          <w:color w:val="0F9D77"/>
          <w:sz w:val="20"/>
        </w:rPr>
        <w:t xml:space="preserve">Market by 2029: </w:t>
      </w:r>
      <w:r>
        <w:rPr>
          <w:b w:val="0"/>
          <w:i w:val="0"/>
          <w:color w:val="111827"/>
          <w:sz w:val="20"/>
        </w:rPr>
        <w:t>USD 849.3M</w:t>
      </w:r>
      <w:r>
        <w:rPr>
          <w:b w:val="0"/>
          <w:i w:val="0"/>
          <w:color w:val="6B7280"/>
          <w:sz w:val="20"/>
        </w:rPr>
        <w:t xml:space="preserve">   |   </w:t>
      </w:r>
      <w:r>
        <w:rPr>
          <w:b/>
          <w:i w:val="0"/>
          <w:color w:val="0F9D77"/>
          <w:sz w:val="20"/>
        </w:rPr>
        <w:t xml:space="preserve">CAGR: </w:t>
      </w:r>
      <w:r>
        <w:rPr>
          <w:b w:val="0"/>
          <w:i w:val="0"/>
          <w:color w:val="111827"/>
          <w:sz w:val="20"/>
        </w:rPr>
        <w:t>8.82%</w:t>
      </w:r>
      <w:r>
        <w:rPr>
          <w:b w:val="0"/>
          <w:i w:val="0"/>
          <w:color w:val="6B7280"/>
          <w:sz w:val="20"/>
        </w:rPr>
        <w:t xml:space="preserve">   |   </w:t>
      </w:r>
      <w:r>
        <w:rPr>
          <w:b/>
          <w:i w:val="0"/>
          <w:color w:val="0F9D77"/>
          <w:sz w:val="20"/>
        </w:rPr>
        <w:t xml:space="preserve">Care management CAGR: </w:t>
      </w:r>
      <w:r>
        <w:rPr>
          <w:b w:val="0"/>
          <w:i w:val="0"/>
          <w:color w:val="111827"/>
          <w:sz w:val="20"/>
        </w:rPr>
        <w:t>17.79%</w:t>
      </w:r>
    </w:p>
    <w:p>
      <w:pPr>
        <w:spacing w:after="120"/>
      </w:pPr>
      <w:r>
        <w:rPr>
          <w:b w:val="0"/>
          <w:i w:val="0"/>
          <w:color w:val="111827"/>
          <w:sz w:val="21"/>
        </w:rPr>
        <w:t>The government's "Smart Bangladesh 2041" vision is actively driving digital health investment, with the Ministry of Health's Digital Health Strategy 2022–2031 calling specifically for integrated patient records and remote monitoring tools. This creates a policy tailwind for Omra at both the private and public sector level.</w:t>
      </w:r>
    </w:p>
    <w:p>
      <w:pPr>
        <w:spacing w:before="240" w:after="60"/>
      </w:pPr>
      <w:r>
        <w:rPr>
          <w:b/>
          <w:i w:val="0"/>
          <w:color w:val="111827"/>
          <w:sz w:val="23"/>
        </w:rPr>
        <w:t>2.4  Mobile and Digital Infrastructure</w:t>
      </w:r>
    </w:p>
    <w:p>
      <w:pPr>
        <w:spacing w:after="120"/>
      </w:pPr>
      <w:r>
        <w:rPr>
          <w:b w:val="0"/>
          <w:i w:val="0"/>
          <w:color w:val="111827"/>
          <w:sz w:val="21"/>
        </w:rPr>
        <w:t>Bangladesh's digital infrastructure has grown rapidly. Smartphone penetration is accelerating across urban and semi-urban populations. More importantly, mobile financial services — specifically bKash and Nagad — have become the default payment layer for the unbanked population, with bKash alone processing millions of transactions daily. This means subscription billing via bKash is not just possible but expected by the target user base.</w:t>
      </w:r>
    </w:p>
    <w:p>
      <w:pPr>
        <w:spacing w:after="120"/>
      </w:pPr>
      <w:r>
        <w:rPr>
          <w:b w:val="0"/>
          <w:i w:val="0"/>
          <w:color w:val="111827"/>
          <w:sz w:val="21"/>
        </w:rPr>
        <w:t>The COVID-19 pandemic dramatically accelerated telemedicine acceptance in Bangladesh. The national telemedicine service (Shastho Sheba / SSB) and private players like Maya saw user numbers surge during 2020–2021, and acceptance has remained elevated since. Digital health is no longer a novelty in Bangladesh — it is becoming an expectation.</w:t>
      </w:r>
    </w:p>
    <w:p>
      <w:pPr>
        <w:spacing w:before="440" w:after="100"/>
        <w:pBdr>
          <w:bottom w:val="single" w:sz="14" w:space="4" w:color="0F9D77"/>
        </w:pBdr>
      </w:pPr>
      <w:r>
        <w:rPr>
          <w:b/>
          <w:i w:val="0"/>
          <w:color w:val="0F9D77"/>
          <w:sz w:val="28"/>
        </w:rPr>
        <w:t>3.  Competitive Landscape</w:t>
      </w:r>
    </w:p>
    <w:p>
      <w:pPr>
        <w:spacing w:before="240" w:after="60"/>
      </w:pPr>
      <w:r>
        <w:rPr>
          <w:b/>
          <w:i w:val="0"/>
          <w:color w:val="111827"/>
          <w:sz w:val="23"/>
        </w:rPr>
        <w:t>3.1  Key Players in Bangladesh Healthtech</w:t>
      </w:r>
    </w:p>
    <w:p>
      <w:pPr>
        <w:spacing w:after="120"/>
      </w:pPr>
      <w:r>
        <w:rPr>
          <w:b w:val="0"/>
          <w:i w:val="0"/>
          <w:color w:val="111827"/>
          <w:sz w:val="21"/>
        </w:rPr>
        <w:t>The Bangladeshi healthtech ecosystem has over 453 startups, but the competitive space for Omra's specific feature combination is thinner than it appears.</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11827"/>
          </w:tcPr>
          <w:p>
            <w:pPr>
              <w:spacing w:before="60" w:after="60"/>
            </w:pPr>
            <w:r>
              <w:rPr>
                <w:b/>
                <w:color w:val="FFFFFF"/>
                <w:sz w:val="18"/>
              </w:rPr>
              <w:t>Company</w:t>
            </w:r>
          </w:p>
        </w:tc>
        <w:tc>
          <w:tcPr>
            <w:tcW w:type="dxa" w:w="1728"/>
            <w:shd w:val="clear" w:color="auto" w:fill="111827"/>
          </w:tcPr>
          <w:p>
            <w:pPr>
              <w:spacing w:before="60" w:after="60"/>
            </w:pPr>
            <w:r>
              <w:rPr>
                <w:b/>
                <w:color w:val="FFFFFF"/>
                <w:sz w:val="18"/>
              </w:rPr>
              <w:t>Focus</w:t>
            </w:r>
          </w:p>
        </w:tc>
        <w:tc>
          <w:tcPr>
            <w:tcW w:type="dxa" w:w="1872"/>
            <w:shd w:val="clear" w:color="auto" w:fill="111827"/>
          </w:tcPr>
          <w:p>
            <w:pPr>
              <w:spacing w:before="60" w:after="60"/>
            </w:pPr>
            <w:r>
              <w:rPr>
                <w:b/>
                <w:color w:val="FFFFFF"/>
                <w:sz w:val="18"/>
              </w:rPr>
              <w:t>Business Model</w:t>
            </w:r>
          </w:p>
        </w:tc>
        <w:tc>
          <w:tcPr>
            <w:tcW w:type="dxa" w:w="1872"/>
            <w:shd w:val="clear" w:color="auto" w:fill="111827"/>
          </w:tcPr>
          <w:p>
            <w:pPr>
              <w:spacing w:before="60" w:after="60"/>
            </w:pPr>
            <w:r>
              <w:rPr>
                <w:b/>
                <w:color w:val="FFFFFF"/>
                <w:sz w:val="18"/>
              </w:rPr>
              <w:t>Funding / Scale</w:t>
            </w:r>
          </w:p>
        </w:tc>
        <w:tc>
          <w:tcPr>
            <w:tcW w:type="dxa" w:w="2088"/>
            <w:shd w:val="clear" w:color="auto" w:fill="111827"/>
          </w:tcPr>
          <w:p>
            <w:pPr>
              <w:spacing w:before="60" w:after="60"/>
            </w:pPr>
            <w:r>
              <w:rPr>
                <w:b/>
                <w:color w:val="FFFFFF"/>
                <w:sz w:val="18"/>
              </w:rPr>
              <w:t>Gap vs Omra</w:t>
            </w:r>
          </w:p>
        </w:tc>
      </w:tr>
      <w:tr>
        <w:tc>
          <w:tcPr>
            <w:tcW w:type="dxa" w:w="1440"/>
            <w:shd w:val="clear" w:color="auto" w:fill="F2FAF7"/>
          </w:tcPr>
          <w:p>
            <w:pPr>
              <w:spacing w:before="40" w:after="40"/>
            </w:pPr>
            <w:r>
              <w:rPr>
                <w:color w:val="111827"/>
                <w:sz w:val="19"/>
              </w:rPr>
              <w:t>Maya</w:t>
            </w:r>
          </w:p>
        </w:tc>
        <w:tc>
          <w:tcPr>
            <w:tcW w:type="dxa" w:w="1728"/>
            <w:shd w:val="clear" w:color="auto" w:fill="F2FAF7"/>
          </w:tcPr>
          <w:p>
            <w:pPr>
              <w:spacing w:before="40" w:after="40"/>
            </w:pPr>
            <w:r>
              <w:rPr>
                <w:color w:val="111827"/>
                <w:sz w:val="19"/>
              </w:rPr>
              <w:t>AI health Q&amp;A + telemedicine</w:t>
            </w:r>
          </w:p>
        </w:tc>
        <w:tc>
          <w:tcPr>
            <w:tcW w:type="dxa" w:w="1872"/>
            <w:shd w:val="clear" w:color="auto" w:fill="F2FAF7"/>
          </w:tcPr>
          <w:p>
            <w:pPr>
              <w:spacing w:before="40" w:after="40"/>
            </w:pPr>
            <w:r>
              <w:rPr>
                <w:color w:val="111827"/>
                <w:sz w:val="19"/>
              </w:rPr>
              <w:t>B2B corporate wellness + B2C premium</w:t>
            </w:r>
          </w:p>
        </w:tc>
        <w:tc>
          <w:tcPr>
            <w:tcW w:type="dxa" w:w="1872"/>
            <w:shd w:val="clear" w:color="auto" w:fill="F2FAF7"/>
          </w:tcPr>
          <w:p>
            <w:pPr>
              <w:spacing w:before="40" w:after="40"/>
            </w:pPr>
            <w:r>
              <w:rPr>
                <w:color w:val="111827"/>
                <w:sz w:val="19"/>
              </w:rPr>
              <w:t>USD 2.2M seed (2021)</w:t>
              <w:br/>
              <w:t>3.4M downloads</w:t>
              <w:br/>
              <w:t>350K MAU</w:t>
            </w:r>
          </w:p>
        </w:tc>
        <w:tc>
          <w:tcPr>
            <w:tcW w:type="dxa" w:w="2088"/>
            <w:shd w:val="clear" w:color="auto" w:fill="F2FAF7"/>
          </w:tcPr>
          <w:p>
            <w:pPr>
              <w:spacing w:before="40" w:after="40"/>
            </w:pPr>
            <w:r>
              <w:rPr>
                <w:color w:val="111827"/>
                <w:sz w:val="19"/>
              </w:rPr>
              <w:t>No vitals tracking, no family monitoring, no doctor-patient continuity</w:t>
            </w:r>
          </w:p>
        </w:tc>
      </w:tr>
      <w:tr>
        <w:tc>
          <w:tcPr>
            <w:tcW w:type="dxa" w:w="1440"/>
          </w:tcPr>
          <w:p>
            <w:pPr>
              <w:spacing w:before="40" w:after="40"/>
            </w:pPr>
            <w:r>
              <w:rPr>
                <w:color w:val="111827"/>
                <w:sz w:val="19"/>
              </w:rPr>
              <w:t>Praava Health</w:t>
            </w:r>
          </w:p>
        </w:tc>
        <w:tc>
          <w:tcPr>
            <w:tcW w:type="dxa" w:w="1728"/>
          </w:tcPr>
          <w:p>
            <w:pPr>
              <w:spacing w:before="40" w:after="40"/>
            </w:pPr>
            <w:r>
              <w:rPr>
                <w:color w:val="111827"/>
                <w:sz w:val="19"/>
              </w:rPr>
              <w:t>Premium clinic chain</w:t>
            </w:r>
          </w:p>
        </w:tc>
        <w:tc>
          <w:tcPr>
            <w:tcW w:type="dxa" w:w="1872"/>
          </w:tcPr>
          <w:p>
            <w:pPr>
              <w:spacing w:before="40" w:after="40"/>
            </w:pPr>
            <w:r>
              <w:rPr>
                <w:color w:val="111827"/>
                <w:sz w:val="19"/>
              </w:rPr>
              <w:t>Fee-for-service, membership</w:t>
            </w:r>
          </w:p>
        </w:tc>
        <w:tc>
          <w:tcPr>
            <w:tcW w:type="dxa" w:w="1872"/>
          </w:tcPr>
          <w:p>
            <w:pPr>
              <w:spacing w:before="40" w:after="40"/>
            </w:pPr>
            <w:r>
              <w:rPr>
                <w:color w:val="111827"/>
                <w:sz w:val="19"/>
              </w:rPr>
              <w:t>VC-backed</w:t>
              <w:br/>
              <w:t>Urban premium focus</w:t>
            </w:r>
          </w:p>
        </w:tc>
        <w:tc>
          <w:tcPr>
            <w:tcW w:type="dxa" w:w="2088"/>
          </w:tcPr>
          <w:p>
            <w:pPr>
              <w:spacing w:before="40" w:after="40"/>
            </w:pPr>
            <w:r>
              <w:rPr>
                <w:color w:val="111827"/>
                <w:sz w:val="19"/>
              </w:rPr>
              <w:t>Physical clinics only, no remote patient monitoring</w:t>
            </w:r>
          </w:p>
        </w:tc>
      </w:tr>
      <w:tr>
        <w:tc>
          <w:tcPr>
            <w:tcW w:type="dxa" w:w="1440"/>
            <w:shd w:val="clear" w:color="auto" w:fill="F2FAF7"/>
          </w:tcPr>
          <w:p>
            <w:pPr>
              <w:spacing w:before="40" w:after="40"/>
            </w:pPr>
            <w:r>
              <w:rPr>
                <w:color w:val="111827"/>
                <w:sz w:val="19"/>
              </w:rPr>
              <w:t>Tonic</w:t>
            </w:r>
          </w:p>
        </w:tc>
        <w:tc>
          <w:tcPr>
            <w:tcW w:type="dxa" w:w="1728"/>
            <w:shd w:val="clear" w:color="auto" w:fill="F2FAF7"/>
          </w:tcPr>
          <w:p>
            <w:pPr>
              <w:spacing w:before="40" w:after="40"/>
            </w:pPr>
            <w:r>
              <w:rPr>
                <w:color w:val="111827"/>
                <w:sz w:val="19"/>
              </w:rPr>
              <w:t>Health benefits via telecom</w:t>
            </w:r>
          </w:p>
        </w:tc>
        <w:tc>
          <w:tcPr>
            <w:tcW w:type="dxa" w:w="1872"/>
            <w:shd w:val="clear" w:color="auto" w:fill="F2FAF7"/>
          </w:tcPr>
          <w:p>
            <w:pPr>
              <w:spacing w:before="40" w:after="40"/>
            </w:pPr>
            <w:r>
              <w:rPr>
                <w:color w:val="111827"/>
                <w:sz w:val="19"/>
              </w:rPr>
              <w:t>Bundled with Robi SIM</w:t>
            </w:r>
          </w:p>
        </w:tc>
        <w:tc>
          <w:tcPr>
            <w:tcW w:type="dxa" w:w="1872"/>
            <w:shd w:val="clear" w:color="auto" w:fill="F2FAF7"/>
          </w:tcPr>
          <w:p>
            <w:pPr>
              <w:spacing w:before="40" w:after="40"/>
            </w:pPr>
            <w:r>
              <w:rPr>
                <w:color w:val="111827"/>
                <w:sz w:val="19"/>
              </w:rPr>
              <w:t>Robi-backed</w:t>
              <w:br/>
              <w:t>SIM-linked users</w:t>
            </w:r>
          </w:p>
        </w:tc>
        <w:tc>
          <w:tcPr>
            <w:tcW w:type="dxa" w:w="2088"/>
            <w:shd w:val="clear" w:color="auto" w:fill="F2FAF7"/>
          </w:tcPr>
          <w:p>
            <w:pPr>
              <w:spacing w:before="40" w:after="40"/>
            </w:pPr>
            <w:r>
              <w:rPr>
                <w:color w:val="111827"/>
                <w:sz w:val="19"/>
              </w:rPr>
              <w:t>Locked to one telecom, no standalone app, no family portal</w:t>
            </w:r>
          </w:p>
        </w:tc>
      </w:tr>
      <w:tr>
        <w:tc>
          <w:tcPr>
            <w:tcW w:type="dxa" w:w="1440"/>
          </w:tcPr>
          <w:p>
            <w:pPr>
              <w:spacing w:before="40" w:after="40"/>
            </w:pPr>
            <w:r>
              <w:rPr>
                <w:color w:val="111827"/>
                <w:sz w:val="19"/>
              </w:rPr>
              <w:t>Shastho Sheba</w:t>
            </w:r>
          </w:p>
        </w:tc>
        <w:tc>
          <w:tcPr>
            <w:tcW w:type="dxa" w:w="1728"/>
          </w:tcPr>
          <w:p>
            <w:pPr>
              <w:spacing w:before="40" w:after="40"/>
            </w:pPr>
            <w:r>
              <w:rPr>
                <w:color w:val="111827"/>
                <w:sz w:val="19"/>
              </w:rPr>
              <w:t>Govt telemedicine</w:t>
            </w:r>
          </w:p>
        </w:tc>
        <w:tc>
          <w:tcPr>
            <w:tcW w:type="dxa" w:w="1872"/>
          </w:tcPr>
          <w:p>
            <w:pPr>
              <w:spacing w:before="40" w:after="40"/>
            </w:pPr>
            <w:r>
              <w:rPr>
                <w:color w:val="111827"/>
                <w:sz w:val="19"/>
              </w:rPr>
              <w:t>Subsidised / free</w:t>
            </w:r>
          </w:p>
        </w:tc>
        <w:tc>
          <w:tcPr>
            <w:tcW w:type="dxa" w:w="1872"/>
          </w:tcPr>
          <w:p>
            <w:pPr>
              <w:spacing w:before="40" w:after="40"/>
            </w:pPr>
            <w:r>
              <w:rPr>
                <w:color w:val="111827"/>
                <w:sz w:val="19"/>
              </w:rPr>
              <w:t>Government-funded</w:t>
            </w:r>
          </w:p>
        </w:tc>
        <w:tc>
          <w:tcPr>
            <w:tcW w:type="dxa" w:w="2088"/>
          </w:tcPr>
          <w:p>
            <w:pPr>
              <w:spacing w:before="40" w:after="40"/>
            </w:pPr>
            <w:r>
              <w:rPr>
                <w:color w:val="111827"/>
                <w:sz w:val="19"/>
              </w:rPr>
              <w:t>No chronic monitoring, no prescription tracking, no family view</w:t>
            </w:r>
          </w:p>
        </w:tc>
      </w:tr>
      <w:tr>
        <w:tc>
          <w:tcPr>
            <w:tcW w:type="dxa" w:w="1440"/>
            <w:shd w:val="clear" w:color="auto" w:fill="F2FAF7"/>
          </w:tcPr>
          <w:p>
            <w:pPr>
              <w:spacing w:before="40" w:after="40"/>
            </w:pPr>
            <w:r>
              <w:rPr>
                <w:color w:val="111827"/>
                <w:sz w:val="19"/>
              </w:rPr>
              <w:t>Arogga/MedEasy</w:t>
            </w:r>
          </w:p>
        </w:tc>
        <w:tc>
          <w:tcPr>
            <w:tcW w:type="dxa" w:w="1728"/>
            <w:shd w:val="clear" w:color="auto" w:fill="F2FAF7"/>
          </w:tcPr>
          <w:p>
            <w:pPr>
              <w:spacing w:before="40" w:after="40"/>
            </w:pPr>
            <w:r>
              <w:rPr>
                <w:color w:val="111827"/>
                <w:sz w:val="19"/>
              </w:rPr>
              <w:t>Online pharmacy delivery</w:t>
            </w:r>
          </w:p>
        </w:tc>
        <w:tc>
          <w:tcPr>
            <w:tcW w:type="dxa" w:w="1872"/>
            <w:shd w:val="clear" w:color="auto" w:fill="F2FAF7"/>
          </w:tcPr>
          <w:p>
            <w:pPr>
              <w:spacing w:before="40" w:after="40"/>
            </w:pPr>
            <w:r>
              <w:rPr>
                <w:color w:val="111827"/>
                <w:sz w:val="19"/>
              </w:rPr>
              <w:t>E-commerce commission</w:t>
            </w:r>
          </w:p>
        </w:tc>
        <w:tc>
          <w:tcPr>
            <w:tcW w:type="dxa" w:w="1872"/>
            <w:shd w:val="clear" w:color="auto" w:fill="F2FAF7"/>
          </w:tcPr>
          <w:p>
            <w:pPr>
              <w:spacing w:before="40" w:after="40"/>
            </w:pPr>
            <w:r>
              <w:rPr>
                <w:color w:val="111827"/>
                <w:sz w:val="19"/>
              </w:rPr>
              <w:t>VC-backed</w:t>
            </w:r>
          </w:p>
        </w:tc>
        <w:tc>
          <w:tcPr>
            <w:tcW w:type="dxa" w:w="2088"/>
            <w:shd w:val="clear" w:color="auto" w:fill="F2FAF7"/>
          </w:tcPr>
          <w:p>
            <w:pPr>
              <w:spacing w:before="40" w:after="40"/>
            </w:pPr>
            <w:r>
              <w:rPr>
                <w:color w:val="111827"/>
                <w:sz w:val="19"/>
              </w:rPr>
              <w:t>Medicine ordering only — no health record, no doctor portal</w:t>
            </w:r>
          </w:p>
        </w:tc>
      </w:tr>
    </w:tbl>
    <w:p>
      <w:pPr>
        <w:spacing w:after="40"/>
      </w:pPr>
    </w:p>
    <w:p>
      <w:pPr>
        <w:spacing w:before="120" w:after="120"/>
        <w:ind w:left="288" w:right="288"/>
        <w:shd w:val="clear" w:color="auto" w:fill="E8F5F1"/>
      </w:pPr>
      <w:r>
        <w:rPr>
          <w:b w:val="0"/>
          <w:i/>
          <w:color w:val="111827"/>
          <w:sz w:val="20"/>
        </w:rPr>
        <w:t>🎯  Omra's white space: No existing Bangladesh healthtech player offers the combination of vitals monitoring + medication adherence + family member visibility + doctor-patient longitudinal records in one integrated, ad-free app. This is the gap Omra fills.</w:t>
      </w:r>
    </w:p>
    <w:p>
      <w:pPr>
        <w:spacing w:before="240" w:after="60"/>
      </w:pPr>
      <w:r>
        <w:rPr>
          <w:b/>
          <w:i w:val="0"/>
          <w:color w:val="111827"/>
          <w:sz w:val="23"/>
        </w:rPr>
        <w:t>3.2  What Maya's Success Teaches Us</w:t>
      </w:r>
    </w:p>
    <w:p>
      <w:pPr>
        <w:spacing w:after="120"/>
      </w:pPr>
      <w:r>
        <w:rPr>
          <w:b w:val="0"/>
          <w:i w:val="0"/>
          <w:color w:val="111827"/>
          <w:sz w:val="21"/>
        </w:rPr>
        <w:t>Maya is the most instructive benchmark. Their fastest revenue growth came not from individual consumer subscriptions but from B2B corporate wellness contracts — specifically with RMG garment factories whose workers needed health access. Maya partnered with BGMEA, Marks &amp; Spencer, and Primark to offer Maya as an employee health benefit. This B2B-first approach generated higher revenue per customer, lower churn, and credibility that then drove B2C growth. Omra's go-to-market strategy is deliberately modelled on this pattern but applied to clinics rather than factories as the primary B2B channel.</w:t>
      </w:r>
    </w:p>
    <w:p>
      <w:pPr>
        <w:spacing w:before="440" w:after="100"/>
        <w:pBdr>
          <w:bottom w:val="single" w:sz="14" w:space="4" w:color="0F9D77"/>
        </w:pBdr>
      </w:pPr>
      <w:r>
        <w:rPr>
          <w:b/>
          <w:i w:val="0"/>
          <w:color w:val="0F9D77"/>
          <w:sz w:val="28"/>
        </w:rPr>
        <w:t>4.  Play Store Policy Declarations — Business Model Impact</w:t>
      </w:r>
    </w:p>
    <w:p>
      <w:pPr>
        <w:spacing w:after="120"/>
      </w:pPr>
      <w:r>
        <w:rPr>
          <w:b w:val="0"/>
          <w:i w:val="0"/>
          <w:color w:val="111827"/>
          <w:sz w:val="21"/>
        </w:rPr>
        <w:t>The following declarations have been submitted in the Google Play Console under Policy → App Content. Each one directly constrains or validates specific revenue streams. This section maps every declaration to its exact business model consequence.</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360"/>
            <w:shd w:val="clear" w:color="auto" w:fill="111827"/>
          </w:tcPr>
          <w:p>
            <w:pPr>
              <w:spacing w:before="60" w:after="60"/>
            </w:pPr>
            <w:r>
              <w:rPr>
                <w:b/>
                <w:color w:val="FFFFFF"/>
                <w:sz w:val="18"/>
              </w:rPr>
              <w:t>#</w:t>
            </w:r>
          </w:p>
        </w:tc>
        <w:tc>
          <w:tcPr>
            <w:tcW w:type="dxa" w:w="1728"/>
            <w:shd w:val="clear" w:color="auto" w:fill="111827"/>
          </w:tcPr>
          <w:p>
            <w:pPr>
              <w:spacing w:before="60" w:after="60"/>
            </w:pPr>
            <w:r>
              <w:rPr>
                <w:b/>
                <w:color w:val="FFFFFF"/>
                <w:sz w:val="18"/>
              </w:rPr>
              <w:t>Declaration</w:t>
            </w:r>
          </w:p>
        </w:tc>
        <w:tc>
          <w:tcPr>
            <w:tcW w:type="dxa" w:w="1656"/>
            <w:shd w:val="clear" w:color="auto" w:fill="111827"/>
          </w:tcPr>
          <w:p>
            <w:pPr>
              <w:spacing w:before="60" w:after="60"/>
            </w:pPr>
            <w:r>
              <w:rPr>
                <w:b/>
                <w:color w:val="FFFFFF"/>
                <w:sz w:val="18"/>
              </w:rPr>
              <w:t>Setting</w:t>
            </w:r>
          </w:p>
        </w:tc>
        <w:tc>
          <w:tcPr>
            <w:tcW w:type="dxa" w:w="5256"/>
            <w:shd w:val="clear" w:color="auto" w:fill="111827"/>
          </w:tcPr>
          <w:p>
            <w:pPr>
              <w:spacing w:before="60" w:after="60"/>
            </w:pPr>
            <w:r>
              <w:rPr>
                <w:b/>
                <w:color w:val="FFFFFF"/>
                <w:sz w:val="18"/>
              </w:rPr>
              <w:t>Business Model Consequence</w:t>
            </w:r>
          </w:p>
        </w:tc>
      </w:tr>
      <w:tr>
        <w:tc>
          <w:tcPr>
            <w:tcW w:type="dxa" w:w="360"/>
            <w:shd w:val="clear" w:color="auto" w:fill="F2FAF7"/>
          </w:tcPr>
          <w:p>
            <w:pPr>
              <w:spacing w:before="40" w:after="40"/>
            </w:pPr>
            <w:r>
              <w:rPr>
                <w:color w:val="111827"/>
                <w:sz w:val="19"/>
              </w:rPr>
              <w:t>7</w:t>
            </w:r>
          </w:p>
        </w:tc>
        <w:tc>
          <w:tcPr>
            <w:tcW w:type="dxa" w:w="1728"/>
            <w:shd w:val="clear" w:color="auto" w:fill="F2FAF7"/>
          </w:tcPr>
          <w:p>
            <w:pPr>
              <w:spacing w:before="40" w:after="40"/>
            </w:pPr>
            <w:r>
              <w:rPr>
                <w:color w:val="111827"/>
                <w:sz w:val="19"/>
              </w:rPr>
              <w:t>Privacy Policy</w:t>
            </w:r>
          </w:p>
        </w:tc>
        <w:tc>
          <w:tcPr>
            <w:tcW w:type="dxa" w:w="1656"/>
            <w:shd w:val="clear" w:color="auto" w:fill="F2FAF7"/>
          </w:tcPr>
          <w:p>
            <w:pPr>
              <w:spacing w:before="40" w:after="40"/>
            </w:pPr>
            <w:r>
              <w:rPr>
                <w:color w:val="111827"/>
                <w:sz w:val="19"/>
              </w:rPr>
              <w:t>URL published</w:t>
            </w:r>
          </w:p>
        </w:tc>
        <w:tc>
          <w:tcPr>
            <w:tcW w:type="dxa" w:w="5256"/>
            <w:shd w:val="clear" w:color="auto" w:fill="F2FAF7"/>
          </w:tcPr>
          <w:p>
            <w:pPr>
              <w:spacing w:before="40" w:after="40"/>
            </w:pPr>
            <w:r>
              <w:rPr>
                <w:color w:val="111827"/>
                <w:sz w:val="19"/>
              </w:rPr>
              <w:t>REQUIRED for health data trust. Strengthens B2B clinic pitches and NGO contracts. Patients and clinics will check this.</w:t>
            </w:r>
          </w:p>
        </w:tc>
      </w:tr>
      <w:tr>
        <w:tc>
          <w:tcPr>
            <w:tcW w:type="dxa" w:w="360"/>
          </w:tcPr>
          <w:p>
            <w:pPr>
              <w:spacing w:before="40" w:after="40"/>
            </w:pPr>
            <w:r>
              <w:rPr>
                <w:color w:val="111827"/>
                <w:sz w:val="19"/>
              </w:rPr>
              <w:t>8</w:t>
            </w:r>
          </w:p>
        </w:tc>
        <w:tc>
          <w:tcPr>
            <w:tcW w:type="dxa" w:w="1728"/>
          </w:tcPr>
          <w:p>
            <w:pPr>
              <w:spacing w:before="40" w:after="40"/>
            </w:pPr>
            <w:r>
              <w:rPr>
                <w:color w:val="111827"/>
                <w:sz w:val="19"/>
              </w:rPr>
              <w:t>App Access</w:t>
            </w:r>
          </w:p>
        </w:tc>
        <w:tc>
          <w:tcPr>
            <w:tcW w:type="dxa" w:w="1656"/>
          </w:tcPr>
          <w:p>
            <w:pPr>
              <w:spacing w:before="40" w:after="40"/>
            </w:pPr>
            <w:r>
              <w:rPr>
                <w:color w:val="111827"/>
                <w:sz w:val="19"/>
              </w:rPr>
              <w:t>Restricted — login required</w:t>
            </w:r>
          </w:p>
        </w:tc>
        <w:tc>
          <w:tcPr>
            <w:tcW w:type="dxa" w:w="5256"/>
          </w:tcPr>
          <w:p>
            <w:pPr>
              <w:spacing w:before="40" w:after="40"/>
            </w:pPr>
            <w:r>
              <w:rPr>
                <w:color w:val="111827"/>
                <w:sz w:val="19"/>
              </w:rPr>
              <w:t>All users must have accounts. Enables clean per-user subscription billing, data attribution, and audit trails.</w:t>
            </w:r>
          </w:p>
        </w:tc>
      </w:tr>
      <w:tr>
        <w:tc>
          <w:tcPr>
            <w:tcW w:type="dxa" w:w="360"/>
            <w:shd w:val="clear" w:color="auto" w:fill="F2FAF7"/>
          </w:tcPr>
          <w:p>
            <w:pPr>
              <w:spacing w:before="40" w:after="40"/>
            </w:pPr>
            <w:r>
              <w:rPr>
                <w:color w:val="111827"/>
                <w:sz w:val="19"/>
              </w:rPr>
              <w:t>9</w:t>
            </w:r>
          </w:p>
        </w:tc>
        <w:tc>
          <w:tcPr>
            <w:tcW w:type="dxa" w:w="1728"/>
            <w:shd w:val="clear" w:color="auto" w:fill="F2FAF7"/>
          </w:tcPr>
          <w:p>
            <w:pPr>
              <w:spacing w:before="40" w:after="40"/>
            </w:pPr>
            <w:r>
              <w:rPr>
                <w:color w:val="111827"/>
                <w:sz w:val="19"/>
              </w:rPr>
              <w:t>Ads</w:t>
            </w:r>
          </w:p>
        </w:tc>
        <w:tc>
          <w:tcPr>
            <w:tcW w:type="dxa" w:w="1656"/>
            <w:shd w:val="clear" w:color="auto" w:fill="F2FAF7"/>
          </w:tcPr>
          <w:p>
            <w:pPr>
              <w:spacing w:before="40" w:after="40"/>
            </w:pPr>
            <w:r>
              <w:rPr>
                <w:color w:val="111827"/>
                <w:sz w:val="19"/>
              </w:rPr>
              <w:t>❌  No ads in app</w:t>
            </w:r>
          </w:p>
        </w:tc>
        <w:tc>
          <w:tcPr>
            <w:tcW w:type="dxa" w:w="5256"/>
            <w:shd w:val="clear" w:color="auto" w:fill="F2FAF7"/>
          </w:tcPr>
          <w:p>
            <w:pPr>
              <w:spacing w:before="40" w:after="40"/>
            </w:pPr>
            <w:r>
              <w:rPr>
                <w:color w:val="111827"/>
                <w:sz w:val="19"/>
              </w:rPr>
              <w:t>ADVERTISING REVENUE ELIMINATED. No banner ads, sponsored content, or any in-app advertising — ever — without re-declaring to Google.</w:t>
            </w:r>
          </w:p>
        </w:tc>
      </w:tr>
      <w:tr>
        <w:tc>
          <w:tcPr>
            <w:tcW w:type="dxa" w:w="360"/>
          </w:tcPr>
          <w:p>
            <w:pPr>
              <w:spacing w:before="40" w:after="40"/>
            </w:pPr>
            <w:r>
              <w:rPr>
                <w:color w:val="111827"/>
                <w:sz w:val="19"/>
              </w:rPr>
              <w:t>10</w:t>
            </w:r>
          </w:p>
        </w:tc>
        <w:tc>
          <w:tcPr>
            <w:tcW w:type="dxa" w:w="1728"/>
          </w:tcPr>
          <w:p>
            <w:pPr>
              <w:spacing w:before="40" w:after="40"/>
            </w:pPr>
            <w:r>
              <w:rPr>
                <w:color w:val="111827"/>
                <w:sz w:val="19"/>
              </w:rPr>
              <w:t>Content Rating</w:t>
            </w:r>
          </w:p>
        </w:tc>
        <w:tc>
          <w:tcPr>
            <w:tcW w:type="dxa" w:w="1656"/>
          </w:tcPr>
          <w:p>
            <w:pPr>
              <w:spacing w:before="40" w:after="40"/>
            </w:pPr>
            <w:r>
              <w:rPr>
                <w:color w:val="111827"/>
                <w:sz w:val="19"/>
              </w:rPr>
              <w:t>18 and over only</w:t>
            </w:r>
          </w:p>
        </w:tc>
        <w:tc>
          <w:tcPr>
            <w:tcW w:type="dxa" w:w="5256"/>
          </w:tcPr>
          <w:p>
            <w:pPr>
              <w:spacing w:before="40" w:after="40"/>
            </w:pPr>
            <w:r>
              <w:rPr>
                <w:color w:val="111827"/>
                <w:sz w:val="19"/>
              </w:rPr>
              <w:t>Youth health programs, school health, and paediatric monitoring for minor patients are blocked under current declarations.</w:t>
            </w:r>
          </w:p>
        </w:tc>
      </w:tr>
      <w:tr>
        <w:tc>
          <w:tcPr>
            <w:tcW w:type="dxa" w:w="360"/>
            <w:shd w:val="clear" w:color="auto" w:fill="F2FAF7"/>
          </w:tcPr>
          <w:p>
            <w:pPr>
              <w:spacing w:before="40" w:after="40"/>
            </w:pPr>
            <w:r>
              <w:rPr>
                <w:color w:val="111827"/>
                <w:sz w:val="19"/>
              </w:rPr>
              <w:t>11</w:t>
            </w:r>
          </w:p>
        </w:tc>
        <w:tc>
          <w:tcPr>
            <w:tcW w:type="dxa" w:w="1728"/>
            <w:shd w:val="clear" w:color="auto" w:fill="F2FAF7"/>
          </w:tcPr>
          <w:p>
            <w:pPr>
              <w:spacing w:before="40" w:after="40"/>
            </w:pPr>
            <w:r>
              <w:rPr>
                <w:color w:val="111827"/>
                <w:sz w:val="19"/>
              </w:rPr>
              <w:t>Target Audience</w:t>
            </w:r>
          </w:p>
        </w:tc>
        <w:tc>
          <w:tcPr>
            <w:tcW w:type="dxa" w:w="1656"/>
            <w:shd w:val="clear" w:color="auto" w:fill="F2FAF7"/>
          </w:tcPr>
          <w:p>
            <w:pPr>
              <w:spacing w:before="40" w:after="40"/>
            </w:pPr>
            <w:r>
              <w:rPr>
                <w:color w:val="111827"/>
                <w:sz w:val="19"/>
              </w:rPr>
              <w:t>18 and over only</w:t>
            </w:r>
          </w:p>
        </w:tc>
        <w:tc>
          <w:tcPr>
            <w:tcW w:type="dxa" w:w="5256"/>
            <w:shd w:val="clear" w:color="auto" w:fill="F2FAF7"/>
          </w:tcPr>
          <w:p>
            <w:pPr>
              <w:spacing w:before="40" w:after="40"/>
            </w:pPr>
            <w:r>
              <w:rPr>
                <w:color w:val="111827"/>
                <w:sz w:val="19"/>
              </w:rPr>
              <w:t>Confirms adult-only focus. Aligns perfectly with chronic disease demographics (diabetes, hypertension are predominantly adult conditions).</w:t>
            </w:r>
          </w:p>
        </w:tc>
      </w:tr>
      <w:tr>
        <w:tc>
          <w:tcPr>
            <w:tcW w:type="dxa" w:w="360"/>
          </w:tcPr>
          <w:p>
            <w:pPr>
              <w:spacing w:before="40" w:after="40"/>
            </w:pPr>
            <w:r>
              <w:rPr>
                <w:color w:val="111827"/>
                <w:sz w:val="19"/>
              </w:rPr>
              <w:t>12</w:t>
            </w:r>
          </w:p>
        </w:tc>
        <w:tc>
          <w:tcPr>
            <w:tcW w:type="dxa" w:w="1728"/>
          </w:tcPr>
          <w:p>
            <w:pPr>
              <w:spacing w:before="40" w:after="40"/>
            </w:pPr>
            <w:r>
              <w:rPr>
                <w:color w:val="111827"/>
                <w:sz w:val="19"/>
              </w:rPr>
              <w:t>News App</w:t>
            </w:r>
          </w:p>
        </w:tc>
        <w:tc>
          <w:tcPr>
            <w:tcW w:type="dxa" w:w="1656"/>
          </w:tcPr>
          <w:p>
            <w:pPr>
              <w:spacing w:before="40" w:after="40"/>
            </w:pPr>
            <w:r>
              <w:rPr>
                <w:color w:val="111827"/>
                <w:sz w:val="19"/>
              </w:rPr>
              <w:t>No</w:t>
            </w:r>
          </w:p>
        </w:tc>
        <w:tc>
          <w:tcPr>
            <w:tcW w:type="dxa" w:w="5256"/>
          </w:tcPr>
          <w:p>
            <w:pPr>
              <w:spacing w:before="40" w:after="40"/>
            </w:pPr>
            <w:r>
              <w:rPr>
                <w:color w:val="111827"/>
                <w:sz w:val="19"/>
              </w:rPr>
              <w:t>No impact on business model.</w:t>
            </w:r>
          </w:p>
        </w:tc>
      </w:tr>
      <w:tr>
        <w:tc>
          <w:tcPr>
            <w:tcW w:type="dxa" w:w="360"/>
            <w:shd w:val="clear" w:color="auto" w:fill="F2FAF7"/>
          </w:tcPr>
          <w:p>
            <w:pPr>
              <w:spacing w:before="40" w:after="40"/>
            </w:pPr>
            <w:r>
              <w:rPr>
                <w:color w:val="111827"/>
                <w:sz w:val="19"/>
              </w:rPr>
              <w:t>13</w:t>
            </w:r>
          </w:p>
        </w:tc>
        <w:tc>
          <w:tcPr>
            <w:tcW w:type="dxa" w:w="1728"/>
            <w:shd w:val="clear" w:color="auto" w:fill="F2FAF7"/>
          </w:tcPr>
          <w:p>
            <w:pPr>
              <w:spacing w:before="40" w:after="40"/>
            </w:pPr>
            <w:r>
              <w:rPr>
                <w:color w:val="111827"/>
                <w:sz w:val="19"/>
              </w:rPr>
              <w:t>COVID-19</w:t>
            </w:r>
          </w:p>
        </w:tc>
        <w:tc>
          <w:tcPr>
            <w:tcW w:type="dxa" w:w="1656"/>
            <w:shd w:val="clear" w:color="auto" w:fill="F2FAF7"/>
          </w:tcPr>
          <w:p>
            <w:pPr>
              <w:spacing w:before="40" w:after="40"/>
            </w:pPr>
            <w:r>
              <w:rPr>
                <w:color w:val="111827"/>
                <w:sz w:val="19"/>
              </w:rPr>
              <w:t>No</w:t>
            </w:r>
          </w:p>
        </w:tc>
        <w:tc>
          <w:tcPr>
            <w:tcW w:type="dxa" w:w="5256"/>
            <w:shd w:val="clear" w:color="auto" w:fill="F2FAF7"/>
          </w:tcPr>
          <w:p>
            <w:pPr>
              <w:spacing w:before="40" w:after="40"/>
            </w:pPr>
            <w:r>
              <w:rPr>
                <w:color w:val="111827"/>
                <w:sz w:val="19"/>
              </w:rPr>
              <w:t>Cannot claim COVID-specific features. No business model impact.</w:t>
            </w:r>
          </w:p>
        </w:tc>
      </w:tr>
      <w:tr>
        <w:tc>
          <w:tcPr>
            <w:tcW w:type="dxa" w:w="360"/>
          </w:tcPr>
          <w:p>
            <w:pPr>
              <w:spacing w:before="40" w:after="40"/>
            </w:pPr>
            <w:r>
              <w:rPr>
                <w:color w:val="111827"/>
                <w:sz w:val="19"/>
              </w:rPr>
              <w:t>14</w:t>
            </w:r>
          </w:p>
        </w:tc>
        <w:tc>
          <w:tcPr>
            <w:tcW w:type="dxa" w:w="1728"/>
          </w:tcPr>
          <w:p>
            <w:pPr>
              <w:spacing w:before="40" w:after="40"/>
            </w:pPr>
            <w:r>
              <w:rPr>
                <w:color w:val="111827"/>
                <w:sz w:val="19"/>
              </w:rPr>
              <w:t>Data Safety</w:t>
            </w:r>
          </w:p>
        </w:tc>
        <w:tc>
          <w:tcPr>
            <w:tcW w:type="dxa" w:w="1656"/>
          </w:tcPr>
          <w:p>
            <w:pPr>
              <w:spacing w:before="40" w:after="40"/>
            </w:pPr>
            <w:r>
              <w:rPr>
                <w:color w:val="111827"/>
                <w:sz w:val="19"/>
              </w:rPr>
              <w:t>Declared</w:t>
            </w:r>
          </w:p>
        </w:tc>
        <w:tc>
          <w:tcPr>
            <w:tcW w:type="dxa" w:w="5256"/>
          </w:tcPr>
          <w:p>
            <w:pPr>
              <w:spacing w:before="40" w:after="40"/>
            </w:pPr>
            <w:r>
              <w:rPr>
                <w:color w:val="111827"/>
                <w:sz w:val="19"/>
              </w:rPr>
              <w:t>Health data handling commitments are binding to Google. Raw health data selling or undisclosed sharing violates this declaration legally.</w:t>
            </w:r>
          </w:p>
        </w:tc>
      </w:tr>
      <w:tr>
        <w:tc>
          <w:tcPr>
            <w:tcW w:type="dxa" w:w="360"/>
            <w:shd w:val="clear" w:color="auto" w:fill="F2FAF7"/>
          </w:tcPr>
          <w:p>
            <w:pPr>
              <w:spacing w:before="40" w:after="40"/>
            </w:pPr>
            <w:r>
              <w:rPr>
                <w:color w:val="111827"/>
                <w:sz w:val="19"/>
              </w:rPr>
              <w:t>15</w:t>
            </w:r>
          </w:p>
        </w:tc>
        <w:tc>
          <w:tcPr>
            <w:tcW w:type="dxa" w:w="1728"/>
            <w:shd w:val="clear" w:color="auto" w:fill="F2FAF7"/>
          </w:tcPr>
          <w:p>
            <w:pPr>
              <w:spacing w:before="40" w:after="40"/>
            </w:pPr>
            <w:r>
              <w:rPr>
                <w:color w:val="111827"/>
                <w:sz w:val="19"/>
              </w:rPr>
              <w:t>Financial Features</w:t>
            </w:r>
          </w:p>
        </w:tc>
        <w:tc>
          <w:tcPr>
            <w:tcW w:type="dxa" w:w="1656"/>
            <w:shd w:val="clear" w:color="auto" w:fill="F2FAF7"/>
          </w:tcPr>
          <w:p>
            <w:pPr>
              <w:spacing w:before="40" w:after="40"/>
            </w:pPr>
            <w:r>
              <w:rPr>
                <w:color w:val="111827"/>
                <w:sz w:val="19"/>
              </w:rPr>
              <w:t>❌  No</w:t>
            </w:r>
          </w:p>
        </w:tc>
        <w:tc>
          <w:tcPr>
            <w:tcW w:type="dxa" w:w="5256"/>
            <w:shd w:val="clear" w:color="auto" w:fill="F2FAF7"/>
          </w:tcPr>
          <w:p>
            <w:pPr>
              <w:spacing w:before="40" w:after="40"/>
            </w:pPr>
            <w:r>
              <w:rPr>
                <w:color w:val="111827"/>
                <w:sz w:val="19"/>
              </w:rPr>
              <w:t>Embedded insurance products, micro-loans, and investment tools are BLOCKED inside the app. Subscription payments and external referral links remain fully valid.</w:t>
            </w:r>
          </w:p>
        </w:tc>
      </w:tr>
      <w:tr>
        <w:tc>
          <w:tcPr>
            <w:tcW w:type="dxa" w:w="360"/>
          </w:tcPr>
          <w:p>
            <w:pPr>
              <w:spacing w:before="40" w:after="40"/>
            </w:pPr>
            <w:r>
              <w:rPr>
                <w:color w:val="111827"/>
                <w:sz w:val="19"/>
              </w:rPr>
              <w:t>16</w:t>
            </w:r>
          </w:p>
        </w:tc>
        <w:tc>
          <w:tcPr>
            <w:tcW w:type="dxa" w:w="1728"/>
          </w:tcPr>
          <w:p>
            <w:pPr>
              <w:spacing w:before="40" w:after="40"/>
            </w:pPr>
            <w:r>
              <w:rPr>
                <w:color w:val="111827"/>
                <w:sz w:val="19"/>
              </w:rPr>
              <w:t>Health Declaration</w:t>
            </w:r>
          </w:p>
        </w:tc>
        <w:tc>
          <w:tcPr>
            <w:tcW w:type="dxa" w:w="1656"/>
          </w:tcPr>
          <w:p>
            <w:pPr>
              <w:spacing w:before="40" w:after="40"/>
            </w:pPr>
            <w:r>
              <w:rPr>
                <w:color w:val="111827"/>
                <w:sz w:val="19"/>
              </w:rPr>
              <w:t>Declared</w:t>
            </w:r>
          </w:p>
        </w:tc>
        <w:tc>
          <w:tcPr>
            <w:tcW w:type="dxa" w:w="5256"/>
          </w:tcPr>
          <w:p>
            <w:pPr>
              <w:spacing w:before="40" w:after="40"/>
            </w:pPr>
            <w:r>
              <w:rPr>
                <w:color w:val="111827"/>
                <w:sz w:val="19"/>
              </w:rPr>
              <w:t>Health data is officially collected and declared. Strengthens credibility with clinics and NGOs. Restricts undisclosed data monetisation.</w:t>
            </w:r>
          </w:p>
        </w:tc>
      </w:tr>
      <w:tr>
        <w:tc>
          <w:tcPr>
            <w:tcW w:type="dxa" w:w="360"/>
            <w:shd w:val="clear" w:color="auto" w:fill="F2FAF7"/>
          </w:tcPr>
          <w:p>
            <w:pPr>
              <w:spacing w:before="40" w:after="40"/>
            </w:pPr>
            <w:r>
              <w:rPr>
                <w:color w:val="111827"/>
                <w:sz w:val="19"/>
              </w:rPr>
              <w:t>17</w:t>
            </w:r>
          </w:p>
        </w:tc>
        <w:tc>
          <w:tcPr>
            <w:tcW w:type="dxa" w:w="1728"/>
            <w:shd w:val="clear" w:color="auto" w:fill="F2FAF7"/>
          </w:tcPr>
          <w:p>
            <w:pPr>
              <w:spacing w:before="40" w:after="40"/>
            </w:pPr>
            <w:r>
              <w:rPr>
                <w:color w:val="111827"/>
                <w:sz w:val="19"/>
              </w:rPr>
              <w:t>Alarms Declaration</w:t>
            </w:r>
          </w:p>
        </w:tc>
        <w:tc>
          <w:tcPr>
            <w:tcW w:type="dxa" w:w="1656"/>
            <w:shd w:val="clear" w:color="auto" w:fill="F2FAF7"/>
          </w:tcPr>
          <w:p>
            <w:pPr>
              <w:spacing w:before="40" w:after="40"/>
            </w:pPr>
            <w:r>
              <w:rPr>
                <w:color w:val="111827"/>
                <w:sz w:val="19"/>
              </w:rPr>
              <w:t>Yes → Reminders</w:t>
            </w:r>
          </w:p>
        </w:tc>
        <w:tc>
          <w:tcPr>
            <w:tcW w:type="dxa" w:w="5256"/>
            <w:shd w:val="clear" w:color="auto" w:fill="F2FAF7"/>
          </w:tcPr>
          <w:p>
            <w:pPr>
              <w:spacing w:before="40" w:after="40"/>
            </w:pPr>
            <w:r>
              <w:rPr>
                <w:color w:val="111827"/>
                <w:sz w:val="19"/>
              </w:rPr>
              <w:t>Medication reminders are a declared, Google-approved feature. This is the #1 value driver for the Premium subscription tier.</w:t>
            </w:r>
          </w:p>
        </w:tc>
      </w:tr>
      <w:tr>
        <w:tc>
          <w:tcPr>
            <w:tcW w:type="dxa" w:w="360"/>
          </w:tcPr>
          <w:p>
            <w:pPr>
              <w:spacing w:before="40" w:after="40"/>
            </w:pPr>
            <w:r>
              <w:rPr>
                <w:color w:val="111827"/>
                <w:sz w:val="19"/>
              </w:rPr>
              <w:t>18</w:t>
            </w:r>
          </w:p>
        </w:tc>
        <w:tc>
          <w:tcPr>
            <w:tcW w:type="dxa" w:w="1728"/>
          </w:tcPr>
          <w:p>
            <w:pPr>
              <w:spacing w:before="40" w:after="40"/>
            </w:pPr>
            <w:r>
              <w:rPr>
                <w:color w:val="111827"/>
                <w:sz w:val="19"/>
              </w:rPr>
              <w:t>Permissions Decl.</w:t>
            </w:r>
          </w:p>
        </w:tc>
        <w:tc>
          <w:tcPr>
            <w:tcW w:type="dxa" w:w="1656"/>
          </w:tcPr>
          <w:p>
            <w:pPr>
              <w:spacing w:before="40" w:after="40"/>
            </w:pPr>
            <w:r>
              <w:rPr>
                <w:color w:val="111827"/>
                <w:sz w:val="19"/>
              </w:rPr>
              <w:t>Declared</w:t>
            </w:r>
          </w:p>
        </w:tc>
        <w:tc>
          <w:tcPr>
            <w:tcW w:type="dxa" w:w="5256"/>
          </w:tcPr>
          <w:p>
            <w:pPr>
              <w:spacing w:before="40" w:after="40"/>
            </w:pPr>
            <w:r>
              <w:rPr>
                <w:color w:val="111827"/>
                <w:sz w:val="19"/>
              </w:rPr>
              <w:t>Permissions (camera, location, biometric) are locked in. New permissions require updated declarations and may trigger a Play review.</w:t>
            </w:r>
          </w:p>
        </w:tc>
      </w:tr>
    </w:tbl>
    <w:p>
      <w:pPr>
        <w:spacing w:after="40"/>
      </w:pPr>
    </w:p>
    <w:p>
      <w:pPr>
        <w:spacing w:before="120" w:after="120"/>
        <w:ind w:left="288" w:right="288"/>
        <w:shd w:val="clear" w:color="auto" w:fill="FEE2E2"/>
      </w:pPr>
      <w:r>
        <w:rPr>
          <w:b w:val="0"/>
          <w:i/>
          <w:color w:val="111827"/>
          <w:sz w:val="20"/>
        </w:rPr>
        <w:t>🚫  PERMANENTLY ELIMINATED by your declarations:</w:t>
        <w:br/>
        <w:t>(1) Advertising/banner ads and sponsored content  (2) Embedded insurance or loan products  (3) Under-18 user programs  (4) Undisclosed health data selling</w:t>
      </w:r>
    </w:p>
    <w:p>
      <w:pPr>
        <w:spacing w:before="120" w:after="120"/>
        <w:ind w:left="288" w:right="288"/>
        <w:shd w:val="clear" w:color="auto" w:fill="DCFCE7"/>
      </w:pPr>
      <w:r>
        <w:rPr>
          <w:b w:val="0"/>
          <w:i/>
          <w:color w:val="111827"/>
          <w:sz w:val="20"/>
        </w:rPr>
        <w:t>✅  FULLY VALIDATED by your declarations:</w:t>
        <w:br/>
        <w:t>(1) B2C subscription via bKash/Nagad  (2) B2B SaaS licensing to clinics  (3) Corporate wellness for adult employees  (4) Medication reminders as declared premium feature  (5) NGO and government program licensing  (6) External referral commissions to diagnostic labs and pharmacies</w:t>
      </w:r>
    </w:p>
    <w:p>
      <w:pPr>
        <w:spacing w:before="120" w:after="120"/>
        <w:ind w:left="288" w:right="288"/>
        <w:shd w:val="clear" w:color="auto" w:fill="FEF3C7"/>
      </w:pPr>
      <w:r>
        <w:rPr>
          <w:b w:val="0"/>
          <w:i/>
          <w:color w:val="111827"/>
          <w:sz w:val="20"/>
        </w:rPr>
        <w:t>⚠️  CONSTRAINED — possible but must be handled carefully:</w:t>
        <w:br/>
        <w:t>(1) Data partnerships — anonymised aggregate only, must align with Data Safety declaration  (2) Insurance referrals — can link OUT to external insurers, cannot embed inside app  (3) New permissions — requires updated Play Console declaration before adding</w:t>
      </w:r>
    </w:p>
    <w:p>
      <w:pPr>
        <w:spacing w:after="120"/>
      </w:pPr>
      <w:r>
        <w:rPr>
          <w:b w:val="0"/>
          <w:i w:val="0"/>
          <w:color w:val="111827"/>
          <w:sz w:val="21"/>
        </w:rPr>
        <w:t>Important clarification on "Financial features: No" — this declaration specifically refers to financial services products (banking, lending, investment, cryptocurrency) embedded within the app. It does NOT prevent charging users subscription fees, processing payments via bKash/Nagad, or earning referral commissions from external partners. Subscriptions and referral links are payment methods for Omra's own service, not financial service products.</w:t>
      </w:r>
    </w:p>
    <w:p>
      <w:pPr>
        <w:spacing w:before="440" w:after="100"/>
        <w:pBdr>
          <w:bottom w:val="single" w:sz="14" w:space="4" w:color="0F9D77"/>
        </w:pBdr>
      </w:pPr>
      <w:r>
        <w:rPr>
          <w:b/>
          <w:i w:val="0"/>
          <w:color w:val="0F9D77"/>
          <w:sz w:val="28"/>
        </w:rPr>
        <w:t>5.  Target User Segments</w:t>
      </w:r>
    </w:p>
    <w:p>
      <w:pPr>
        <w:spacing w:before="240" w:after="60"/>
      </w:pPr>
      <w:r>
        <w:rPr>
          <w:b/>
          <w:i w:val="0"/>
          <w:color w:val="111827"/>
          <w:sz w:val="23"/>
        </w:rPr>
        <w:t>5.1  Chronic Disease Patients — Primary Segment</w:t>
      </w:r>
    </w:p>
    <w:p>
      <w:pPr>
        <w:spacing w:after="120"/>
      </w:pPr>
      <w:r>
        <w:rPr>
          <w:b w:val="0"/>
          <w:i w:val="0"/>
          <w:color w:val="111827"/>
          <w:sz w:val="21"/>
        </w:rPr>
        <w:t>With 14% diabetes and 29% hypertension prevalence among Bangladeshi adults, there are approximately 23 million diabetic and 49 million hypertensive adults in the country. These patients need daily vitals tracking, medication adherence, prescription management, and regular doctor contact — all features Omra already has and has declared on the Play Store. Their need is recurring and high-urgency, making them the highest-value segment.</w:t>
      </w:r>
    </w:p>
    <w:p>
      <w:pPr>
        <w:spacing w:after="60"/>
        <w:ind w:left="360"/>
      </w:pPr>
      <w:r>
        <w:rPr>
          <w:b/>
          <w:i w:val="0"/>
          <w:color w:val="0F9D77"/>
          <w:sz w:val="21"/>
        </w:rPr>
        <w:t xml:space="preserve">Age range: </w:t>
      </w:r>
      <w:r>
        <w:rPr>
          <w:b w:val="0"/>
          <w:i w:val="0"/>
          <w:color w:val="111827"/>
          <w:sz w:val="21"/>
        </w:rPr>
        <w:t>35–65 years</w:t>
      </w:r>
    </w:p>
    <w:p>
      <w:pPr>
        <w:spacing w:after="60"/>
        <w:ind w:left="360"/>
      </w:pPr>
      <w:r>
        <w:rPr>
          <w:b/>
          <w:i w:val="0"/>
          <w:color w:val="0F9D77"/>
          <w:sz w:val="21"/>
        </w:rPr>
        <w:t xml:space="preserve">Location: </w:t>
      </w:r>
      <w:r>
        <w:rPr>
          <w:b w:val="0"/>
          <w:i w:val="0"/>
          <w:color w:val="111827"/>
          <w:sz w:val="21"/>
        </w:rPr>
        <w:t>Dhaka, Chattogram, Sylhet, Gazipur — urban/semi-urban first</w:t>
      </w:r>
    </w:p>
    <w:p>
      <w:pPr>
        <w:spacing w:after="60"/>
        <w:ind w:left="360"/>
      </w:pPr>
      <w:r>
        <w:rPr>
          <w:b/>
          <w:i w:val="0"/>
          <w:color w:val="0F9D77"/>
          <w:sz w:val="21"/>
        </w:rPr>
        <w:t xml:space="preserve">Willingness to pay: </w:t>
      </w:r>
      <w:r>
        <w:rPr>
          <w:b w:val="0"/>
          <w:i w:val="0"/>
          <w:color w:val="111827"/>
          <w:sz w:val="21"/>
        </w:rPr>
        <w:t>Low-to-moderate. BDT 150–300/month if clear health value demonstrated</w:t>
      </w:r>
    </w:p>
    <w:p>
      <w:pPr>
        <w:spacing w:after="60"/>
        <w:ind w:left="360"/>
      </w:pPr>
      <w:r>
        <w:rPr>
          <w:b/>
          <w:i w:val="0"/>
          <w:color w:val="0F9D77"/>
          <w:sz w:val="21"/>
        </w:rPr>
        <w:t xml:space="preserve">Payment preference: </w:t>
      </w:r>
      <w:r>
        <w:rPr>
          <w:b w:val="0"/>
          <w:i w:val="0"/>
          <w:color w:val="111827"/>
          <w:sz w:val="21"/>
        </w:rPr>
        <w:t>bKash autopay, Nagad — most do not have credit cards</w:t>
      </w:r>
    </w:p>
    <w:p>
      <w:pPr>
        <w:spacing w:after="60"/>
        <w:ind w:left="360"/>
      </w:pPr>
      <w:r>
        <w:rPr>
          <w:b/>
          <w:i w:val="0"/>
          <w:color w:val="0F9D77"/>
          <w:sz w:val="21"/>
        </w:rPr>
        <w:t xml:space="preserve">18+ restriction: </w:t>
      </w:r>
      <w:r>
        <w:rPr>
          <w:b w:val="0"/>
          <w:i w:val="0"/>
          <w:color w:val="111827"/>
          <w:sz w:val="21"/>
        </w:rPr>
        <w:t>No conflict. Target demographic is entirely adult.</w:t>
      </w:r>
    </w:p>
    <w:p>
      <w:pPr>
        <w:spacing w:before="240" w:after="60"/>
      </w:pPr>
      <w:r>
        <w:rPr>
          <w:b/>
          <w:i w:val="0"/>
          <w:color w:val="111827"/>
          <w:sz w:val="23"/>
        </w:rPr>
        <w:t>5.2  Families of Elderly Patients — Family Member Portal</w:t>
      </w:r>
    </w:p>
    <w:p>
      <w:pPr>
        <w:spacing w:after="120"/>
      </w:pPr>
      <w:r>
        <w:rPr>
          <w:b w:val="0"/>
          <w:i w:val="0"/>
          <w:color w:val="111827"/>
          <w:sz w:val="21"/>
        </w:rPr>
        <w:t>In Bangladesh's joint family culture, adult children are heavily involved in managing parents' health. The Family Member portal — allowing remote monitoring of a patient's vitals, medications, and appointments — is uniquely compelling for families where adult children work in Dhaka or abroad while elderly parents live in rural areas. This use case has no equivalent in any existing Bangladesh health app.</w:t>
      </w:r>
    </w:p>
    <w:p>
      <w:pPr>
        <w:spacing w:after="60"/>
        <w:ind w:left="360"/>
      </w:pPr>
      <w:r>
        <w:rPr>
          <w:b/>
          <w:i w:val="0"/>
          <w:color w:val="0F9D77"/>
          <w:sz w:val="21"/>
        </w:rPr>
        <w:t xml:space="preserve">Use case: </w:t>
      </w:r>
      <w:r>
        <w:rPr>
          <w:b w:val="0"/>
          <w:i w:val="0"/>
          <w:color w:val="111827"/>
          <w:sz w:val="21"/>
        </w:rPr>
        <w:t>Children in cities monitoring parents in rural areas remotely</w:t>
      </w:r>
    </w:p>
    <w:p>
      <w:pPr>
        <w:spacing w:after="60"/>
        <w:ind w:left="360"/>
      </w:pPr>
      <w:r>
        <w:rPr>
          <w:b/>
          <w:i w:val="0"/>
          <w:color w:val="0F9D77"/>
          <w:sz w:val="21"/>
        </w:rPr>
        <w:t xml:space="preserve">Willingness to pay: </w:t>
      </w:r>
      <w:r>
        <w:rPr>
          <w:b w:val="0"/>
          <w:i w:val="0"/>
          <w:color w:val="111827"/>
          <w:sz w:val="21"/>
        </w:rPr>
        <w:t>Moderate-to-high. Will pay for peace of mind for a parent</w:t>
      </w:r>
    </w:p>
    <w:p>
      <w:pPr>
        <w:spacing w:after="60"/>
        <w:ind w:left="360"/>
      </w:pPr>
      <w:r>
        <w:rPr>
          <w:b/>
          <w:i w:val="0"/>
          <w:color w:val="0F9D77"/>
          <w:sz w:val="21"/>
        </w:rPr>
        <w:t xml:space="preserve">Policy note: </w:t>
      </w:r>
      <w:r>
        <w:rPr>
          <w:b w:val="0"/>
          <w:i w:val="0"/>
          <w:color w:val="111827"/>
          <w:sz w:val="21"/>
        </w:rPr>
        <w:t>Both the monitoring family member and the patient are adults. No 18+ conflict.</w:t>
      </w:r>
    </w:p>
    <w:p>
      <w:pPr>
        <w:spacing w:before="240" w:after="60"/>
      </w:pPr>
      <w:r>
        <w:rPr>
          <w:b/>
          <w:i w:val="0"/>
          <w:color w:val="111827"/>
          <w:sz w:val="23"/>
        </w:rPr>
        <w:t>5.3  Private Practice Doctors — Doctor Portal</w:t>
      </w:r>
    </w:p>
    <w:p>
      <w:pPr>
        <w:spacing w:after="120"/>
      </w:pPr>
      <w:r>
        <w:rPr>
          <w:b w:val="0"/>
          <w:i w:val="0"/>
          <w:color w:val="111827"/>
          <w:sz w:val="21"/>
        </w:rPr>
        <w:t>Bangladesh has a large number of private-practice doctors operating independent or small-group clinics with no affordable patient management software. Omra's Doctor Portal gives them digital prescriptions, patient history, between-visit vitals monitoring, and appointment management. This is a B2B SaaS purchase — the doctor or clinic owner pays, not the patient.</w:t>
      </w:r>
    </w:p>
    <w:p>
      <w:pPr>
        <w:spacing w:after="60"/>
        <w:ind w:left="360"/>
      </w:pPr>
      <w:r>
        <w:rPr>
          <w:b/>
          <w:i w:val="0"/>
          <w:color w:val="0F9D77"/>
          <w:sz w:val="21"/>
        </w:rPr>
        <w:t xml:space="preserve">Target: </w:t>
      </w:r>
      <w:r>
        <w:rPr>
          <w:b w:val="0"/>
          <w:i w:val="0"/>
          <w:color w:val="111827"/>
          <w:sz w:val="21"/>
        </w:rPr>
        <w:t>GPs, diabetologists, cardiologists in private practice</w:t>
      </w:r>
    </w:p>
    <w:p>
      <w:pPr>
        <w:spacing w:after="60"/>
        <w:ind w:left="360"/>
      </w:pPr>
      <w:r>
        <w:rPr>
          <w:b/>
          <w:i w:val="0"/>
          <w:color w:val="0F9D77"/>
          <w:sz w:val="21"/>
        </w:rPr>
        <w:t xml:space="preserve">Clinic size: </w:t>
      </w:r>
      <w:r>
        <w:rPr>
          <w:b w:val="0"/>
          <w:i w:val="0"/>
          <w:color w:val="111827"/>
          <w:sz w:val="21"/>
        </w:rPr>
        <w:t>1–10 doctor practices, specialist diagnostic centres</w:t>
      </w:r>
    </w:p>
    <w:p>
      <w:pPr>
        <w:spacing w:after="60"/>
        <w:ind w:left="360"/>
      </w:pPr>
      <w:r>
        <w:rPr>
          <w:b/>
          <w:i w:val="0"/>
          <w:color w:val="0F9D77"/>
          <w:sz w:val="21"/>
        </w:rPr>
        <w:t xml:space="preserve">Willingness to pay: </w:t>
      </w:r>
      <w:r>
        <w:rPr>
          <w:b w:val="0"/>
          <w:i w:val="0"/>
          <w:color w:val="111827"/>
          <w:sz w:val="21"/>
        </w:rPr>
        <w:t>BDT 2,500–25,000/month depending on clinic size</w:t>
      </w:r>
    </w:p>
    <w:p>
      <w:pPr>
        <w:spacing w:after="60"/>
        <w:ind w:left="360"/>
      </w:pPr>
      <w:r>
        <w:rPr>
          <w:b/>
          <w:i w:val="0"/>
          <w:color w:val="0F9D77"/>
          <w:sz w:val="21"/>
        </w:rPr>
        <w:t xml:space="preserve">Decision timeline: </w:t>
      </w:r>
      <w:r>
        <w:rPr>
          <w:b w:val="0"/>
          <w:i w:val="0"/>
          <w:color w:val="111827"/>
          <w:sz w:val="21"/>
        </w:rPr>
        <w:t>2–8 weeks — much faster than government or NGO procurement</w:t>
      </w:r>
    </w:p>
    <w:p>
      <w:pPr>
        <w:spacing w:before="440" w:after="100"/>
        <w:pBdr>
          <w:bottom w:val="single" w:sz="14" w:space="4" w:color="0F9D77"/>
        </w:pBdr>
      </w:pPr>
      <w:r>
        <w:rPr>
          <w:b/>
          <w:i w:val="0"/>
          <w:color w:val="0F9D77"/>
          <w:sz w:val="28"/>
        </w:rPr>
        <w:t>6.  Business Model Streams — Research and Policy Validated</w:t>
      </w:r>
    </w:p>
    <w:p>
      <w:pPr>
        <w:spacing w:after="120"/>
      </w:pPr>
      <w:r>
        <w:rPr>
          <w:b w:val="0"/>
          <w:i w:val="0"/>
          <w:color w:val="111827"/>
          <w:sz w:val="21"/>
        </w:rPr>
        <w:t>Five revenue streams are viable under Omra's current Play Store declarations and the Bangladesh market context. They are sequenced by speed to revenue and ease of execution.</w:t>
      </w:r>
    </w:p>
    <w:p>
      <w:pPr>
        <w:spacing w:before="240" w:after="60"/>
      </w:pPr>
      <w:r>
        <w:rPr>
          <w:b/>
          <w:i w:val="0"/>
          <w:color w:val="111827"/>
          <w:sz w:val="23"/>
        </w:rPr>
        <w:t>Stream 1 — B2B Clinic SaaS  (Primary, Fastest)</w:t>
      </w:r>
    </w:p>
    <w:p>
      <w:pPr>
        <w:spacing w:before="120" w:after="120"/>
        <w:ind w:left="288" w:right="288"/>
        <w:shd w:val="clear" w:color="auto" w:fill="DCFCE7"/>
      </w:pPr>
      <w:r>
        <w:rPr>
          <w:b w:val="0"/>
          <w:i/>
          <w:color w:val="111827"/>
          <w:sz w:val="20"/>
        </w:rPr>
        <w:t>Policy status: ✅ Fully valid · No ad content · 18+ patients · Data Safety compliant</w:t>
      </w:r>
    </w:p>
    <w:p>
      <w:pPr>
        <w:spacing w:after="120"/>
      </w:pPr>
      <w:r>
        <w:rPr>
          <w:b w:val="0"/>
          <w:i w:val="0"/>
          <w:color w:val="111827"/>
          <w:sz w:val="21"/>
        </w:rPr>
        <w:t>License the Doctor Portal to private clinics as a monthly SaaS subscription. The clinic pays a monthly fee; their existing patients download the Patient Portal for free (or at a clinic-subsidised rate) as a benefit of being registered at that clinic. The clinic becomes Omra's distribution engine — eliminating the need for expensive B2C marketing to acquire those patient users.</w:t>
      </w:r>
    </w:p>
    <w:p>
      <w:pPr>
        <w:spacing w:after="120"/>
      </w:pPr>
      <w:r>
        <w:rPr>
          <w:b w:val="0"/>
          <w:i w:val="0"/>
          <w:color w:val="111827"/>
          <w:sz w:val="21"/>
        </w:rPr>
        <w:t>The "No ads" declaration is a selling point here, not a limitation. Private clinic doctors do not want patient-facing advertising inside a tool they endorse. An ad-free, professionally designed patient portal reflects well on the clinic's brand.</w:t>
      </w:r>
    </w:p>
    <w:p>
      <w:pPr>
        <w:spacing w:before="160" w:after="40"/>
      </w:pPr>
      <w:r>
        <w:rPr>
          <w:b/>
          <w:i w:val="0"/>
          <w:color w:val="0F9D77"/>
          <w:sz w:val="21"/>
        </w:rPr>
        <w:t>Pricing tiers:</w:t>
      </w:r>
    </w:p>
    <w:p>
      <w:pPr>
        <w:spacing w:after="60"/>
        <w:ind w:left="360"/>
      </w:pPr>
      <w:r>
        <w:rPr>
          <w:b/>
          <w:i w:val="0"/>
          <w:color w:val="0F9D77"/>
          <w:sz w:val="21"/>
        </w:rPr>
        <w:t xml:space="preserve">Starter — 1 to 2 doctors: </w:t>
      </w:r>
      <w:r>
        <w:rPr>
          <w:b w:val="0"/>
          <w:i w:val="0"/>
          <w:color w:val="111827"/>
          <w:sz w:val="21"/>
        </w:rPr>
        <w:t>BDT 2,500/month · Up to 200 active patients</w:t>
      </w:r>
    </w:p>
    <w:p>
      <w:pPr>
        <w:spacing w:after="60"/>
        <w:ind w:left="360"/>
      </w:pPr>
      <w:r>
        <w:rPr>
          <w:b/>
          <w:i w:val="0"/>
          <w:color w:val="0F9D77"/>
          <w:sz w:val="21"/>
        </w:rPr>
        <w:t xml:space="preserve">Growth — 3 to 5 doctors: </w:t>
      </w:r>
      <w:r>
        <w:rPr>
          <w:b w:val="0"/>
          <w:i w:val="0"/>
          <w:color w:val="111827"/>
          <w:sz w:val="21"/>
        </w:rPr>
        <w:t>BDT 5,500/month · Up to 600 active patients</w:t>
      </w:r>
    </w:p>
    <w:p>
      <w:pPr>
        <w:spacing w:after="60"/>
        <w:ind w:left="360"/>
      </w:pPr>
      <w:r>
        <w:rPr>
          <w:b/>
          <w:i w:val="0"/>
          <w:color w:val="0F9D77"/>
          <w:sz w:val="21"/>
        </w:rPr>
        <w:t xml:space="preserve">Enterprise — hospital level: </w:t>
      </w:r>
      <w:r>
        <w:rPr>
          <w:b w:val="0"/>
          <w:i w:val="0"/>
          <w:color w:val="111827"/>
          <w:sz w:val="21"/>
        </w:rPr>
        <w:t>BDT 12,000–25,000/month · Unlimited patients, custom branding</w:t>
      </w:r>
    </w:p>
    <w:p>
      <w:pPr>
        <w:spacing w:after="60"/>
        <w:ind w:left="360"/>
      </w:pPr>
      <w:r>
        <w:rPr>
          <w:b/>
          <w:i w:val="0"/>
          <w:color w:val="0F9D77"/>
          <w:sz w:val="21"/>
        </w:rPr>
        <w:t xml:space="preserve">Annual discount: </w:t>
      </w:r>
      <w:r>
        <w:rPr>
          <w:b w:val="0"/>
          <w:i w:val="0"/>
          <w:color w:val="111827"/>
          <w:sz w:val="21"/>
        </w:rPr>
        <w:t>2 months free on annual payment — improves Omra cash flow</w:t>
      </w:r>
    </w:p>
    <w:p>
      <w:pPr>
        <w:spacing w:before="160" w:after="40"/>
      </w:pPr>
      <w:r>
        <w:rPr>
          <w:b/>
          <w:i w:val="0"/>
          <w:color w:val="0F9D77"/>
          <w:sz w:val="21"/>
        </w:rPr>
        <w:t>Research validation:</w:t>
      </w:r>
    </w:p>
    <w:p>
      <w:pPr>
        <w:pStyle w:val="ListBullet"/>
        <w:spacing w:after="60"/>
        <w:ind w:left="432"/>
      </w:pPr>
      <w:r>
        <w:rPr>
          <w:b w:val="0"/>
          <w:i w:val="0"/>
          <w:color w:val="111827"/>
          <w:sz w:val="21"/>
        </w:rPr>
        <w:t>Bangladesh has 134,568 registered physicians — the majority in private practice with no digital patient tools</w:t>
      </w:r>
    </w:p>
    <w:p>
      <w:pPr>
        <w:pStyle w:val="ListBullet"/>
        <w:spacing w:after="60"/>
        <w:ind w:left="432"/>
      </w:pPr>
      <w:r>
        <w:rPr>
          <w:b w:val="0"/>
          <w:i w:val="0"/>
          <w:color w:val="111827"/>
          <w:sz w:val="21"/>
        </w:rPr>
        <w:t>Digital care management is the fastest-growing segment at 17.79% CAGR — this is the exact category Omra serves</w:t>
      </w:r>
    </w:p>
    <w:p>
      <w:pPr>
        <w:pStyle w:val="ListBullet"/>
        <w:spacing w:after="60"/>
        <w:ind w:left="432"/>
      </w:pPr>
      <w:r>
        <w:rPr>
          <w:b w:val="0"/>
          <w:i w:val="0"/>
          <w:color w:val="111827"/>
          <w:sz w:val="21"/>
        </w:rPr>
        <w:t>Clinic adoption of digital tools is accelerating post-COVID as patients expect digital interaction</w:t>
      </w:r>
    </w:p>
    <w:p>
      <w:pPr>
        <w:spacing w:after="60"/>
        <w:ind w:left="360"/>
      </w:pPr>
      <w:r>
        <w:rPr>
          <w:b/>
          <w:i w:val="0"/>
          <w:color w:val="0F9D77"/>
          <w:sz w:val="21"/>
        </w:rPr>
        <w:t xml:space="preserve">Year 1 revenue estimate: </w:t>
      </w:r>
      <w:r>
        <w:rPr>
          <w:b w:val="0"/>
          <w:i w:val="0"/>
          <w:color w:val="111827"/>
          <w:sz w:val="21"/>
        </w:rPr>
        <w:t>50 clinics × avg BDT 4,500/month = BDT 2.7M/month → BDT 6M+ annually</w:t>
      </w:r>
    </w:p>
    <w:p>
      <w:pPr>
        <w:spacing w:after="60"/>
        <w:ind w:left="360"/>
      </w:pPr>
      <w:r>
        <w:rPr>
          <w:b/>
          <w:i w:val="0"/>
          <w:color w:val="0F9D77"/>
          <w:sz w:val="21"/>
        </w:rPr>
        <w:t xml:space="preserve">Year 2 revenue estimate: </w:t>
      </w:r>
      <w:r>
        <w:rPr>
          <w:b w:val="0"/>
          <w:i w:val="0"/>
          <w:color w:val="111827"/>
          <w:sz w:val="21"/>
        </w:rPr>
        <w:t>200 clinics → BDT 28M annually</w:t>
      </w:r>
    </w:p>
    <w:p>
      <w:pPr>
        <w:spacing w:before="240" w:after="60"/>
      </w:pPr>
      <w:r>
        <w:rPr>
          <w:b/>
          <w:i w:val="0"/>
          <w:color w:val="111827"/>
          <w:sz w:val="23"/>
        </w:rPr>
        <w:t>Stream 2 — B2C Premium Subscription  (Secondary, Scalable)</w:t>
      </w:r>
    </w:p>
    <w:p>
      <w:pPr>
        <w:spacing w:before="120" w:after="120"/>
        <w:ind w:left="288" w:right="288"/>
        <w:shd w:val="clear" w:color="auto" w:fill="DCFCE7"/>
      </w:pPr>
      <w:r>
        <w:rPr>
          <w:b w:val="0"/>
          <w:i/>
          <w:color w:val="111827"/>
          <w:sz w:val="20"/>
        </w:rPr>
        <w:t>Policy status: ✅ Valid · Alarms/Reminders explicitly declared and approved by Google</w:t>
      </w:r>
    </w:p>
    <w:p>
      <w:pPr>
        <w:spacing w:after="120"/>
      </w:pPr>
      <w:r>
        <w:rPr>
          <w:b w:val="0"/>
          <w:i w:val="0"/>
          <w:color w:val="111827"/>
          <w:sz w:val="21"/>
        </w:rPr>
        <w:t>The "Ads: No" Play Store declaration is your most powerful B2C marketing asset. Position Omra as: "The only health app in Bangladesh with no ads, no data selling — just your health." This resonates strongly with educated urban patients managing chronic conditions who are tired of health apps that serve them pharmaceutical ads.</w:t>
      </w:r>
    </w:p>
    <w:p>
      <w:pPr>
        <w:spacing w:after="120"/>
      </w:pPr>
      <w:r>
        <w:rPr>
          <w:b w:val="0"/>
          <w:i w:val="0"/>
          <w:color w:val="111827"/>
          <w:sz w:val="21"/>
        </w:rPr>
        <w:t>The Alarms declaration (Yes → Reminders) explicitly validates medication reminders as a declared, approved feature. Research shows that medication non-adherence is the single biggest challenge for diabetic and hypertensive patients in Bangladesh. The reminder system is therefore the clearest, most direct reason patients will upgrade from the free tier to Premium.</w:t>
      </w:r>
    </w:p>
    <w:p>
      <w:pPr>
        <w:spacing w:before="160" w:after="40"/>
      </w:pPr>
      <w:r>
        <w:rPr>
          <w:b/>
          <w:i w:val="0"/>
          <w:color w:val="0F9D77"/>
          <w:sz w:val="21"/>
        </w:rPr>
        <w:t>Free tier — BDT 0:</w:t>
      </w:r>
    </w:p>
    <w:p>
      <w:pPr>
        <w:pStyle w:val="ListBullet"/>
        <w:spacing w:after="60"/>
        <w:ind w:left="432"/>
      </w:pPr>
      <w:r>
        <w:rPr>
          <w:b w:val="0"/>
          <w:i w:val="0"/>
          <w:color w:val="111827"/>
          <w:sz w:val="21"/>
        </w:rPr>
        <w:t>Manual vitals log with 30-day history</w:t>
      </w:r>
    </w:p>
    <w:p>
      <w:pPr>
        <w:pStyle w:val="ListBullet"/>
        <w:spacing w:after="60"/>
        <w:ind w:left="432"/>
      </w:pPr>
      <w:r>
        <w:rPr>
          <w:b w:val="0"/>
          <w:i w:val="0"/>
          <w:color w:val="111827"/>
          <w:sz w:val="21"/>
        </w:rPr>
        <w:t>Medication reminders for up to 3 medicines (declared Alarms feature)</w:t>
      </w:r>
    </w:p>
    <w:p>
      <w:pPr>
        <w:pStyle w:val="ListBullet"/>
        <w:spacing w:after="60"/>
        <w:ind w:left="432"/>
      </w:pPr>
      <w:r>
        <w:rPr>
          <w:b w:val="0"/>
          <w:i w:val="0"/>
          <w:color w:val="111827"/>
          <w:sz w:val="21"/>
        </w:rPr>
        <w:t>1 family member connection</w:t>
      </w:r>
    </w:p>
    <w:p>
      <w:pPr>
        <w:pStyle w:val="ListBullet"/>
        <w:spacing w:after="60"/>
        <w:ind w:left="432"/>
      </w:pPr>
      <w:r>
        <w:rPr>
          <w:b w:val="0"/>
          <w:i w:val="0"/>
          <w:color w:val="111827"/>
          <w:sz w:val="21"/>
        </w:rPr>
        <w:t>Appointment booking view</w:t>
      </w:r>
    </w:p>
    <w:p>
      <w:pPr>
        <w:spacing w:before="160" w:after="40"/>
      </w:pPr>
      <w:r>
        <w:rPr>
          <w:b/>
          <w:i w:val="0"/>
          <w:color w:val="0F9D77"/>
          <w:sz w:val="21"/>
        </w:rPr>
        <w:t>Premium tier — BDT 199/month or BDT 1,699/year:</w:t>
      </w:r>
    </w:p>
    <w:p>
      <w:pPr>
        <w:pStyle w:val="ListBullet"/>
        <w:spacing w:after="60"/>
        <w:ind w:left="432"/>
      </w:pPr>
      <w:r>
        <w:rPr>
          <w:b w:val="0"/>
          <w:i w:val="0"/>
          <w:color w:val="111827"/>
          <w:sz w:val="21"/>
        </w:rPr>
        <w:t>Unlimited vitals history with trend charts and AI-generated insights</w:t>
      </w:r>
    </w:p>
    <w:p>
      <w:pPr>
        <w:pStyle w:val="ListBullet"/>
        <w:spacing w:after="60"/>
        <w:ind w:left="432"/>
      </w:pPr>
      <w:r>
        <w:rPr>
          <w:b w:val="0"/>
          <w:i w:val="0"/>
          <w:color w:val="111827"/>
          <w:sz w:val="21"/>
        </w:rPr>
        <w:t>Unlimited medicines with refill alerts and missed-dose notifications to family</w:t>
      </w:r>
    </w:p>
    <w:p>
      <w:pPr>
        <w:pStyle w:val="ListBullet"/>
        <w:spacing w:after="60"/>
        <w:ind w:left="432"/>
      </w:pPr>
      <w:r>
        <w:rPr>
          <w:b w:val="0"/>
          <w:i w:val="0"/>
          <w:color w:val="111827"/>
          <w:sz w:val="21"/>
        </w:rPr>
        <w:t>Up to 5 family member connections</w:t>
      </w:r>
    </w:p>
    <w:p>
      <w:pPr>
        <w:pStyle w:val="ListBullet"/>
        <w:spacing w:after="60"/>
        <w:ind w:left="432"/>
      </w:pPr>
      <w:r>
        <w:rPr>
          <w:b w:val="0"/>
          <w:i w:val="0"/>
          <w:color w:val="111827"/>
          <w:sz w:val="21"/>
        </w:rPr>
        <w:t>Prescription storage and one-tap sharing with any doctor</w:t>
      </w:r>
    </w:p>
    <w:p>
      <w:pPr>
        <w:pStyle w:val="ListBullet"/>
        <w:spacing w:after="60"/>
        <w:ind w:left="432"/>
      </w:pPr>
      <w:r>
        <w:rPr>
          <w:b w:val="0"/>
          <w:i w:val="0"/>
          <w:color w:val="111827"/>
          <w:sz w:val="21"/>
        </w:rPr>
        <w:t>Monthly PDF health summary — shareable at hospital visits</w:t>
      </w:r>
    </w:p>
    <w:p>
      <w:pPr>
        <w:pStyle w:val="ListBullet"/>
        <w:spacing w:after="60"/>
        <w:ind w:left="432"/>
      </w:pPr>
      <w:r>
        <w:rPr>
          <w:b w:val="0"/>
          <w:i w:val="0"/>
          <w:color w:val="111827"/>
          <w:sz w:val="21"/>
        </w:rPr>
        <w:t>Priority appointment slots at partner clinics</w:t>
      </w:r>
    </w:p>
    <w:p>
      <w:pPr>
        <w:spacing w:before="160" w:after="40"/>
      </w:pPr>
      <w:r>
        <w:rPr>
          <w:b/>
          <w:i w:val="0"/>
          <w:color w:val="0F9D77"/>
          <w:sz w:val="21"/>
        </w:rPr>
        <w:t>Family Plan — BDT 299/month:</w:t>
      </w:r>
    </w:p>
    <w:p>
      <w:pPr>
        <w:pStyle w:val="ListBullet"/>
        <w:spacing w:after="60"/>
        <w:ind w:left="432"/>
      </w:pPr>
      <w:r>
        <w:rPr>
          <w:b w:val="0"/>
          <w:i w:val="0"/>
          <w:color w:val="111827"/>
          <w:sz w:val="21"/>
        </w:rPr>
        <w:t>1 patient account + up to 4 family member monitoring accounts</w:t>
      </w:r>
    </w:p>
    <w:p>
      <w:pPr>
        <w:pStyle w:val="ListBullet"/>
        <w:spacing w:after="60"/>
        <w:ind w:left="432"/>
      </w:pPr>
      <w:r>
        <w:rPr>
          <w:b w:val="0"/>
          <w:i w:val="0"/>
          <w:color w:val="111827"/>
          <w:sz w:val="21"/>
        </w:rPr>
        <w:t>Best-value pitch: "Protect your parents for BDT 10 per day"</w:t>
      </w:r>
    </w:p>
    <w:p>
      <w:pPr>
        <w:pStyle w:val="ListBullet"/>
        <w:spacing w:after="60"/>
        <w:ind w:left="432"/>
      </w:pPr>
      <w:r>
        <w:rPr>
          <w:b w:val="0"/>
          <w:i w:val="0"/>
          <w:color w:val="111827"/>
          <w:sz w:val="21"/>
        </w:rPr>
        <w:t>Missed-dose alerts to all connected family members simultaneously</w:t>
      </w:r>
    </w:p>
    <w:p>
      <w:pPr>
        <w:spacing w:after="60"/>
        <w:ind w:left="360"/>
      </w:pPr>
      <w:r>
        <w:rPr>
          <w:b/>
          <w:i w:val="0"/>
          <w:color w:val="0F9D77"/>
          <w:sz w:val="21"/>
        </w:rPr>
        <w:t xml:space="preserve">Payment: </w:t>
      </w:r>
      <w:r>
        <w:rPr>
          <w:b w:val="0"/>
          <w:i w:val="0"/>
          <w:color w:val="111827"/>
          <w:sz w:val="21"/>
        </w:rPr>
        <w:t>bKash autopay, Nagad — essential for conversion</w:t>
      </w:r>
    </w:p>
    <w:p>
      <w:pPr>
        <w:spacing w:after="60"/>
        <w:ind w:left="360"/>
      </w:pPr>
      <w:r>
        <w:rPr>
          <w:b/>
          <w:i w:val="0"/>
          <w:color w:val="0F9D77"/>
          <w:sz w:val="21"/>
        </w:rPr>
        <w:t xml:space="preserve">18+ note: </w:t>
      </w:r>
      <w:r>
        <w:rPr>
          <w:b w:val="0"/>
          <w:i w:val="0"/>
          <w:color w:val="111827"/>
          <w:sz w:val="21"/>
        </w:rPr>
        <w:t>Patient and all family members are adults. No policy conflict.</w:t>
      </w:r>
    </w:p>
    <w:p>
      <w:pPr>
        <w:spacing w:after="60"/>
        <w:ind w:left="360"/>
      </w:pPr>
      <w:r>
        <w:rPr>
          <w:b/>
          <w:i w:val="0"/>
          <w:color w:val="0F9D77"/>
          <w:sz w:val="21"/>
        </w:rPr>
        <w:t xml:space="preserve">Year 2 target: </w:t>
      </w:r>
      <w:r>
        <w:rPr>
          <w:b w:val="0"/>
          <w:i w:val="0"/>
          <w:color w:val="111827"/>
          <w:sz w:val="21"/>
        </w:rPr>
        <w:t>10,000 premium subscribers → BDT 24M annually</w:t>
      </w:r>
    </w:p>
    <w:p>
      <w:pPr>
        <w:spacing w:before="240" w:after="60"/>
      </w:pPr>
      <w:r>
        <w:rPr>
          <w:b/>
          <w:i w:val="0"/>
          <w:color w:val="111827"/>
          <w:sz w:val="23"/>
        </w:rPr>
        <w:t>Stream 3 — Corporate Wellness  (Medium Term)</w:t>
      </w:r>
    </w:p>
    <w:p>
      <w:pPr>
        <w:spacing w:before="120" w:after="120"/>
        <w:ind w:left="288" w:right="288"/>
        <w:shd w:val="clear" w:color="auto" w:fill="DCFCE7"/>
      </w:pPr>
      <w:r>
        <w:rPr>
          <w:b w:val="0"/>
          <w:i/>
          <w:color w:val="111827"/>
          <w:sz w:val="20"/>
        </w:rPr>
        <w:t>Policy status: ✅ Valid · 18+ adult workforce perfectly aligned</w:t>
      </w:r>
    </w:p>
    <w:p>
      <w:pPr>
        <w:spacing w:after="120"/>
      </w:pPr>
      <w:r>
        <w:rPr>
          <w:b w:val="0"/>
          <w:i w:val="0"/>
          <w:color w:val="111827"/>
          <w:sz w:val="21"/>
        </w:rPr>
        <w:t>Sell bulk employee health monitoring licenses to companies. The 18+ target audience restriction aligns perfectly with adult workplaces. The "no ads" declaration is again an asset — HR departments do not want employees exposed to advertising inside a company-provided wellness benefit.</w:t>
      </w:r>
    </w:p>
    <w:p>
      <w:pPr>
        <w:spacing w:after="120"/>
      </w:pPr>
      <w:r>
        <w:rPr>
          <w:b w:val="0"/>
          <w:i w:val="0"/>
          <w:color w:val="111827"/>
          <w:sz w:val="21"/>
        </w:rPr>
        <w:t>Research precedent: Maya's most successful B2B revenue came from BGMEA (Bangladesh Garment Manufacturers and Exporters Association) member factories and international buyers like Marks &amp; Spencer and Primark. The RMG sector employs 4 million workers — predominantly adult women — with limited healthcare access. Omra can target the same channel with a chronic disease monitoring and family connectivity angle that Maya does not offer.</w:t>
      </w:r>
    </w:p>
    <w:p>
      <w:pPr>
        <w:spacing w:before="160" w:after="40"/>
      </w:pPr>
      <w:r>
        <w:rPr>
          <w:b/>
          <w:i w:val="0"/>
          <w:color w:val="0F9D77"/>
          <w:sz w:val="21"/>
        </w:rPr>
        <w:t>Target companies:</w:t>
      </w:r>
    </w:p>
    <w:p>
      <w:pPr>
        <w:pStyle w:val="ListBullet"/>
        <w:spacing w:after="60"/>
        <w:ind w:left="432"/>
      </w:pPr>
      <w:r>
        <w:rPr>
          <w:b w:val="0"/>
          <w:i w:val="0"/>
          <w:color w:val="111827"/>
          <w:sz w:val="21"/>
        </w:rPr>
        <w:t>RMG factories and BGMEA member companies</w:t>
      </w:r>
    </w:p>
    <w:p>
      <w:pPr>
        <w:pStyle w:val="ListBullet"/>
        <w:spacing w:after="60"/>
        <w:ind w:left="432"/>
      </w:pPr>
      <w:r>
        <w:rPr>
          <w:b w:val="0"/>
          <w:i w:val="0"/>
          <w:color w:val="111827"/>
          <w:sz w:val="21"/>
        </w:rPr>
        <w:t>Banks: BRAC Bank, Dutch-Bangla Bank, Islami Bank</w:t>
      </w:r>
    </w:p>
    <w:p>
      <w:pPr>
        <w:pStyle w:val="ListBullet"/>
        <w:spacing w:after="60"/>
        <w:ind w:left="432"/>
      </w:pPr>
      <w:r>
        <w:rPr>
          <w:b w:val="0"/>
          <w:i w:val="0"/>
          <w:color w:val="111827"/>
          <w:sz w:val="21"/>
        </w:rPr>
        <w:t>Telecom: Grameenphone, Robi, Banglalink</w:t>
      </w:r>
    </w:p>
    <w:p>
      <w:pPr>
        <w:pStyle w:val="ListBullet"/>
        <w:spacing w:after="60"/>
        <w:ind w:left="432"/>
      </w:pPr>
      <w:r>
        <w:rPr>
          <w:b w:val="0"/>
          <w:i w:val="0"/>
          <w:color w:val="111827"/>
          <w:sz w:val="21"/>
        </w:rPr>
        <w:t>Large NGOs with salaried staff: BRAC, CARE, Save the Children</w:t>
      </w:r>
    </w:p>
    <w:p>
      <w:pPr>
        <w:spacing w:after="60"/>
        <w:ind w:left="360"/>
      </w:pPr>
      <w:r>
        <w:rPr>
          <w:b/>
          <w:i w:val="0"/>
          <w:color w:val="0F9D77"/>
          <w:sz w:val="21"/>
        </w:rPr>
        <w:t xml:space="preserve">Pricing: </w:t>
      </w:r>
      <w:r>
        <w:rPr>
          <w:b w:val="0"/>
          <w:i w:val="0"/>
          <w:color w:val="111827"/>
          <w:sz w:val="21"/>
        </w:rPr>
        <w:t>BDT 80–120 per employee per month (minimum 100 employees)</w:t>
      </w:r>
    </w:p>
    <w:p>
      <w:pPr>
        <w:spacing w:after="60"/>
        <w:ind w:left="360"/>
      </w:pPr>
      <w:r>
        <w:rPr>
          <w:b/>
          <w:i w:val="0"/>
          <w:color w:val="0F9D77"/>
          <w:sz w:val="21"/>
        </w:rPr>
        <w:t xml:space="preserve">Year 1 target: </w:t>
      </w:r>
      <w:r>
        <w:rPr>
          <w:b w:val="0"/>
          <w:i w:val="0"/>
          <w:color w:val="111827"/>
          <w:sz w:val="21"/>
        </w:rPr>
        <w:t>3 corporate clients × 300 avg employees → BDT 900K/year</w:t>
      </w:r>
    </w:p>
    <w:p>
      <w:pPr>
        <w:spacing w:after="60"/>
        <w:ind w:left="360"/>
      </w:pPr>
      <w:r>
        <w:rPr>
          <w:b/>
          <w:i w:val="0"/>
          <w:color w:val="0F9D77"/>
          <w:sz w:val="21"/>
        </w:rPr>
        <w:t xml:space="preserve">Year 2 target: </w:t>
      </w:r>
      <w:r>
        <w:rPr>
          <w:b w:val="0"/>
          <w:i w:val="0"/>
          <w:color w:val="111827"/>
          <w:sz w:val="21"/>
        </w:rPr>
        <w:t>10 corporate clients × 500 avg employees → BDT 6M/year</w:t>
      </w:r>
    </w:p>
    <w:p>
      <w:pPr>
        <w:spacing w:before="240" w:after="60"/>
      </w:pPr>
      <w:r>
        <w:rPr>
          <w:b/>
          <w:i w:val="0"/>
          <w:color w:val="111827"/>
          <w:sz w:val="23"/>
        </w:rPr>
        <w:t>Stream 4 — NGO and Government Program Licensing  (Long Term)</w:t>
      </w:r>
    </w:p>
    <w:p>
      <w:pPr>
        <w:spacing w:before="120" w:after="120"/>
        <w:ind w:left="288" w:right="288"/>
        <w:shd w:val="clear" w:color="auto" w:fill="DCFCE7"/>
      </w:pPr>
      <w:r>
        <w:rPr>
          <w:b w:val="0"/>
          <w:i/>
          <w:color w:val="111827"/>
          <w:sz w:val="20"/>
        </w:rPr>
        <w:t>Policy status: ✅ Valid · Data Safety and Health declarations are credibility assets for procurement</w:t>
      </w:r>
    </w:p>
    <w:p>
      <w:pPr>
        <w:spacing w:after="120"/>
      </w:pPr>
      <w:r>
        <w:rPr>
          <w:b w:val="0"/>
          <w:i w:val="0"/>
          <w:color w:val="111827"/>
          <w:sz w:val="21"/>
        </w:rPr>
        <w:t>Bangladesh has a large ecosystem of international NGOs and government health programs running community health initiatives. These organisations need digital tools to track patient outcomes, medicine adherence, and vitals for their beneficiary populations.</w:t>
      </w:r>
    </w:p>
    <w:p>
      <w:pPr>
        <w:spacing w:after="120"/>
      </w:pPr>
      <w:r>
        <w:rPr>
          <w:b w:val="0"/>
          <w:i w:val="0"/>
          <w:color w:val="111827"/>
          <w:sz w:val="21"/>
        </w:rPr>
        <w:t>Your Play Store Data Safety and Health declarations are valuable procurement documents. NGO and government procurement teams will ask for evidence of data compliance. Having passed Google's review process is a recognised, auditable credential.</w:t>
      </w:r>
    </w:p>
    <w:p>
      <w:pPr>
        <w:spacing w:before="160" w:after="40"/>
      </w:pPr>
      <w:r>
        <w:rPr>
          <w:b/>
          <w:i w:val="0"/>
          <w:color w:val="0F9D77"/>
          <w:sz w:val="21"/>
        </w:rPr>
        <w:t>Key targets:</w:t>
      </w:r>
    </w:p>
    <w:p>
      <w:pPr>
        <w:pStyle w:val="ListBullet"/>
        <w:spacing w:after="60"/>
        <w:ind w:left="432"/>
      </w:pPr>
      <w:r>
        <w:rPr>
          <w:b w:val="0"/>
          <w:i w:val="0"/>
          <w:color w:val="111827"/>
          <w:sz w:val="21"/>
        </w:rPr>
        <w:t>BRAC Health Program — 13M health beneficiaries nationwide</w:t>
      </w:r>
    </w:p>
    <w:p>
      <w:pPr>
        <w:pStyle w:val="ListBullet"/>
        <w:spacing w:after="60"/>
        <w:ind w:left="432"/>
      </w:pPr>
      <w:r>
        <w:rPr>
          <w:b w:val="0"/>
          <w:i w:val="0"/>
          <w:color w:val="111827"/>
          <w:sz w:val="21"/>
        </w:rPr>
        <w:t>icddr,b — leading health research institution, runs NCD studies</w:t>
      </w:r>
    </w:p>
    <w:p>
      <w:pPr>
        <w:pStyle w:val="ListBullet"/>
        <w:spacing w:after="60"/>
        <w:ind w:left="432"/>
      </w:pPr>
      <w:r>
        <w:rPr>
          <w:b w:val="0"/>
          <w:i w:val="0"/>
          <w:color w:val="111827"/>
          <w:sz w:val="21"/>
        </w:rPr>
        <w:t>Ministry of Health NCD Control Program — diabetes and hypertension monitoring</w:t>
      </w:r>
    </w:p>
    <w:p>
      <w:pPr>
        <w:pStyle w:val="ListBullet"/>
        <w:spacing w:after="60"/>
        <w:ind w:left="432"/>
      </w:pPr>
      <w:r>
        <w:rPr>
          <w:b w:val="0"/>
          <w:i w:val="0"/>
          <w:color w:val="111827"/>
          <w:sz w:val="21"/>
        </w:rPr>
        <w:t>World Health Organization Bangladesh Country Office</w:t>
      </w:r>
    </w:p>
    <w:p>
      <w:pPr>
        <w:pStyle w:val="ListBullet"/>
        <w:spacing w:after="60"/>
        <w:ind w:left="432"/>
      </w:pPr>
      <w:r>
        <w:rPr>
          <w:b w:val="0"/>
          <w:i w:val="0"/>
          <w:color w:val="111827"/>
          <w:sz w:val="21"/>
        </w:rPr>
        <w:t>CARE Bangladesh, Marie Stopes Bangladesh</w:t>
      </w:r>
    </w:p>
    <w:p>
      <w:pPr>
        <w:spacing w:after="60"/>
        <w:ind w:left="360"/>
      </w:pPr>
      <w:r>
        <w:rPr>
          <w:b/>
          <w:i w:val="0"/>
          <w:color w:val="0F9D77"/>
          <w:sz w:val="21"/>
        </w:rPr>
        <w:t xml:space="preserve">Revenue model: </w:t>
      </w:r>
      <w:r>
        <w:rPr>
          <w:b w:val="0"/>
          <w:i w:val="0"/>
          <w:color w:val="111827"/>
          <w:sz w:val="21"/>
        </w:rPr>
        <w:t>BDT 30–60 per registered beneficiary per month, or fixed program contracts of BDT 5–20 lakh per 6 months</w:t>
      </w:r>
    </w:p>
    <w:p>
      <w:pPr>
        <w:spacing w:after="60"/>
        <w:ind w:left="360"/>
      </w:pPr>
      <w:r>
        <w:rPr>
          <w:b/>
          <w:i w:val="0"/>
          <w:color w:val="0F9D77"/>
          <w:sz w:val="21"/>
        </w:rPr>
        <w:t xml:space="preserve">Timeline: </w:t>
      </w:r>
      <w:r>
        <w:rPr>
          <w:b w:val="0"/>
          <w:i w:val="0"/>
          <w:color w:val="111827"/>
          <w:sz w:val="21"/>
        </w:rPr>
        <w:t>Month 18+ after clinic B2B establishes product credibility</w:t>
      </w:r>
    </w:p>
    <w:p>
      <w:pPr>
        <w:spacing w:after="60"/>
        <w:ind w:left="360"/>
      </w:pPr>
      <w:r>
        <w:rPr>
          <w:b/>
          <w:i w:val="0"/>
          <w:color w:val="0F9D77"/>
          <w:sz w:val="21"/>
        </w:rPr>
        <w:t xml:space="preserve">Year 3 target: </w:t>
      </w:r>
      <w:r>
        <w:rPr>
          <w:b w:val="0"/>
          <w:i w:val="0"/>
          <w:color w:val="111827"/>
          <w:sz w:val="21"/>
        </w:rPr>
        <w:t>BDT 12M from 2–3 NGO/government programs</w:t>
      </w:r>
    </w:p>
    <w:p>
      <w:pPr>
        <w:spacing w:before="240" w:after="60"/>
      </w:pPr>
      <w:r>
        <w:rPr>
          <w:b/>
          <w:i w:val="0"/>
          <w:color w:val="111827"/>
          <w:sz w:val="23"/>
        </w:rPr>
        <w:t>Stream 5 — External Referral Commissions  (Supplementary)</w:t>
      </w:r>
    </w:p>
    <w:p>
      <w:pPr>
        <w:spacing w:before="120" w:after="120"/>
        <w:ind w:left="288" w:right="288"/>
        <w:shd w:val="clear" w:color="auto" w:fill="DCFCE7"/>
      </w:pPr>
      <w:r>
        <w:rPr>
          <w:b w:val="0"/>
          <w:i/>
          <w:color w:val="111827"/>
          <w:sz w:val="20"/>
        </w:rPr>
        <w:t>Policy status: ✅ Valid · Financial features: No applies to EMBEDDED products — external referral links are unaffected</w:t>
      </w:r>
    </w:p>
    <w:p>
      <w:pPr>
        <w:spacing w:after="120"/>
      </w:pPr>
      <w:r>
        <w:rPr>
          <w:b w:val="0"/>
          <w:i w:val="0"/>
          <w:color w:val="111827"/>
          <w:sz w:val="21"/>
        </w:rPr>
        <w:t>The "Financial features: No" declaration blocks embedding financial service products inside the app. It does not block earning referral commissions when a user taps a link inside Omra and completes a transaction in an external app or website. This is a standard affiliate/referral model, not an embedded financial feature.</w:t>
      </w:r>
    </w:p>
    <w:p>
      <w:pPr>
        <w:spacing w:before="160" w:after="40"/>
      </w:pPr>
      <w:r>
        <w:rPr>
          <w:b/>
          <w:i w:val="0"/>
          <w:color w:val="0F9D77"/>
          <w:sz w:val="21"/>
        </w:rPr>
        <w:t>Referral partners:</w:t>
      </w:r>
    </w:p>
    <w:p>
      <w:pPr>
        <w:pStyle w:val="ListBullet"/>
        <w:spacing w:after="60"/>
        <w:ind w:left="432"/>
      </w:pPr>
      <w:r>
        <w:rPr>
          <w:b w:val="0"/>
          <w:i w:val="0"/>
          <w:color w:val="111827"/>
          <w:sz w:val="21"/>
        </w:rPr>
        <w:t>Diagnostic labs — Popular Diagnostic, Ibn Sina, Delta Health — BDT 50–150 per test booking</w:t>
      </w:r>
    </w:p>
    <w:p>
      <w:pPr>
        <w:pStyle w:val="ListBullet"/>
        <w:spacing w:after="60"/>
        <w:ind w:left="432"/>
      </w:pPr>
      <w:r>
        <w:rPr>
          <w:b w:val="0"/>
          <w:i w:val="0"/>
          <w:color w:val="111827"/>
          <w:sz w:val="21"/>
        </w:rPr>
        <w:t>Online pharmacies — Arogga, MedEasy — commission on medicine orders placed after viewing a prescription in Omra</w:t>
      </w:r>
    </w:p>
    <w:p>
      <w:pPr>
        <w:pStyle w:val="ListBullet"/>
        <w:spacing w:after="60"/>
        <w:ind w:left="432"/>
      </w:pPr>
      <w:r>
        <w:rPr>
          <w:b w:val="0"/>
          <w:i w:val="0"/>
          <w:color w:val="111827"/>
          <w:sz w:val="21"/>
        </w:rPr>
        <w:t>Telemedicine platforms — referral fee per consultation booked</w:t>
      </w:r>
    </w:p>
    <w:p>
      <w:pPr>
        <w:pStyle w:val="ListBullet"/>
        <w:spacing w:after="60"/>
        <w:ind w:left="432"/>
      </w:pPr>
      <w:r>
        <w:rPr>
          <w:b w:val="0"/>
          <w:i w:val="0"/>
          <w:color w:val="111827"/>
          <w:sz w:val="21"/>
        </w:rPr>
        <w:t>Health insurance providers — affiliate link to external insurance purchase; the transaction completes outside Omra</w:t>
      </w:r>
    </w:p>
    <w:p>
      <w:pPr>
        <w:spacing w:before="120" w:after="120"/>
        <w:ind w:left="288" w:right="288"/>
        <w:shd w:val="clear" w:color="auto" w:fill="FEF3C7"/>
      </w:pPr>
      <w:r>
        <w:rPr>
          <w:b w:val="0"/>
          <w:i/>
          <w:color w:val="111827"/>
          <w:sz w:val="20"/>
        </w:rPr>
        <w:t>⚠️  Implementation rule: The referral link must open the partner's own app or website. The actual transaction must complete OUTSIDE Omra. Never process the partner's payment or embed their checkout inside the app — that would conflict with the Financial features: No declaration.</w:t>
      </w:r>
    </w:p>
    <w:p>
      <w:pPr>
        <w:spacing w:after="60"/>
        <w:ind w:left="360"/>
      </w:pPr>
      <w:r>
        <w:rPr>
          <w:b/>
          <w:i w:val="0"/>
          <w:color w:val="0F9D77"/>
          <w:sz w:val="21"/>
        </w:rPr>
        <w:t xml:space="preserve">Year 1 estimate: </w:t>
      </w:r>
      <w:r>
        <w:rPr>
          <w:b w:val="0"/>
          <w:i w:val="0"/>
          <w:color w:val="111827"/>
          <w:sz w:val="21"/>
        </w:rPr>
        <w:t>BDT 300K–500K from early referral partnerships</w:t>
      </w:r>
    </w:p>
    <w:p>
      <w:pPr>
        <w:spacing w:after="60"/>
        <w:ind w:left="360"/>
      </w:pPr>
      <w:r>
        <w:rPr>
          <w:b/>
          <w:i w:val="0"/>
          <w:color w:val="0F9D77"/>
          <w:sz w:val="21"/>
        </w:rPr>
        <w:t xml:space="preserve">Year 2 estimate: </w:t>
      </w:r>
      <w:r>
        <w:rPr>
          <w:b w:val="0"/>
          <w:i w:val="0"/>
          <w:color w:val="111827"/>
          <w:sz w:val="21"/>
        </w:rPr>
        <w:t>BDT 2M as user base grows and referral flow is optimised</w:t>
      </w:r>
    </w:p>
    <w:p>
      <w:pPr>
        <w:spacing w:before="440" w:after="100"/>
        <w:pBdr>
          <w:bottom w:val="single" w:sz="14" w:space="4" w:color="0F9D77"/>
        </w:pBdr>
      </w:pPr>
      <w:r>
        <w:rPr>
          <w:b/>
          <w:i w:val="0"/>
          <w:color w:val="0F9D77"/>
          <w:sz w:val="28"/>
        </w:rPr>
        <w:t>7.  Pricing Strategy for Bangladesh</w:t>
      </w:r>
    </w:p>
    <w:p>
      <w:pPr>
        <w:spacing w:after="120"/>
      </w:pPr>
      <w:r>
        <w:rPr>
          <w:b w:val="0"/>
          <w:i w:val="0"/>
          <w:color w:val="111827"/>
          <w:sz w:val="21"/>
        </w:rPr>
        <w:t>Bangladesh is a price-sensitive market where absolute willingness to pay for digital health tools is low but growing. The right strategy combines local affordability, bKash-first billing, and strong value framing.</w:t>
      </w:r>
    </w:p>
    <w:p>
      <w:pPr>
        <w:spacing w:before="240" w:after="60"/>
      </w:pPr>
      <w:r>
        <w:rPr>
          <w:b/>
          <w:i w:val="0"/>
          <w:color w:val="111827"/>
          <w:sz w:val="23"/>
        </w:rPr>
        <w:t>7.1  Pricing Principles</w:t>
      </w:r>
    </w:p>
    <w:p>
      <w:pPr>
        <w:pStyle w:val="ListBullet"/>
        <w:spacing w:after="60"/>
        <w:ind w:left="432"/>
      </w:pPr>
      <w:r>
        <w:rPr>
          <w:b w:val="0"/>
          <w:i w:val="0"/>
          <w:color w:val="111827"/>
          <w:sz w:val="21"/>
        </w:rPr>
        <w:t>Price in BDT — USD pricing creates psychological friction and signals "foreign app"</w:t>
      </w:r>
    </w:p>
    <w:p>
      <w:pPr>
        <w:pStyle w:val="ListBullet"/>
        <w:spacing w:after="60"/>
        <w:ind w:left="432"/>
      </w:pPr>
      <w:r>
        <w:rPr>
          <w:b w:val="0"/>
          <w:i w:val="0"/>
          <w:color w:val="111827"/>
          <w:sz w:val="21"/>
        </w:rPr>
        <w:t>Offer monthly AND annual plans — annual with 2-month discount drives cash flow and cuts churn</w:t>
      </w:r>
    </w:p>
    <w:p>
      <w:pPr>
        <w:pStyle w:val="ListBullet"/>
        <w:spacing w:after="60"/>
        <w:ind w:left="432"/>
      </w:pPr>
      <w:r>
        <w:rPr>
          <w:b w:val="0"/>
          <w:i w:val="0"/>
          <w:color w:val="111827"/>
          <w:sz w:val="21"/>
        </w:rPr>
        <w:t>bKash autopay is mandatory before B2C monetisation — most target users have no credit card</w:t>
      </w:r>
    </w:p>
    <w:p>
      <w:pPr>
        <w:pStyle w:val="ListBullet"/>
        <w:spacing w:after="60"/>
        <w:ind w:left="432"/>
      </w:pPr>
      <w:r>
        <w:rPr>
          <w:b w:val="0"/>
          <w:i w:val="0"/>
          <w:color w:val="111827"/>
          <w:sz w:val="21"/>
        </w:rPr>
        <w:t>Never paywall medication reminders entirely — partial access in free tier builds habit and retention</w:t>
      </w:r>
    </w:p>
    <w:p>
      <w:pPr>
        <w:pStyle w:val="ListBullet"/>
        <w:spacing w:after="60"/>
        <w:ind w:left="432"/>
      </w:pPr>
      <w:r>
        <w:rPr>
          <w:b w:val="0"/>
          <w:i w:val="0"/>
          <w:color w:val="111827"/>
          <w:sz w:val="21"/>
        </w:rPr>
        <w:t>Use "per day" framing — "BDT 10/day" converts better than "BDT 299/month" for family plans</w:t>
      </w:r>
    </w:p>
    <w:p>
      <w:pPr>
        <w:pStyle w:val="ListBullet"/>
        <w:spacing w:after="60"/>
        <w:ind w:left="432"/>
      </w:pPr>
      <w:r>
        <w:rPr>
          <w:b w:val="0"/>
          <w:i w:val="0"/>
          <w:color w:val="111827"/>
          <w:sz w:val="21"/>
        </w:rPr>
        <w:t>The "No ads" declaration becomes a pricing asset — justify Premium by the absence of ads as a benefit</w:t>
      </w:r>
    </w:p>
    <w:p>
      <w:pPr>
        <w:spacing w:before="240" w:after="60"/>
      </w:pPr>
      <w:r>
        <w:rPr>
          <w:b/>
          <w:i w:val="0"/>
          <w:color w:val="111827"/>
          <w:sz w:val="23"/>
        </w:rPr>
        <w:t>7.2  Pricing Summary Table</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0F9D77"/>
          </w:tcPr>
          <w:p>
            <w:pPr>
              <w:spacing w:before="60" w:after="60"/>
            </w:pPr>
            <w:r>
              <w:rPr>
                <w:b/>
                <w:color w:val="FFFFFF"/>
                <w:sz w:val="18"/>
              </w:rPr>
              <w:t>Tier</w:t>
            </w:r>
          </w:p>
        </w:tc>
        <w:tc>
          <w:tcPr>
            <w:tcW w:type="dxa" w:w="1728"/>
            <w:shd w:val="clear" w:color="auto" w:fill="0F9D77"/>
          </w:tcPr>
          <w:p>
            <w:pPr>
              <w:spacing w:before="60" w:after="60"/>
            </w:pPr>
            <w:r>
              <w:rPr>
                <w:b/>
                <w:color w:val="FFFFFF"/>
                <w:sz w:val="18"/>
              </w:rPr>
              <w:t>Monthly Price</w:t>
            </w:r>
          </w:p>
        </w:tc>
        <w:tc>
          <w:tcPr>
            <w:tcW w:type="dxa" w:w="1728"/>
            <w:shd w:val="clear" w:color="auto" w:fill="0F9D77"/>
          </w:tcPr>
          <w:p>
            <w:pPr>
              <w:spacing w:before="60" w:after="60"/>
            </w:pPr>
            <w:r>
              <w:rPr>
                <w:b/>
                <w:color w:val="FFFFFF"/>
                <w:sz w:val="18"/>
              </w:rPr>
              <w:t>Annual Price</w:t>
            </w:r>
          </w:p>
        </w:tc>
        <w:tc>
          <w:tcPr>
            <w:tcW w:type="dxa" w:w="3528"/>
            <w:shd w:val="clear" w:color="auto" w:fill="0F9D77"/>
          </w:tcPr>
          <w:p>
            <w:pPr>
              <w:spacing w:before="60" w:after="60"/>
            </w:pPr>
            <w:r>
              <w:rPr>
                <w:b/>
                <w:color w:val="FFFFFF"/>
                <w:sz w:val="18"/>
              </w:rPr>
              <w:t>Key Features</w:t>
            </w:r>
          </w:p>
        </w:tc>
      </w:tr>
      <w:tr>
        <w:tc>
          <w:tcPr>
            <w:tcW w:type="dxa" w:w="2016"/>
            <w:shd w:val="clear" w:color="auto" w:fill="F2FAF7"/>
          </w:tcPr>
          <w:p>
            <w:pPr>
              <w:spacing w:before="40" w:after="40"/>
            </w:pPr>
            <w:r>
              <w:rPr>
                <w:color w:val="111827"/>
                <w:sz w:val="19"/>
              </w:rPr>
              <w:t>Patient Free</w:t>
            </w:r>
          </w:p>
        </w:tc>
        <w:tc>
          <w:tcPr>
            <w:tcW w:type="dxa" w:w="1728"/>
            <w:shd w:val="clear" w:color="auto" w:fill="F2FAF7"/>
          </w:tcPr>
          <w:p>
            <w:pPr>
              <w:spacing w:before="40" w:after="40"/>
            </w:pPr>
            <w:r>
              <w:rPr>
                <w:color w:val="111827"/>
                <w:sz w:val="19"/>
              </w:rPr>
              <w:t>BDT 0</w:t>
            </w:r>
          </w:p>
        </w:tc>
        <w:tc>
          <w:tcPr>
            <w:tcW w:type="dxa" w:w="1728"/>
            <w:shd w:val="clear" w:color="auto" w:fill="F2FAF7"/>
          </w:tcPr>
          <w:p>
            <w:pPr>
              <w:spacing w:before="40" w:after="40"/>
            </w:pPr>
            <w:r>
              <w:rPr>
                <w:color w:val="111827"/>
                <w:sz w:val="19"/>
              </w:rPr>
              <w:t>BDT 0</w:t>
            </w:r>
          </w:p>
        </w:tc>
        <w:tc>
          <w:tcPr>
            <w:tcW w:type="dxa" w:w="3528"/>
            <w:shd w:val="clear" w:color="auto" w:fill="F2FAF7"/>
          </w:tcPr>
          <w:p>
            <w:pPr>
              <w:spacing w:before="40" w:after="40"/>
            </w:pPr>
            <w:r>
              <w:rPr>
                <w:color w:val="111827"/>
                <w:sz w:val="19"/>
              </w:rPr>
              <w:t>3 medicines, 30-day history, 1 family connection</w:t>
            </w:r>
          </w:p>
        </w:tc>
      </w:tr>
      <w:tr>
        <w:tc>
          <w:tcPr>
            <w:tcW w:type="dxa" w:w="2016"/>
          </w:tcPr>
          <w:p>
            <w:pPr>
              <w:spacing w:before="40" w:after="40"/>
            </w:pPr>
            <w:r>
              <w:rPr>
                <w:color w:val="111827"/>
                <w:sz w:val="19"/>
              </w:rPr>
              <w:t>Patient Premium</w:t>
            </w:r>
          </w:p>
        </w:tc>
        <w:tc>
          <w:tcPr>
            <w:tcW w:type="dxa" w:w="1728"/>
          </w:tcPr>
          <w:p>
            <w:pPr>
              <w:spacing w:before="40" w:after="40"/>
            </w:pPr>
            <w:r>
              <w:rPr>
                <w:color w:val="111827"/>
                <w:sz w:val="19"/>
              </w:rPr>
              <w:t>BDT 199</w:t>
            </w:r>
          </w:p>
        </w:tc>
        <w:tc>
          <w:tcPr>
            <w:tcW w:type="dxa" w:w="1728"/>
          </w:tcPr>
          <w:p>
            <w:pPr>
              <w:spacing w:before="40" w:after="40"/>
            </w:pPr>
            <w:r>
              <w:rPr>
                <w:color w:val="111827"/>
                <w:sz w:val="19"/>
              </w:rPr>
              <w:t>BDT 1,699</w:t>
            </w:r>
          </w:p>
        </w:tc>
        <w:tc>
          <w:tcPr>
            <w:tcW w:type="dxa" w:w="3528"/>
          </w:tcPr>
          <w:p>
            <w:pPr>
              <w:spacing w:before="40" w:after="40"/>
            </w:pPr>
            <w:r>
              <w:rPr>
                <w:color w:val="111827"/>
                <w:sz w:val="19"/>
              </w:rPr>
              <w:t>Unlimited medicines, AI insights, 5 family connections, PDF reports</w:t>
            </w:r>
          </w:p>
        </w:tc>
      </w:tr>
      <w:tr>
        <w:tc>
          <w:tcPr>
            <w:tcW w:type="dxa" w:w="2016"/>
            <w:shd w:val="clear" w:color="auto" w:fill="F2FAF7"/>
          </w:tcPr>
          <w:p>
            <w:pPr>
              <w:spacing w:before="40" w:after="40"/>
            </w:pPr>
            <w:r>
              <w:rPr>
                <w:color w:val="111827"/>
                <w:sz w:val="19"/>
              </w:rPr>
              <w:t>Family Plan</w:t>
            </w:r>
          </w:p>
        </w:tc>
        <w:tc>
          <w:tcPr>
            <w:tcW w:type="dxa" w:w="1728"/>
            <w:shd w:val="clear" w:color="auto" w:fill="F2FAF7"/>
          </w:tcPr>
          <w:p>
            <w:pPr>
              <w:spacing w:before="40" w:after="40"/>
            </w:pPr>
            <w:r>
              <w:rPr>
                <w:color w:val="111827"/>
                <w:sz w:val="19"/>
              </w:rPr>
              <w:t>BDT 299</w:t>
            </w:r>
          </w:p>
        </w:tc>
        <w:tc>
          <w:tcPr>
            <w:tcW w:type="dxa" w:w="1728"/>
            <w:shd w:val="clear" w:color="auto" w:fill="F2FAF7"/>
          </w:tcPr>
          <w:p>
            <w:pPr>
              <w:spacing w:before="40" w:after="40"/>
            </w:pPr>
            <w:r>
              <w:rPr>
                <w:color w:val="111827"/>
                <w:sz w:val="19"/>
              </w:rPr>
              <w:t>BDT 2,499</w:t>
            </w:r>
          </w:p>
        </w:tc>
        <w:tc>
          <w:tcPr>
            <w:tcW w:type="dxa" w:w="3528"/>
            <w:shd w:val="clear" w:color="auto" w:fill="F2FAF7"/>
          </w:tcPr>
          <w:p>
            <w:pPr>
              <w:spacing w:before="40" w:after="40"/>
            </w:pPr>
            <w:r>
              <w:rPr>
                <w:color w:val="111827"/>
                <w:sz w:val="19"/>
              </w:rPr>
              <w:t>1 patient + 4 family members, missed-dose alerts to all</w:t>
            </w:r>
          </w:p>
        </w:tc>
      </w:tr>
      <w:tr>
        <w:tc>
          <w:tcPr>
            <w:tcW w:type="dxa" w:w="2016"/>
          </w:tcPr>
          <w:p>
            <w:pPr>
              <w:spacing w:before="40" w:after="40"/>
            </w:pPr>
            <w:r>
              <w:rPr>
                <w:color w:val="111827"/>
                <w:sz w:val="19"/>
              </w:rPr>
              <w:t>Clinic Starter</w:t>
            </w:r>
          </w:p>
        </w:tc>
        <w:tc>
          <w:tcPr>
            <w:tcW w:type="dxa" w:w="1728"/>
          </w:tcPr>
          <w:p>
            <w:pPr>
              <w:spacing w:before="40" w:after="40"/>
            </w:pPr>
            <w:r>
              <w:rPr>
                <w:color w:val="111827"/>
                <w:sz w:val="19"/>
              </w:rPr>
              <w:t>BDT 2,500</w:t>
            </w:r>
          </w:p>
        </w:tc>
        <w:tc>
          <w:tcPr>
            <w:tcW w:type="dxa" w:w="1728"/>
          </w:tcPr>
          <w:p>
            <w:pPr>
              <w:spacing w:before="40" w:after="40"/>
            </w:pPr>
            <w:r>
              <w:rPr>
                <w:color w:val="111827"/>
                <w:sz w:val="19"/>
              </w:rPr>
              <w:t>BDT 25,000</w:t>
            </w:r>
          </w:p>
        </w:tc>
        <w:tc>
          <w:tcPr>
            <w:tcW w:type="dxa" w:w="3528"/>
          </w:tcPr>
          <w:p>
            <w:pPr>
              <w:spacing w:before="40" w:after="40"/>
            </w:pPr>
            <w:r>
              <w:rPr>
                <w:color w:val="111827"/>
                <w:sz w:val="19"/>
              </w:rPr>
              <w:t>1–2 doctors, 200 patients, digital prescriptions</w:t>
            </w:r>
          </w:p>
        </w:tc>
      </w:tr>
      <w:tr>
        <w:tc>
          <w:tcPr>
            <w:tcW w:type="dxa" w:w="2016"/>
            <w:shd w:val="clear" w:color="auto" w:fill="F2FAF7"/>
          </w:tcPr>
          <w:p>
            <w:pPr>
              <w:spacing w:before="40" w:after="40"/>
            </w:pPr>
            <w:r>
              <w:rPr>
                <w:color w:val="111827"/>
                <w:sz w:val="19"/>
              </w:rPr>
              <w:t>Clinic Growth</w:t>
            </w:r>
          </w:p>
        </w:tc>
        <w:tc>
          <w:tcPr>
            <w:tcW w:type="dxa" w:w="1728"/>
            <w:shd w:val="clear" w:color="auto" w:fill="F2FAF7"/>
          </w:tcPr>
          <w:p>
            <w:pPr>
              <w:spacing w:before="40" w:after="40"/>
            </w:pPr>
            <w:r>
              <w:rPr>
                <w:color w:val="111827"/>
                <w:sz w:val="19"/>
              </w:rPr>
              <w:t>BDT 5,500</w:t>
            </w:r>
          </w:p>
        </w:tc>
        <w:tc>
          <w:tcPr>
            <w:tcW w:type="dxa" w:w="1728"/>
            <w:shd w:val="clear" w:color="auto" w:fill="F2FAF7"/>
          </w:tcPr>
          <w:p>
            <w:pPr>
              <w:spacing w:before="40" w:after="40"/>
            </w:pPr>
            <w:r>
              <w:rPr>
                <w:color w:val="111827"/>
                <w:sz w:val="19"/>
              </w:rPr>
              <w:t>BDT 55,000</w:t>
            </w:r>
          </w:p>
        </w:tc>
        <w:tc>
          <w:tcPr>
            <w:tcW w:type="dxa" w:w="3528"/>
            <w:shd w:val="clear" w:color="auto" w:fill="F2FAF7"/>
          </w:tcPr>
          <w:p>
            <w:pPr>
              <w:spacing w:before="40" w:after="40"/>
            </w:pPr>
            <w:r>
              <w:rPr>
                <w:color w:val="111827"/>
                <w:sz w:val="19"/>
              </w:rPr>
              <w:t>3–5 doctors, 600 patients, appointment management</w:t>
            </w:r>
          </w:p>
        </w:tc>
      </w:tr>
      <w:tr>
        <w:tc>
          <w:tcPr>
            <w:tcW w:type="dxa" w:w="2016"/>
          </w:tcPr>
          <w:p>
            <w:pPr>
              <w:spacing w:before="40" w:after="40"/>
            </w:pPr>
            <w:r>
              <w:rPr>
                <w:color w:val="111827"/>
                <w:sz w:val="19"/>
              </w:rPr>
              <w:t>Clinic Enterprise</w:t>
            </w:r>
          </w:p>
        </w:tc>
        <w:tc>
          <w:tcPr>
            <w:tcW w:type="dxa" w:w="1728"/>
          </w:tcPr>
          <w:p>
            <w:pPr>
              <w:spacing w:before="40" w:after="40"/>
            </w:pPr>
            <w:r>
              <w:rPr>
                <w:color w:val="111827"/>
                <w:sz w:val="19"/>
              </w:rPr>
              <w:t>BDT 12–25K</w:t>
            </w:r>
          </w:p>
        </w:tc>
        <w:tc>
          <w:tcPr>
            <w:tcW w:type="dxa" w:w="1728"/>
          </w:tcPr>
          <w:p>
            <w:pPr>
              <w:spacing w:before="40" w:after="40"/>
            </w:pPr>
            <w:r>
              <w:rPr>
                <w:color w:val="111827"/>
                <w:sz w:val="19"/>
              </w:rPr>
              <w:t>Custom</w:t>
            </w:r>
          </w:p>
        </w:tc>
        <w:tc>
          <w:tcPr>
            <w:tcW w:type="dxa" w:w="3528"/>
          </w:tcPr>
          <w:p>
            <w:pPr>
              <w:spacing w:before="40" w:after="40"/>
            </w:pPr>
            <w:r>
              <w:rPr>
                <w:color w:val="111827"/>
                <w:sz w:val="19"/>
              </w:rPr>
              <w:t>Hospital-level, unlimited, custom branding</w:t>
            </w:r>
          </w:p>
        </w:tc>
      </w:tr>
      <w:tr>
        <w:tc>
          <w:tcPr>
            <w:tcW w:type="dxa" w:w="2016"/>
            <w:shd w:val="clear" w:color="auto" w:fill="F2FAF7"/>
          </w:tcPr>
          <w:p>
            <w:pPr>
              <w:spacing w:before="40" w:after="40"/>
            </w:pPr>
            <w:r>
              <w:rPr>
                <w:color w:val="111827"/>
                <w:sz w:val="19"/>
              </w:rPr>
              <w:t>Corporate Wellness</w:t>
            </w:r>
          </w:p>
        </w:tc>
        <w:tc>
          <w:tcPr>
            <w:tcW w:type="dxa" w:w="1728"/>
            <w:shd w:val="clear" w:color="auto" w:fill="F2FAF7"/>
          </w:tcPr>
          <w:p>
            <w:pPr>
              <w:spacing w:before="40" w:after="40"/>
            </w:pPr>
            <w:r>
              <w:rPr>
                <w:color w:val="111827"/>
                <w:sz w:val="19"/>
              </w:rPr>
              <w:t>BDT 80–120/employee</w:t>
            </w:r>
          </w:p>
        </w:tc>
        <w:tc>
          <w:tcPr>
            <w:tcW w:type="dxa" w:w="1728"/>
            <w:shd w:val="clear" w:color="auto" w:fill="F2FAF7"/>
          </w:tcPr>
          <w:p>
            <w:pPr>
              <w:spacing w:before="40" w:after="40"/>
            </w:pPr>
            <w:r>
              <w:rPr>
                <w:color w:val="111827"/>
                <w:sz w:val="19"/>
              </w:rPr>
              <w:t>Custom</w:t>
            </w:r>
          </w:p>
        </w:tc>
        <w:tc>
          <w:tcPr>
            <w:tcW w:type="dxa" w:w="3528"/>
            <w:shd w:val="clear" w:color="auto" w:fill="F2FAF7"/>
          </w:tcPr>
          <w:p>
            <w:pPr>
              <w:spacing w:before="40" w:after="40"/>
            </w:pPr>
            <w:r>
              <w:rPr>
                <w:color w:val="111827"/>
                <w:sz w:val="19"/>
              </w:rPr>
              <w:t>Min 100 employees, aggregate wellness dashboard</w:t>
            </w:r>
          </w:p>
        </w:tc>
      </w:tr>
    </w:tbl>
    <w:p>
      <w:pPr>
        <w:spacing w:before="440" w:after="100"/>
        <w:pBdr>
          <w:bottom w:val="single" w:sz="14" w:space="4" w:color="0F9D77"/>
        </w:pBdr>
      </w:pPr>
      <w:r>
        <w:rPr>
          <w:b/>
          <w:i w:val="0"/>
          <w:color w:val="0F9D77"/>
          <w:sz w:val="28"/>
        </w:rPr>
        <w:t>8.  Go-to-Market Strategy</w:t>
      </w:r>
    </w:p>
    <w:p>
      <w:pPr>
        <w:spacing w:before="240" w:after="60"/>
      </w:pPr>
      <w:r>
        <w:rPr>
          <w:b/>
          <w:i w:val="0"/>
          <w:color w:val="111827"/>
          <w:sz w:val="23"/>
        </w:rPr>
        <w:t>Phase 1 — Months 0 to 6: Clinic-Led Launch</w:t>
      </w:r>
    </w:p>
    <w:p>
      <w:pPr>
        <w:spacing w:after="120"/>
      </w:pPr>
      <w:r>
        <w:rPr>
          <w:b w:val="0"/>
          <w:i w:val="0"/>
          <w:color w:val="111827"/>
          <w:sz w:val="21"/>
        </w:rPr>
        <w:t>Launch the Doctor Portal with 10–20 pilot clinics in Dhaka — target diabetologists and general practitioners in Dhanmondi, Mirpur, and Uttara. Offer a 3-month free trial. The clinic's existing patients become Patient Portal users automatically — zero additional B2C marketing cost. The clinic is the distribution channel.</w:t>
      </w:r>
    </w:p>
    <w:p>
      <w:pPr>
        <w:pStyle w:val="ListBullet"/>
        <w:spacing w:after="60"/>
        <w:ind w:left="432"/>
      </w:pPr>
      <w:r>
        <w:rPr>
          <w:b w:val="0"/>
          <w:i w:val="0"/>
          <w:color w:val="111827"/>
          <w:sz w:val="21"/>
        </w:rPr>
        <w:t>Target: 20 clinic partnerships, 2,000 patient app downloads</w:t>
      </w:r>
    </w:p>
    <w:p>
      <w:pPr>
        <w:pStyle w:val="ListBullet"/>
        <w:spacing w:after="60"/>
        <w:ind w:left="432"/>
      </w:pPr>
      <w:r>
        <w:rPr>
          <w:b w:val="0"/>
          <w:i w:val="0"/>
          <w:color w:val="111827"/>
          <w:sz w:val="21"/>
        </w:rPr>
        <w:t>Revenue target: BDT 500K/month recurring by Month 6</w:t>
      </w:r>
    </w:p>
    <w:p>
      <w:pPr>
        <w:pStyle w:val="ListBullet"/>
        <w:spacing w:after="60"/>
        <w:ind w:left="432"/>
      </w:pPr>
      <w:r>
        <w:rPr>
          <w:b w:val="0"/>
          <w:i w:val="0"/>
          <w:color w:val="111827"/>
          <w:sz w:val="21"/>
        </w:rPr>
        <w:t>Key hire: 1 B2B sales executive based in Dhaka</w:t>
      </w:r>
    </w:p>
    <w:p>
      <w:pPr>
        <w:pStyle w:val="ListBullet"/>
        <w:spacing w:after="60"/>
        <w:ind w:left="432"/>
      </w:pPr>
      <w:r>
        <w:rPr>
          <w:b w:val="0"/>
          <w:i w:val="0"/>
          <w:color w:val="111827"/>
          <w:sz w:val="21"/>
        </w:rPr>
        <w:t>Key action: Translate the Patient Portal into Bengali — this is not optional</w:t>
      </w:r>
    </w:p>
    <w:p>
      <w:pPr>
        <w:spacing w:before="240" w:after="60"/>
      </w:pPr>
      <w:r>
        <w:rPr>
          <w:b/>
          <w:i w:val="0"/>
          <w:color w:val="111827"/>
          <w:sz w:val="23"/>
        </w:rPr>
        <w:t>Phase 2 — Months 6 to 18: B2C Growth and Corporate Outreach</w:t>
      </w:r>
    </w:p>
    <w:p>
      <w:pPr>
        <w:spacing w:after="120"/>
      </w:pPr>
      <w:r>
        <w:rPr>
          <w:b w:val="0"/>
          <w:i w:val="0"/>
          <w:color w:val="111827"/>
          <w:sz w:val="21"/>
        </w:rPr>
        <w:t>Activate B2C marketing targeting diabetes and hypertension communities on Facebook — Bangladesh's dominant social platform. Run the Family Plan campaign timed around Eid-ul-Fitr and Eid-ul-Adha when family health consciousness peaks. Begin approaching 2–3 RMG factories for corporate wellness pilots using Maya's BGMEA channel as the model.</w:t>
      </w:r>
    </w:p>
    <w:p>
      <w:pPr>
        <w:pStyle w:val="ListBullet"/>
        <w:spacing w:after="60"/>
        <w:ind w:left="432"/>
      </w:pPr>
      <w:r>
        <w:rPr>
          <w:b w:val="0"/>
          <w:i w:val="0"/>
          <w:color w:val="111827"/>
          <w:sz w:val="21"/>
        </w:rPr>
        <w:t>Target: 5,000 premium B2C subscribers, 2 corporate wellness contracts</w:t>
      </w:r>
    </w:p>
    <w:p>
      <w:pPr>
        <w:pStyle w:val="ListBullet"/>
        <w:spacing w:after="60"/>
        <w:ind w:left="432"/>
      </w:pPr>
      <w:r>
        <w:rPr>
          <w:b w:val="0"/>
          <w:i w:val="0"/>
          <w:color w:val="111827"/>
          <w:sz w:val="21"/>
        </w:rPr>
        <w:t>Revenue target: BDT 3M/month recurring by Month 18</w:t>
      </w:r>
    </w:p>
    <w:p>
      <w:pPr>
        <w:pStyle w:val="ListBullet"/>
        <w:spacing w:after="60"/>
        <w:ind w:left="432"/>
      </w:pPr>
      <w:r>
        <w:rPr>
          <w:b w:val="0"/>
          <w:i w:val="0"/>
          <w:color w:val="111827"/>
          <w:sz w:val="21"/>
        </w:rPr>
        <w:t>Key channel: Facebook and YouTube health content targeting "diabetes Bangladesh" and "blood pressure control"</w:t>
      </w:r>
    </w:p>
    <w:p>
      <w:pPr>
        <w:spacing w:before="240" w:after="60"/>
      </w:pPr>
      <w:r>
        <w:rPr>
          <w:b/>
          <w:i w:val="0"/>
          <w:color w:val="111827"/>
          <w:sz w:val="23"/>
        </w:rPr>
        <w:t>Phase 3 — Month 18 and Beyond: NGO and Government</w:t>
      </w:r>
    </w:p>
    <w:p>
      <w:pPr>
        <w:spacing w:after="120"/>
      </w:pPr>
      <w:r>
        <w:rPr>
          <w:b w:val="0"/>
          <w:i w:val="0"/>
          <w:color w:val="111827"/>
          <w:sz w:val="21"/>
        </w:rPr>
        <w:t>With proven clinical adoption and real-world patient outcome data, approach BRAC Health and the Ministry of Health NCD program for pilot contracts. The clinic partnership data — showing improved medication adherence and reduced missed appointments — is the evidence package needed to win these contracts. Begin anonymised data research partnerships with institutions like icddr,b, structured strictly within the Data Safety declaration boundaries.</w:t>
      </w:r>
    </w:p>
    <w:p>
      <w:pPr>
        <w:spacing w:before="440" w:after="100"/>
        <w:pBdr>
          <w:bottom w:val="single" w:sz="14" w:space="4" w:color="0F9D77"/>
        </w:pBdr>
      </w:pPr>
      <w:r>
        <w:rPr>
          <w:b/>
          <w:i w:val="0"/>
          <w:color w:val="0F9D77"/>
          <w:sz w:val="28"/>
        </w:rPr>
        <w:t>9.  Data Safety — What Is and Is Not Allowed</w:t>
      </w:r>
    </w:p>
    <w:p>
      <w:pPr>
        <w:spacing w:after="120"/>
      </w:pPr>
      <w:r>
        <w:rPr>
          <w:b w:val="0"/>
          <w:i w:val="0"/>
          <w:color w:val="111827"/>
          <w:sz w:val="21"/>
        </w:rPr>
        <w:t>Your Data Safety and Health declarations with Google Play create binding commitments about how you handle user health data. These directly constrain any data monetisation model and must be respected both legally and ethically.</w:t>
      </w:r>
    </w:p>
    <w:p>
      <w:pPr>
        <w:spacing w:before="120" w:after="120"/>
        <w:ind w:left="288" w:right="288"/>
        <w:shd w:val="clear" w:color="auto" w:fill="FEE2E2"/>
      </w:pPr>
      <w:r>
        <w:rPr>
          <w:b w:val="0"/>
          <w:i/>
          <w:color w:val="111827"/>
          <w:sz w:val="20"/>
        </w:rPr>
        <w:t>🚫  NOT ALLOWED under current declarations: Selling individual patient health records, vitals data, or prescription histories to any third party. Sharing personally identifiable health data with pharmaceutical companies, advertisers, or data brokers. Using health data for purposes not disclosed in the Data Safety form or privacy policy.</w:t>
      </w:r>
    </w:p>
    <w:p>
      <w:pPr>
        <w:spacing w:before="120" w:after="120"/>
        <w:ind w:left="288" w:right="288"/>
        <w:shd w:val="clear" w:color="auto" w:fill="DCFCE7"/>
      </w:pPr>
      <w:r>
        <w:rPr>
          <w:b w:val="0"/>
          <w:i/>
          <w:color w:val="111827"/>
          <w:sz w:val="20"/>
        </w:rPr>
        <w:t>✅  ALLOWED with proper consent: Sharing fully anonymised, aggregated population-level health trend data with research institutions — IF users explicitly opt in, data is de-identified, and this use is disclosed in the privacy policy and Data Safety form. Anonymised medication adherence trends. Population-level vitals reports for public health planning.</w:t>
      </w:r>
    </w:p>
    <w:p>
      <w:pPr>
        <w:spacing w:after="120"/>
      </w:pPr>
      <w:r>
        <w:rPr>
          <w:b w:val="0"/>
          <w:i w:val="0"/>
          <w:color w:val="111827"/>
          <w:sz w:val="21"/>
        </w:rPr>
        <w:t>Practical data monetisation that is safe under current declarations:</w:t>
      </w:r>
    </w:p>
    <w:p>
      <w:pPr>
        <w:pStyle w:val="ListBullet"/>
        <w:spacing w:after="60"/>
        <w:ind w:left="432"/>
      </w:pPr>
      <w:r>
        <w:rPr>
          <w:b w:val="0"/>
          <w:i w:val="0"/>
          <w:color w:val="111827"/>
          <w:sz w:val="21"/>
        </w:rPr>
        <w:t>Aggregate health trend insights sold to public health researchers — fully anonymised</w:t>
      </w:r>
    </w:p>
    <w:p>
      <w:pPr>
        <w:pStyle w:val="ListBullet"/>
        <w:spacing w:after="60"/>
        <w:ind w:left="432"/>
      </w:pPr>
      <w:r>
        <w:rPr>
          <w:b w:val="0"/>
          <w:i w:val="0"/>
          <w:color w:val="111827"/>
          <w:sz w:val="21"/>
        </w:rPr>
        <w:t>Anonymised medication adherence data for pharma market sizing — explicit opt-in required</w:t>
      </w:r>
    </w:p>
    <w:p>
      <w:pPr>
        <w:pStyle w:val="ListBullet"/>
        <w:spacing w:after="60"/>
        <w:ind w:left="432"/>
      </w:pPr>
      <w:r>
        <w:rPr>
          <w:b w:val="0"/>
          <w:i w:val="0"/>
          <w:color w:val="111827"/>
          <w:sz w:val="21"/>
        </w:rPr>
        <w:t>Population-level NCD burden reports for government or NGO health planning</w:t>
      </w:r>
    </w:p>
    <w:p>
      <w:pPr>
        <w:pStyle w:val="ListBullet"/>
        <w:spacing w:after="60"/>
        <w:ind w:left="432"/>
      </w:pPr>
      <w:r>
        <w:rPr>
          <w:b w:val="0"/>
          <w:i w:val="0"/>
          <w:color w:val="111827"/>
          <w:sz w:val="21"/>
        </w:rPr>
        <w:t>Academic research partnerships with pseudonymised data and formal data-sharing agreements</w:t>
      </w:r>
    </w:p>
    <w:p>
      <w:pPr>
        <w:spacing w:after="120"/>
      </w:pPr>
      <w:r>
        <w:rPr>
          <w:b w:val="0"/>
          <w:i w:val="0"/>
          <w:color w:val="111827"/>
          <w:sz w:val="21"/>
        </w:rPr>
        <w:t>The bottom line: Omra cannot be a data broker. It can be a research partner — but only with explicit user consent, full anonymisation, and disclosure in the privacy policy that was declared to Google Play at URL: https://neamulmorshed.github.io/health-passbook/privacy-policy.html</w:t>
      </w:r>
    </w:p>
    <w:p>
      <w:pPr>
        <w:spacing w:before="440" w:after="100"/>
        <w:pBdr>
          <w:bottom w:val="single" w:sz="14" w:space="4" w:color="0F9D77"/>
        </w:pBdr>
      </w:pPr>
      <w:r>
        <w:rPr>
          <w:b/>
          <w:i w:val="0"/>
          <w:color w:val="0F9D77"/>
          <w:sz w:val="28"/>
        </w:rPr>
        <w:t>10.  Revenue Projections — Policy-Compliant Model</w:t>
      </w:r>
    </w:p>
    <w:p>
      <w:pPr>
        <w:spacing w:after="120"/>
      </w:pPr>
      <w:r>
        <w:rPr>
          <w:b w:val="0"/>
          <w:i w:val="0"/>
          <w:color w:val="111827"/>
          <w:sz w:val="21"/>
        </w:rPr>
        <w:t>Conservative estimates based on Bangladesh market benchmarks, Maya's public growth data, and the realistic pace of clinic B2B adoption. All figures in BDT. All revenue streams confirmed valid under current Play Store declarations.</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232"/>
            <w:shd w:val="clear" w:color="auto" w:fill="111827"/>
          </w:tcPr>
          <w:p>
            <w:pPr>
              <w:spacing w:before="60" w:after="60"/>
            </w:pPr>
            <w:r>
              <w:rPr>
                <w:b/>
                <w:color w:val="FFFFFF"/>
                <w:sz w:val="18"/>
              </w:rPr>
              <w:t>Revenue Stream</w:t>
            </w:r>
          </w:p>
        </w:tc>
        <w:tc>
          <w:tcPr>
            <w:tcW w:type="dxa" w:w="1512"/>
            <w:shd w:val="clear" w:color="auto" w:fill="111827"/>
          </w:tcPr>
          <w:p>
            <w:pPr>
              <w:spacing w:before="60" w:after="60"/>
            </w:pPr>
            <w:r>
              <w:rPr>
                <w:b/>
                <w:color w:val="FFFFFF"/>
                <w:sz w:val="18"/>
              </w:rPr>
              <w:t>Policy Status</w:t>
            </w:r>
          </w:p>
        </w:tc>
        <w:tc>
          <w:tcPr>
            <w:tcW w:type="dxa" w:w="1584"/>
            <w:shd w:val="clear" w:color="auto" w:fill="111827"/>
          </w:tcPr>
          <w:p>
            <w:pPr>
              <w:spacing w:before="60" w:after="60"/>
            </w:pPr>
            <w:r>
              <w:rPr>
                <w:b/>
                <w:color w:val="FFFFFF"/>
                <w:sz w:val="18"/>
              </w:rPr>
              <w:t>Year 1 (BDT)</w:t>
            </w:r>
          </w:p>
        </w:tc>
        <w:tc>
          <w:tcPr>
            <w:tcW w:type="dxa" w:w="1584"/>
            <w:shd w:val="clear" w:color="auto" w:fill="111827"/>
          </w:tcPr>
          <w:p>
            <w:pPr>
              <w:spacing w:before="60" w:after="60"/>
            </w:pPr>
            <w:r>
              <w:rPr>
                <w:b/>
                <w:color w:val="FFFFFF"/>
                <w:sz w:val="18"/>
              </w:rPr>
              <w:t>Year 2 (BDT)</w:t>
            </w:r>
          </w:p>
        </w:tc>
        <w:tc>
          <w:tcPr>
            <w:tcW w:type="dxa" w:w="1944"/>
            <w:shd w:val="clear" w:color="auto" w:fill="111827"/>
          </w:tcPr>
          <w:p>
            <w:pPr>
              <w:spacing w:before="60" w:after="60"/>
            </w:pPr>
            <w:r>
              <w:rPr>
                <w:b/>
                <w:color w:val="FFFFFF"/>
                <w:sz w:val="18"/>
              </w:rPr>
              <w:t>Year 3 (BDT)</w:t>
            </w:r>
          </w:p>
        </w:tc>
      </w:tr>
      <w:tr>
        <w:tc>
          <w:tcPr>
            <w:tcW w:type="dxa" w:w="2232"/>
            <w:shd w:val="clear" w:color="auto" w:fill="F2FAF7"/>
          </w:tcPr>
          <w:p>
            <w:pPr>
              <w:spacing w:before="40" w:after="40"/>
            </w:pPr>
            <w:r>
              <w:rPr>
                <w:color w:val="111827"/>
                <w:sz w:val="19"/>
              </w:rPr>
              <w:t>B2B Clinic SaaS</w:t>
            </w:r>
          </w:p>
        </w:tc>
        <w:tc>
          <w:tcPr>
            <w:tcW w:type="dxa" w:w="1512"/>
            <w:shd w:val="clear" w:color="auto" w:fill="F2FAF7"/>
          </w:tcPr>
          <w:p>
            <w:pPr>
              <w:spacing w:before="40" w:after="40"/>
            </w:pPr>
            <w:r>
              <w:rPr>
                <w:color w:val="111827"/>
                <w:sz w:val="19"/>
              </w:rPr>
              <w:t>✅ Valid</w:t>
            </w:r>
          </w:p>
        </w:tc>
        <w:tc>
          <w:tcPr>
            <w:tcW w:type="dxa" w:w="1584"/>
            <w:shd w:val="clear" w:color="auto" w:fill="F2FAF7"/>
          </w:tcPr>
          <w:p>
            <w:pPr>
              <w:spacing w:before="40" w:after="40"/>
            </w:pPr>
            <w:r>
              <w:rPr>
                <w:color w:val="111827"/>
                <w:sz w:val="19"/>
              </w:rPr>
              <w:t>6,000,000</w:t>
            </w:r>
          </w:p>
        </w:tc>
        <w:tc>
          <w:tcPr>
            <w:tcW w:type="dxa" w:w="1584"/>
            <w:shd w:val="clear" w:color="auto" w:fill="F2FAF7"/>
          </w:tcPr>
          <w:p>
            <w:pPr>
              <w:spacing w:before="40" w:after="40"/>
            </w:pPr>
            <w:r>
              <w:rPr>
                <w:color w:val="111827"/>
                <w:sz w:val="19"/>
              </w:rPr>
              <w:t>28,000,000</w:t>
            </w:r>
          </w:p>
        </w:tc>
        <w:tc>
          <w:tcPr>
            <w:tcW w:type="dxa" w:w="1944"/>
            <w:shd w:val="clear" w:color="auto" w:fill="F2FAF7"/>
          </w:tcPr>
          <w:p>
            <w:pPr>
              <w:spacing w:before="40" w:after="40"/>
            </w:pPr>
            <w:r>
              <w:rPr>
                <w:color w:val="111827"/>
                <w:sz w:val="19"/>
              </w:rPr>
              <w:t>75,000,000</w:t>
            </w:r>
          </w:p>
        </w:tc>
      </w:tr>
      <w:tr>
        <w:tc>
          <w:tcPr>
            <w:tcW w:type="dxa" w:w="2232"/>
          </w:tcPr>
          <w:p>
            <w:pPr>
              <w:spacing w:before="40" w:after="40"/>
            </w:pPr>
            <w:r>
              <w:rPr>
                <w:color w:val="111827"/>
                <w:sz w:val="19"/>
              </w:rPr>
              <w:t>B2C Premium (freemium)</w:t>
            </w:r>
          </w:p>
        </w:tc>
        <w:tc>
          <w:tcPr>
            <w:tcW w:type="dxa" w:w="1512"/>
          </w:tcPr>
          <w:p>
            <w:pPr>
              <w:spacing w:before="40" w:after="40"/>
            </w:pPr>
            <w:r>
              <w:rPr>
                <w:color w:val="111827"/>
                <w:sz w:val="19"/>
              </w:rPr>
              <w:t>✅ Valid</w:t>
            </w:r>
          </w:p>
        </w:tc>
        <w:tc>
          <w:tcPr>
            <w:tcW w:type="dxa" w:w="1584"/>
          </w:tcPr>
          <w:p>
            <w:pPr>
              <w:spacing w:before="40" w:after="40"/>
            </w:pPr>
            <w:r>
              <w:rPr>
                <w:color w:val="111827"/>
                <w:sz w:val="19"/>
              </w:rPr>
              <w:t>1,000,000</w:t>
            </w:r>
          </w:p>
        </w:tc>
        <w:tc>
          <w:tcPr>
            <w:tcW w:type="dxa" w:w="1584"/>
          </w:tcPr>
          <w:p>
            <w:pPr>
              <w:spacing w:before="40" w:after="40"/>
            </w:pPr>
            <w:r>
              <w:rPr>
                <w:color w:val="111827"/>
                <w:sz w:val="19"/>
              </w:rPr>
              <w:t>8,000,000</w:t>
            </w:r>
          </w:p>
        </w:tc>
        <w:tc>
          <w:tcPr>
            <w:tcW w:type="dxa" w:w="1944"/>
          </w:tcPr>
          <w:p>
            <w:pPr>
              <w:spacing w:before="40" w:after="40"/>
            </w:pPr>
            <w:r>
              <w:rPr>
                <w:color w:val="111827"/>
                <w:sz w:val="19"/>
              </w:rPr>
              <w:t>24,000,000</w:t>
            </w:r>
          </w:p>
        </w:tc>
      </w:tr>
      <w:tr>
        <w:tc>
          <w:tcPr>
            <w:tcW w:type="dxa" w:w="2232"/>
            <w:shd w:val="clear" w:color="auto" w:fill="F2FAF7"/>
          </w:tcPr>
          <w:p>
            <w:pPr>
              <w:spacing w:before="40" w:after="40"/>
            </w:pPr>
            <w:r>
              <w:rPr>
                <w:color w:val="111827"/>
                <w:sz w:val="19"/>
              </w:rPr>
              <w:t>Corporate Wellness</w:t>
            </w:r>
          </w:p>
        </w:tc>
        <w:tc>
          <w:tcPr>
            <w:tcW w:type="dxa" w:w="1512"/>
            <w:shd w:val="clear" w:color="auto" w:fill="F2FAF7"/>
          </w:tcPr>
          <w:p>
            <w:pPr>
              <w:spacing w:before="40" w:after="40"/>
            </w:pPr>
            <w:r>
              <w:rPr>
                <w:color w:val="111827"/>
                <w:sz w:val="19"/>
              </w:rPr>
              <w:t>✅ Valid</w:t>
            </w:r>
          </w:p>
        </w:tc>
        <w:tc>
          <w:tcPr>
            <w:tcW w:type="dxa" w:w="1584"/>
            <w:shd w:val="clear" w:color="auto" w:fill="F2FAF7"/>
          </w:tcPr>
          <w:p>
            <w:pPr>
              <w:spacing w:before="40" w:after="40"/>
            </w:pPr>
            <w:r>
              <w:rPr>
                <w:color w:val="111827"/>
                <w:sz w:val="19"/>
              </w:rPr>
              <w:t>500,000</w:t>
            </w:r>
          </w:p>
        </w:tc>
        <w:tc>
          <w:tcPr>
            <w:tcW w:type="dxa" w:w="1584"/>
            <w:shd w:val="clear" w:color="auto" w:fill="F2FAF7"/>
          </w:tcPr>
          <w:p>
            <w:pPr>
              <w:spacing w:before="40" w:after="40"/>
            </w:pPr>
            <w:r>
              <w:rPr>
                <w:color w:val="111827"/>
                <w:sz w:val="19"/>
              </w:rPr>
              <w:t>4,000,000</w:t>
            </w:r>
          </w:p>
        </w:tc>
        <w:tc>
          <w:tcPr>
            <w:tcW w:type="dxa" w:w="1944"/>
            <w:shd w:val="clear" w:color="auto" w:fill="F2FAF7"/>
          </w:tcPr>
          <w:p>
            <w:pPr>
              <w:spacing w:before="40" w:after="40"/>
            </w:pPr>
            <w:r>
              <w:rPr>
                <w:color w:val="111827"/>
                <w:sz w:val="19"/>
              </w:rPr>
              <w:t>15,000,000</w:t>
            </w:r>
          </w:p>
        </w:tc>
      </w:tr>
      <w:tr>
        <w:tc>
          <w:tcPr>
            <w:tcW w:type="dxa" w:w="2232"/>
          </w:tcPr>
          <w:p>
            <w:pPr>
              <w:spacing w:before="40" w:after="40"/>
            </w:pPr>
            <w:r>
              <w:rPr>
                <w:color w:val="111827"/>
                <w:sz w:val="19"/>
              </w:rPr>
              <w:t>External Referrals</w:t>
            </w:r>
          </w:p>
        </w:tc>
        <w:tc>
          <w:tcPr>
            <w:tcW w:type="dxa" w:w="1512"/>
          </w:tcPr>
          <w:p>
            <w:pPr>
              <w:spacing w:before="40" w:after="40"/>
            </w:pPr>
            <w:r>
              <w:rPr>
                <w:color w:val="111827"/>
                <w:sz w:val="19"/>
              </w:rPr>
              <w:t>✅ Valid</w:t>
            </w:r>
          </w:p>
        </w:tc>
        <w:tc>
          <w:tcPr>
            <w:tcW w:type="dxa" w:w="1584"/>
          </w:tcPr>
          <w:p>
            <w:pPr>
              <w:spacing w:before="40" w:after="40"/>
            </w:pPr>
            <w:r>
              <w:rPr>
                <w:color w:val="111827"/>
                <w:sz w:val="19"/>
              </w:rPr>
              <w:t>300,000</w:t>
            </w:r>
          </w:p>
        </w:tc>
        <w:tc>
          <w:tcPr>
            <w:tcW w:type="dxa" w:w="1584"/>
          </w:tcPr>
          <w:p>
            <w:pPr>
              <w:spacing w:before="40" w:after="40"/>
            </w:pPr>
            <w:r>
              <w:rPr>
                <w:color w:val="111827"/>
                <w:sz w:val="19"/>
              </w:rPr>
              <w:t>2,000,000</w:t>
            </w:r>
          </w:p>
        </w:tc>
        <w:tc>
          <w:tcPr>
            <w:tcW w:type="dxa" w:w="1944"/>
          </w:tcPr>
          <w:p>
            <w:pPr>
              <w:spacing w:before="40" w:after="40"/>
            </w:pPr>
            <w:r>
              <w:rPr>
                <w:color w:val="111827"/>
                <w:sz w:val="19"/>
              </w:rPr>
              <w:t>6,000,000</w:t>
            </w:r>
          </w:p>
        </w:tc>
      </w:tr>
      <w:tr>
        <w:tc>
          <w:tcPr>
            <w:tcW w:type="dxa" w:w="2232"/>
            <w:shd w:val="clear" w:color="auto" w:fill="F2FAF7"/>
          </w:tcPr>
          <w:p>
            <w:pPr>
              <w:spacing w:before="40" w:after="40"/>
            </w:pPr>
            <w:r>
              <w:rPr>
                <w:color w:val="111827"/>
                <w:sz w:val="19"/>
              </w:rPr>
              <w:t>NGO / Gov Licensing</w:t>
            </w:r>
          </w:p>
        </w:tc>
        <w:tc>
          <w:tcPr>
            <w:tcW w:type="dxa" w:w="1512"/>
            <w:shd w:val="clear" w:color="auto" w:fill="F2FAF7"/>
          </w:tcPr>
          <w:p>
            <w:pPr>
              <w:spacing w:before="40" w:after="40"/>
            </w:pPr>
            <w:r>
              <w:rPr>
                <w:color w:val="111827"/>
                <w:sz w:val="19"/>
              </w:rPr>
              <w:t>✅ Valid</w:t>
            </w:r>
          </w:p>
        </w:tc>
        <w:tc>
          <w:tcPr>
            <w:tcW w:type="dxa" w:w="1584"/>
            <w:shd w:val="clear" w:color="auto" w:fill="F2FAF7"/>
          </w:tcPr>
          <w:p>
            <w:pPr>
              <w:spacing w:before="40" w:after="40"/>
            </w:pPr>
            <w:r>
              <w:rPr>
                <w:color w:val="111827"/>
                <w:sz w:val="19"/>
              </w:rPr>
              <w:t>0</w:t>
            </w:r>
          </w:p>
        </w:tc>
        <w:tc>
          <w:tcPr>
            <w:tcW w:type="dxa" w:w="1584"/>
            <w:shd w:val="clear" w:color="auto" w:fill="F2FAF7"/>
          </w:tcPr>
          <w:p>
            <w:pPr>
              <w:spacing w:before="40" w:after="40"/>
            </w:pPr>
            <w:r>
              <w:rPr>
                <w:color w:val="111827"/>
                <w:sz w:val="19"/>
              </w:rPr>
              <w:t>2,000,000</w:t>
            </w:r>
          </w:p>
        </w:tc>
        <w:tc>
          <w:tcPr>
            <w:tcW w:type="dxa" w:w="1944"/>
            <w:shd w:val="clear" w:color="auto" w:fill="F2FAF7"/>
          </w:tcPr>
          <w:p>
            <w:pPr>
              <w:spacing w:before="40" w:after="40"/>
            </w:pPr>
            <w:r>
              <w:rPr>
                <w:color w:val="111827"/>
                <w:sz w:val="19"/>
              </w:rPr>
              <w:t>12,000,000</w:t>
            </w:r>
          </w:p>
        </w:tc>
      </w:tr>
      <w:tr>
        <w:tc>
          <w:tcPr>
            <w:tcW w:type="dxa" w:w="2232"/>
          </w:tcPr>
          <w:p>
            <w:pPr>
              <w:spacing w:before="40" w:after="40"/>
            </w:pPr>
            <w:r>
              <w:rPr>
                <w:color w:val="111827"/>
                <w:sz w:val="19"/>
              </w:rPr>
              <w:t>Advertising</w:t>
            </w:r>
          </w:p>
        </w:tc>
        <w:tc>
          <w:tcPr>
            <w:tcW w:type="dxa" w:w="1512"/>
          </w:tcPr>
          <w:p>
            <w:pPr>
              <w:spacing w:before="40" w:after="40"/>
            </w:pPr>
            <w:r>
              <w:rPr>
                <w:color w:val="111827"/>
                <w:sz w:val="19"/>
              </w:rPr>
              <w:t>🚫 Blocked</w:t>
            </w:r>
          </w:p>
        </w:tc>
        <w:tc>
          <w:tcPr>
            <w:tcW w:type="dxa" w:w="1584"/>
          </w:tcPr>
          <w:p>
            <w:pPr>
              <w:spacing w:before="40" w:after="40"/>
            </w:pPr>
            <w:r>
              <w:rPr>
                <w:color w:val="111827"/>
                <w:sz w:val="19"/>
              </w:rPr>
              <w:t>0</w:t>
            </w:r>
          </w:p>
        </w:tc>
        <w:tc>
          <w:tcPr>
            <w:tcW w:type="dxa" w:w="1584"/>
          </w:tcPr>
          <w:p>
            <w:pPr>
              <w:spacing w:before="40" w:after="40"/>
            </w:pPr>
            <w:r>
              <w:rPr>
                <w:color w:val="111827"/>
                <w:sz w:val="19"/>
              </w:rPr>
              <w:t>0</w:t>
            </w:r>
          </w:p>
        </w:tc>
        <w:tc>
          <w:tcPr>
            <w:tcW w:type="dxa" w:w="1944"/>
          </w:tcPr>
          <w:p>
            <w:pPr>
              <w:spacing w:before="40" w:after="40"/>
            </w:pPr>
            <w:r>
              <w:rPr>
                <w:color w:val="111827"/>
                <w:sz w:val="19"/>
              </w:rPr>
              <w:t>0</w:t>
            </w:r>
          </w:p>
        </w:tc>
      </w:tr>
      <w:tr>
        <w:tc>
          <w:tcPr>
            <w:tcW w:type="dxa" w:w="2232"/>
            <w:shd w:val="clear" w:color="auto" w:fill="F2FAF7"/>
          </w:tcPr>
          <w:p>
            <w:pPr>
              <w:spacing w:before="40" w:after="40"/>
            </w:pPr>
            <w:r>
              <w:rPr>
                <w:color w:val="111827"/>
                <w:sz w:val="19"/>
              </w:rPr>
              <w:t>In-app Insurance/Loans</w:t>
            </w:r>
          </w:p>
        </w:tc>
        <w:tc>
          <w:tcPr>
            <w:tcW w:type="dxa" w:w="1512"/>
            <w:shd w:val="clear" w:color="auto" w:fill="F2FAF7"/>
          </w:tcPr>
          <w:p>
            <w:pPr>
              <w:spacing w:before="40" w:after="40"/>
            </w:pPr>
            <w:r>
              <w:rPr>
                <w:color w:val="111827"/>
                <w:sz w:val="19"/>
              </w:rPr>
              <w:t>🚫 Blocked</w:t>
            </w:r>
          </w:p>
        </w:tc>
        <w:tc>
          <w:tcPr>
            <w:tcW w:type="dxa" w:w="1584"/>
            <w:shd w:val="clear" w:color="auto" w:fill="F2FAF7"/>
          </w:tcPr>
          <w:p>
            <w:pPr>
              <w:spacing w:before="40" w:after="40"/>
            </w:pPr>
            <w:r>
              <w:rPr>
                <w:color w:val="111827"/>
                <w:sz w:val="19"/>
              </w:rPr>
              <w:t>0</w:t>
            </w:r>
          </w:p>
        </w:tc>
        <w:tc>
          <w:tcPr>
            <w:tcW w:type="dxa" w:w="1584"/>
            <w:shd w:val="clear" w:color="auto" w:fill="F2FAF7"/>
          </w:tcPr>
          <w:p>
            <w:pPr>
              <w:spacing w:before="40" w:after="40"/>
            </w:pPr>
            <w:r>
              <w:rPr>
                <w:color w:val="111827"/>
                <w:sz w:val="19"/>
              </w:rPr>
              <w:t>0</w:t>
            </w:r>
          </w:p>
        </w:tc>
        <w:tc>
          <w:tcPr>
            <w:tcW w:type="dxa" w:w="1944"/>
            <w:shd w:val="clear" w:color="auto" w:fill="F2FAF7"/>
          </w:tcPr>
          <w:p>
            <w:pPr>
              <w:spacing w:before="40" w:after="40"/>
            </w:pPr>
            <w:r>
              <w:rPr>
                <w:color w:val="111827"/>
                <w:sz w:val="19"/>
              </w:rPr>
              <w:t>0</w:t>
            </w:r>
          </w:p>
        </w:tc>
      </w:tr>
      <w:tr>
        <w:tc>
          <w:tcPr>
            <w:tcW w:type="dxa" w:w="2232"/>
          </w:tcPr>
          <w:p>
            <w:pPr>
              <w:spacing w:before="40" w:after="40"/>
            </w:pPr>
            <w:r>
              <w:rPr>
                <w:color w:val="111827"/>
                <w:sz w:val="19"/>
              </w:rPr>
              <w:t>TOTAL</w:t>
            </w:r>
          </w:p>
        </w:tc>
        <w:tc>
          <w:tcPr>
            <w:tcW w:type="dxa" w:w="1512"/>
          </w:tcPr>
          <w:p>
            <w:pPr>
              <w:spacing w:before="40" w:after="40"/>
            </w:pPr>
            <w:r>
              <w:rPr>
                <w:color w:val="111827"/>
                <w:sz w:val="19"/>
              </w:rPr>
              <w:t>—</w:t>
            </w:r>
          </w:p>
        </w:tc>
        <w:tc>
          <w:tcPr>
            <w:tcW w:type="dxa" w:w="1584"/>
          </w:tcPr>
          <w:p>
            <w:pPr>
              <w:spacing w:before="40" w:after="40"/>
            </w:pPr>
            <w:r>
              <w:rPr>
                <w:color w:val="111827"/>
                <w:sz w:val="19"/>
              </w:rPr>
              <w:t>7,800,000</w:t>
            </w:r>
          </w:p>
        </w:tc>
        <w:tc>
          <w:tcPr>
            <w:tcW w:type="dxa" w:w="1584"/>
          </w:tcPr>
          <w:p>
            <w:pPr>
              <w:spacing w:before="40" w:after="40"/>
            </w:pPr>
            <w:r>
              <w:rPr>
                <w:color w:val="111827"/>
                <w:sz w:val="19"/>
              </w:rPr>
              <w:t>44,000,000</w:t>
            </w:r>
          </w:p>
        </w:tc>
        <w:tc>
          <w:tcPr>
            <w:tcW w:type="dxa" w:w="1944"/>
          </w:tcPr>
          <w:p>
            <w:pPr>
              <w:spacing w:before="40" w:after="40"/>
            </w:pPr>
            <w:r>
              <w:rPr>
                <w:color w:val="111827"/>
                <w:sz w:val="19"/>
              </w:rPr>
              <w:t>132,000,000</w:t>
            </w:r>
          </w:p>
        </w:tc>
      </w:tr>
    </w:tbl>
    <w:p>
      <w:pPr>
        <w:spacing w:after="40"/>
      </w:pPr>
    </w:p>
    <w:p>
      <w:pPr>
        <w:spacing w:after="80"/>
        <w:ind w:left="360"/>
        <w:shd w:val="clear" w:color="auto" w:fill="F2FAF7"/>
      </w:pPr>
      <w:r>
        <w:rPr>
          <w:b/>
          <w:i w:val="0"/>
          <w:color w:val="0F9D77"/>
          <w:sz w:val="20"/>
        </w:rPr>
        <w:t xml:space="preserve">Year 1 Total: </w:t>
      </w:r>
      <w:r>
        <w:rPr>
          <w:b w:val="0"/>
          <w:i w:val="0"/>
          <w:color w:val="111827"/>
          <w:sz w:val="20"/>
        </w:rPr>
        <w:t>~BDT 7.8M (~USD 65K)</w:t>
      </w:r>
      <w:r>
        <w:rPr>
          <w:b w:val="0"/>
          <w:i w:val="0"/>
          <w:color w:val="6B7280"/>
          <w:sz w:val="20"/>
        </w:rPr>
        <w:t xml:space="preserve">   |   </w:t>
      </w:r>
      <w:r>
        <w:rPr>
          <w:b/>
          <w:i w:val="0"/>
          <w:color w:val="0F9D77"/>
          <w:sz w:val="20"/>
        </w:rPr>
        <w:t xml:space="preserve">Year 2 Total: </w:t>
      </w:r>
      <w:r>
        <w:rPr>
          <w:b w:val="0"/>
          <w:i w:val="0"/>
          <w:color w:val="111827"/>
          <w:sz w:val="20"/>
        </w:rPr>
        <w:t>~BDT 44M (~USD 370K)</w:t>
      </w:r>
      <w:r>
        <w:rPr>
          <w:b w:val="0"/>
          <w:i w:val="0"/>
          <w:color w:val="6B7280"/>
          <w:sz w:val="20"/>
        </w:rPr>
        <w:t xml:space="preserve">   |   </w:t>
      </w:r>
      <w:r>
        <w:rPr>
          <w:b/>
          <w:i w:val="0"/>
          <w:color w:val="0F9D77"/>
          <w:sz w:val="20"/>
        </w:rPr>
        <w:t xml:space="preserve">Year 3 Total: </w:t>
      </w:r>
      <w:r>
        <w:rPr>
          <w:b w:val="0"/>
          <w:i w:val="0"/>
          <w:color w:val="111827"/>
          <w:sz w:val="20"/>
        </w:rPr>
        <w:t>~BDT 132M (~USD 1.1M)</w:t>
      </w:r>
    </w:p>
    <w:p>
      <w:pPr>
        <w:spacing w:after="120"/>
      </w:pPr>
      <w:r>
        <w:rPr>
          <w:b w:val="0"/>
          <w:i w:val="0"/>
          <w:color w:val="111827"/>
          <w:sz w:val="21"/>
        </w:rPr>
        <w:t>These are conservative projections assuming no external investment. With a seed round, dedicated B2B sales staffing, and Bengali language support at launch, Year 2 revenue could realistically reach BDT 60–80M.</w:t>
      </w:r>
    </w:p>
    <w:p>
      <w:pPr>
        <w:spacing w:before="440" w:after="100"/>
        <w:pBdr>
          <w:bottom w:val="single" w:sz="14" w:space="4" w:color="0F9D77"/>
        </w:pBdr>
      </w:pPr>
      <w:r>
        <w:rPr>
          <w:b/>
          <w:i w:val="0"/>
          <w:color w:val="0F9D77"/>
          <w:sz w:val="28"/>
        </w:rPr>
        <w:t>11.  Risks and Challenges</w:t>
      </w:r>
    </w:p>
    <w:p>
      <w:pPr>
        <w:spacing w:after="60"/>
        <w:ind w:left="360"/>
      </w:pPr>
      <w:r>
        <w:rPr>
          <w:b/>
          <w:i w:val="0"/>
          <w:color w:val="DC2626"/>
          <w:sz w:val="21"/>
        </w:rPr>
        <w:t xml:space="preserve">Bengali language gap: </w:t>
      </w:r>
      <w:r>
        <w:rPr>
          <w:b w:val="0"/>
          <w:i w:val="0"/>
          <w:color w:val="111827"/>
          <w:sz w:val="21"/>
        </w:rPr>
        <w:t>The majority of target patients in Bangladesh are not comfortable with English UIs. Bengali localisation is not a nice-to-have — it is a launch requirement for any meaningful B2C adoption outside Dhaka's English-educated urban class.</w:t>
      </w:r>
    </w:p>
    <w:p>
      <w:pPr>
        <w:spacing w:after="60"/>
        <w:ind w:left="360"/>
      </w:pPr>
      <w:r>
        <w:rPr>
          <w:b/>
          <w:i w:val="0"/>
          <w:color w:val="DC2626"/>
          <w:sz w:val="21"/>
        </w:rPr>
        <w:t xml:space="preserve">bKash integration delay: </w:t>
      </w:r>
      <w:r>
        <w:rPr>
          <w:b w:val="0"/>
          <w:i w:val="0"/>
          <w:color w:val="111827"/>
          <w:sz w:val="21"/>
        </w:rPr>
        <w:t>Without bKash autopay working at launch, B2C conversion from free to paid will be near-zero. This integration must be completed before any premium marketing spend begins.</w:t>
      </w:r>
    </w:p>
    <w:p>
      <w:pPr>
        <w:spacing w:after="60"/>
        <w:ind w:left="360"/>
      </w:pPr>
      <w:r>
        <w:rPr>
          <w:b/>
          <w:i w:val="0"/>
          <w:color w:val="D97706"/>
          <w:sz w:val="21"/>
        </w:rPr>
        <w:t xml:space="preserve">Doctor onboarding resistance: </w:t>
      </w:r>
      <w:r>
        <w:rPr>
          <w:b w:val="0"/>
          <w:i w:val="0"/>
          <w:color w:val="111827"/>
          <w:sz w:val="21"/>
        </w:rPr>
        <w:t>Older private-practice doctors may resist digital tools. The Doctor Portal must demonstrate time savings within the first session — fewer phone calls from patients, pre-visit vitals data available automatically — or adoption will stall.</w:t>
      </w:r>
    </w:p>
    <w:p>
      <w:pPr>
        <w:spacing w:after="60"/>
        <w:ind w:left="360"/>
      </w:pPr>
      <w:r>
        <w:rPr>
          <w:b/>
          <w:i w:val="0"/>
          <w:color w:val="D97706"/>
          <w:sz w:val="21"/>
        </w:rPr>
        <w:t xml:space="preserve">Play Store declaration constraints: </w:t>
      </w:r>
      <w:r>
        <w:rPr>
          <w:b w:val="0"/>
          <w:i w:val="0"/>
          <w:color w:val="111827"/>
          <w:sz w:val="21"/>
        </w:rPr>
        <w:t>The "No ads" and "Financial features: No" declarations are binding. Any revenue experiment that conflicts with these — such as in-app sponsored content or an embedded insurance product — requires updated declarations and could trigger a Google Play policy review.</w:t>
      </w:r>
    </w:p>
    <w:p>
      <w:pPr>
        <w:spacing w:after="60"/>
        <w:ind w:left="360"/>
      </w:pPr>
      <w:r>
        <w:rPr>
          <w:b/>
          <w:i w:val="0"/>
          <w:color w:val="D97706"/>
          <w:sz w:val="21"/>
        </w:rPr>
        <w:t xml:space="preserve">Data privacy and regulatory risk: </w:t>
      </w:r>
      <w:r>
        <w:rPr>
          <w:b w:val="0"/>
          <w:i w:val="0"/>
          <w:color w:val="111827"/>
          <w:sz w:val="21"/>
        </w:rPr>
        <w:t>Bangladesh's Digital Security Act is evolving and health data regulations remain underdeveloped. Any data partnership must be structured conservatively within current Data Safety declarations and the published privacy policy to avoid legal exposure.</w:t>
      </w:r>
    </w:p>
    <w:p>
      <w:pPr>
        <w:spacing w:after="60"/>
        <w:ind w:left="360"/>
      </w:pPr>
      <w:r>
        <w:rPr>
          <w:b/>
          <w:i w:val="0"/>
          <w:color w:val="6B7280"/>
          <w:sz w:val="21"/>
        </w:rPr>
        <w:t xml:space="preserve">Maya as a direct competitor: </w:t>
      </w:r>
      <w:r>
        <w:rPr>
          <w:b w:val="0"/>
          <w:i w:val="0"/>
          <w:color w:val="111827"/>
          <w:sz w:val="21"/>
        </w:rPr>
        <w:t>Maya has brand recognition, funding, and corporate wellness relationships. Omra's differentiation must be the integrated family monitoring + doctor continuity angle, which Maya does not offer. Competing on telemedicine or AI health Q&amp;A directly against Maya is not advisable at this stage.</w:t>
      </w:r>
    </w:p>
    <w:p>
      <w:pPr>
        <w:spacing w:after="60"/>
        <w:ind w:left="360"/>
      </w:pPr>
      <w:r>
        <w:rPr>
          <w:b/>
          <w:i w:val="0"/>
          <w:color w:val="6B7280"/>
          <w:sz w:val="21"/>
        </w:rPr>
        <w:t xml:space="preserve">Rural connectivity: </w:t>
      </w:r>
      <w:r>
        <w:rPr>
          <w:b w:val="0"/>
          <w:i w:val="0"/>
          <w:color w:val="111827"/>
          <w:sz w:val="21"/>
        </w:rPr>
        <w:t>Serving semi-urban and rural patients requires offline-capable features — local data sync and SMS-based medication reminders as a fallback when internet is unavailable.</w:t>
      </w:r>
    </w:p>
    <w:p>
      <w:pPr>
        <w:spacing w:before="440" w:after="100"/>
        <w:pBdr>
          <w:bottom w:val="single" w:sz="14" w:space="4" w:color="0F9D77"/>
        </w:pBdr>
      </w:pPr>
      <w:r>
        <w:rPr>
          <w:b/>
          <w:i w:val="0"/>
          <w:color w:val="0F9D77"/>
          <w:sz w:val="28"/>
        </w:rPr>
        <w:t>12.  Recommendations</w:t>
      </w:r>
    </w:p>
    <w:p>
      <w:pPr>
        <w:spacing w:after="120"/>
      </w:pPr>
      <w:r>
        <w:rPr>
          <w:b w:val="0"/>
          <w:i w:val="0"/>
          <w:color w:val="111827"/>
          <w:sz w:val="21"/>
        </w:rPr>
        <w:t>Based on the Bangladesh market research and direct analysis of the Play Store policy declarations, the following sequenced actions are recommended:</w:t>
      </w:r>
    </w:p>
    <w:p>
      <w:pPr>
        <w:pStyle w:val="ListBullet"/>
        <w:spacing w:after="60"/>
        <w:ind w:left="432"/>
      </w:pPr>
      <w:r>
        <w:rPr>
          <w:b w:val="0"/>
          <w:i w:val="0"/>
          <w:color w:val="111827"/>
          <w:sz w:val="21"/>
        </w:rPr>
        <w:t>Start with B2B clinic SaaS. It generates the most revenue fastest with the least marketing spend. One clinic at BDT 5,500/month equals 27 Premium subscribers — and brings hundreds of those subscribers automatically.</w:t>
      </w:r>
    </w:p>
    <w:p>
      <w:pPr>
        <w:pStyle w:val="ListBullet"/>
        <w:spacing w:after="60"/>
        <w:ind w:left="432"/>
      </w:pPr>
      <w:r>
        <w:rPr>
          <w:b w:val="0"/>
          <w:i w:val="0"/>
          <w:color w:val="111827"/>
          <w:sz w:val="21"/>
        </w:rPr>
        <w:t>Add Bengali language support before any B2C marketing. Without it, conversion outside Dhaka's English-speaking class will be negligible.</w:t>
      </w:r>
    </w:p>
    <w:p>
      <w:pPr>
        <w:pStyle w:val="ListBullet"/>
        <w:spacing w:after="60"/>
        <w:ind w:left="432"/>
      </w:pPr>
      <w:r>
        <w:rPr>
          <w:b w:val="0"/>
          <w:i w:val="0"/>
          <w:color w:val="111827"/>
          <w:sz w:val="21"/>
        </w:rPr>
        <w:t>Integrate bKash autopay before activating the Premium paywall. This is the non-negotiable prerequisite for B2C monetisation in Bangladesh.</w:t>
      </w:r>
    </w:p>
    <w:p>
      <w:pPr>
        <w:pStyle w:val="ListBullet"/>
        <w:spacing w:after="60"/>
        <w:ind w:left="432"/>
      </w:pPr>
      <w:r>
        <w:rPr>
          <w:b w:val="0"/>
          <w:i w:val="0"/>
          <w:color w:val="111827"/>
          <w:sz w:val="21"/>
        </w:rPr>
        <w:t>Lead all marketing with the Alarms/Reminders feature — "Never miss a medicine. Let your family know you took it." This is the declared, approved, most compelling value proposition.</w:t>
      </w:r>
    </w:p>
    <w:p>
      <w:pPr>
        <w:pStyle w:val="ListBullet"/>
        <w:spacing w:after="60"/>
        <w:ind w:left="432"/>
      </w:pPr>
      <w:r>
        <w:rPr>
          <w:b w:val="0"/>
          <w:i w:val="0"/>
          <w:color w:val="111827"/>
          <w:sz w:val="21"/>
        </w:rPr>
        <w:t>Position the No Ads declaration as a trust signal in all marketing — "No ads. No data selling. Just your health." This differentiates Omra from every ad-funded competitor.</w:t>
      </w:r>
    </w:p>
    <w:p>
      <w:pPr>
        <w:pStyle w:val="ListBullet"/>
        <w:spacing w:after="60"/>
        <w:ind w:left="432"/>
      </w:pPr>
      <w:r>
        <w:rPr>
          <w:b w:val="0"/>
          <w:i w:val="0"/>
          <w:color w:val="111827"/>
          <w:sz w:val="21"/>
        </w:rPr>
        <w:t>Approach the RMG sector for corporate wellness in Month 6–12. Use Maya's BGMEA partnerships as the proof of concept that this channel works for health apps in Bangladesh.</w:t>
      </w:r>
    </w:p>
    <w:p>
      <w:pPr>
        <w:pStyle w:val="ListBullet"/>
        <w:spacing w:after="60"/>
        <w:ind w:left="432"/>
      </w:pPr>
      <w:r>
        <w:rPr>
          <w:b w:val="0"/>
          <w:i w:val="0"/>
          <w:color w:val="111827"/>
          <w:sz w:val="21"/>
        </w:rPr>
        <w:t>Do not pursue data monetisation until you have 50,000+ users, a formal opt-in consent flow, and legal review confirming alignment with your Data Safety declaration.</w:t>
      </w:r>
    </w:p>
    <w:p>
      <w:pPr>
        <w:pStyle w:val="ListBullet"/>
        <w:spacing w:after="60"/>
        <w:ind w:left="432"/>
      </w:pPr>
      <w:r>
        <w:rPr>
          <w:b w:val="0"/>
          <w:i w:val="0"/>
          <w:color w:val="111827"/>
          <w:sz w:val="21"/>
        </w:rPr>
        <w:t>Approach BRAC Health at Month 18 with a documented outcomes package from clinic partnerships. That evidence unlocks the NGO and government contract channel.</w:t>
      </w:r>
    </w:p>
    <w:p>
      <w:pPr>
        <w:spacing w:before="120" w:after="120"/>
        <w:ind w:left="288" w:right="288"/>
        <w:shd w:val="clear" w:color="auto" w:fill="E8F5F1"/>
      </w:pPr>
      <w:r>
        <w:rPr>
          <w:b w:val="0"/>
          <w:i/>
          <w:color w:val="111827"/>
          <w:sz w:val="20"/>
        </w:rPr>
        <w:t>💡  The single most important insight: Your Play Store declarations have already committed Omra to the right business model. The "No ads" constraint eliminates a low-trust, low-margin revenue path and forces a subscription + B2B SaaS model that is more defensible, more profitable at scale, and more appropriate for a health app handling sensitive patient data. This is not a limitation — it is the strategy.</w:t>
      </w:r>
    </w:p>
    <w:p/>
    <w:p>
      <w:pPr>
        <w:spacing w:before="360"/>
        <w:pBdr>
          <w:bottom w:val="single" w:sz="6" w:space="4" w:color="E5E5E3"/>
        </w:pBdr>
      </w:pPr>
      <w:r>
        <w:rPr>
          <w:b/>
          <w:i w:val="0"/>
          <w:color w:val="6B7280"/>
          <w:sz w:val="19"/>
        </w:rPr>
        <w:t>Sources and References</w:t>
      </w:r>
    </w:p>
    <w:p>
      <w:pPr>
        <w:spacing w:after="40"/>
        <w:ind w:left="288"/>
      </w:pPr>
      <w:r>
        <w:rPr>
          <w:b w:val="0"/>
          <w:i/>
          <w:color w:val="6B7280"/>
          <w:sz w:val="17"/>
        </w:rPr>
        <w:t>• Statista — Digital Health Bangladesh Market Forecast 2025–2029 (statista.com)</w:t>
      </w:r>
    </w:p>
    <w:p>
      <w:pPr>
        <w:spacing w:after="40"/>
        <w:ind w:left="288"/>
      </w:pPr>
      <w:r>
        <w:rPr>
          <w:b w:val="0"/>
          <w:i/>
          <w:color w:val="6B7280"/>
          <w:sz w:val="17"/>
        </w:rPr>
        <w:t>• Statista — Digital Care Management Bangladesh Market Forecast 2024–2029 — CAGR 17.79%</w:t>
      </w:r>
    </w:p>
    <w:p>
      <w:pPr>
        <w:spacing w:after="40"/>
        <w:ind w:left="288"/>
      </w:pPr>
      <w:r>
        <w:rPr>
          <w:b w:val="0"/>
          <w:i/>
          <w:color w:val="6B7280"/>
          <w:sz w:val="17"/>
        </w:rPr>
        <w:t>• TechCrunch — Maya raises USD 2.2M seed round, February 2021 (techcrunch.com)</w:t>
      </w:r>
    </w:p>
    <w:p>
      <w:pPr>
        <w:spacing w:after="40"/>
        <w:ind w:left="288"/>
      </w:pPr>
      <w:r>
        <w:rPr>
          <w:b w:val="0"/>
          <w:i/>
          <w:color w:val="6B7280"/>
          <w:sz w:val="17"/>
        </w:rPr>
        <w:t>• Future Startup — The State of Telemedicine in Bangladesh (futurestartup.com)</w:t>
      </w:r>
    </w:p>
    <w:p>
      <w:pPr>
        <w:spacing w:after="40"/>
        <w:ind w:left="288"/>
      </w:pPr>
      <w:r>
        <w:rPr>
          <w:b w:val="0"/>
          <w:i/>
          <w:color w:val="6B7280"/>
          <w:sz w:val="17"/>
        </w:rPr>
        <w:t>• BMC Public Health — Cost of diabetes and hypertension care in rural Bangladesh, 2024</w:t>
      </w:r>
    </w:p>
    <w:p>
      <w:pPr>
        <w:spacing w:after="40"/>
        <w:ind w:left="288"/>
      </w:pPr>
      <w:r>
        <w:rPr>
          <w:b w:val="0"/>
          <w:i/>
          <w:color w:val="6B7280"/>
          <w:sz w:val="17"/>
        </w:rPr>
        <w:t>• Springer Nature — Unmet healthcare needs and out-of-pocket payments among hypertensive adults in Bangladesh</w:t>
      </w:r>
    </w:p>
    <w:p>
      <w:pPr>
        <w:spacing w:after="40"/>
        <w:ind w:left="288"/>
      </w:pPr>
      <w:r>
        <w:rPr>
          <w:b w:val="0"/>
          <w:i/>
          <w:color w:val="6B7280"/>
          <w:sz w:val="17"/>
        </w:rPr>
        <w:t>• Springer Nature — Understanding digital health needs in urban and peri-urban Bangladesh (BMC Digital Health, 2026)</w:t>
      </w:r>
    </w:p>
    <w:p>
      <w:pPr>
        <w:spacing w:after="40"/>
        <w:ind w:left="288"/>
      </w:pPr>
      <w:r>
        <w:rPr>
          <w:b w:val="0"/>
          <w:i/>
          <w:color w:val="6B7280"/>
          <w:sz w:val="17"/>
        </w:rPr>
        <w:t>• Tracxn — HealthTech Startups in Bangladesh, 2025 (tracxn.com)</w:t>
      </w:r>
    </w:p>
    <w:p>
      <w:pPr>
        <w:spacing w:after="40"/>
        <w:ind w:left="288"/>
      </w:pPr>
      <w:r>
        <w:rPr>
          <w:b w:val="0"/>
          <w:i/>
          <w:color w:val="6B7280"/>
          <w:sz w:val="17"/>
        </w:rPr>
        <w:t>• Scribd — HealthTech Opportunities in Bangladesh — Sector Analysis</w:t>
      </w:r>
    </w:p>
    <w:p>
      <w:pPr>
        <w:spacing w:after="40"/>
        <w:ind w:left="288"/>
      </w:pPr>
      <w:r>
        <w:rPr>
          <w:b w:val="0"/>
          <w:i/>
          <w:color w:val="6B7280"/>
          <w:sz w:val="17"/>
        </w:rPr>
        <w:t>• WHO — Bangladesh Digital Health Journey (apps.who.int)</w:t>
      </w:r>
    </w:p>
    <w:p>
      <w:pPr>
        <w:spacing w:after="40"/>
        <w:ind w:left="288"/>
      </w:pPr>
      <w:r>
        <w:rPr>
          <w:b w:val="0"/>
          <w:i/>
          <w:color w:val="6B7280"/>
          <w:sz w:val="17"/>
        </w:rPr>
        <w:t>• World Bank — Path to Transform Bangladesh's Health System</w:t>
      </w:r>
    </w:p>
    <w:p>
      <w:pPr>
        <w:spacing w:after="40"/>
        <w:ind w:left="288"/>
      </w:pPr>
      <w:r>
        <w:rPr>
          <w:b w:val="0"/>
          <w:i/>
          <w:color w:val="6B7280"/>
          <w:sz w:val="17"/>
        </w:rPr>
        <w:t>• Future Startup — Maya: AI-powered startup plans to become go-to name in healthcare</w:t>
      </w:r>
    </w:p>
    <w:p>
      <w:pPr>
        <w:spacing w:after="40"/>
        <w:ind w:left="288"/>
      </w:pPr>
      <w:r>
        <w:rPr>
          <w:b w:val="0"/>
          <w:i/>
          <w:color w:val="6B7280"/>
          <w:sz w:val="17"/>
        </w:rPr>
        <w:t>• JMIR Human Factors — Users' Perceived Service Quality of National Telemedicine Services in Bangladesh, 2024</w:t>
      </w:r>
    </w:p>
    <w:p>
      <w:pPr>
        <w:spacing w:after="40"/>
        <w:ind w:left="288"/>
      </w:pPr>
      <w:r>
        <w:rPr>
          <w:b w:val="0"/>
          <w:i/>
          <w:color w:val="6B7280"/>
          <w:sz w:val="17"/>
        </w:rPr>
        <w:t>• Google Play Console — Policy → App Content declarations (provided by app owner, May 2026)</w:t>
      </w:r>
    </w:p>
    <w:p>
      <w:pPr>
        <w:spacing w:after="40"/>
        <w:ind w:left="288"/>
      </w:pPr>
      <w:r>
        <w:rPr>
          <w:b w:val="0"/>
          <w:i/>
          <w:color w:val="6B7280"/>
          <w:sz w:val="17"/>
        </w:rPr>
        <w:t>• Google Play Developer Policy Centre — Financial features definition and scope</w:t>
      </w:r>
    </w:p>
    <w:p>
      <w:pPr>
        <w:spacing w:after="40"/>
        <w:ind w:left="288"/>
      </w:pPr>
      <w:r>
        <w:rPr>
          <w:b w:val="0"/>
          <w:i/>
          <w:color w:val="6B7280"/>
          <w:sz w:val="17"/>
        </w:rPr>
        <w:t>• Omra Health App Privacy Policy — https://neamulmorshed.github.io/health-passbook/privacy-policy.html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