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E8F5F1"/>
      </w:pPr>
      <w:r>
        <w:rPr>
          <w:color w:val="6B7280"/>
          <w:sz w:val="16"/>
        </w:rPr>
        <w:br/>
      </w:r>
    </w:p>
    <w:p>
      <w:pPr>
        <w:jc w:val="center"/>
        <w:shd w:val="clear" w:color="auto" w:fill="E8F5F1"/>
      </w:pPr>
      <w:r>
        <w:rPr>
          <w:b/>
          <w:color w:val="0F9D77"/>
          <w:sz w:val="56"/>
        </w:rPr>
        <w:t>OMRA HEALTH APP</w:t>
      </w:r>
    </w:p>
    <w:p>
      <w:pPr>
        <w:jc w:val="center"/>
        <w:shd w:val="clear" w:color="auto" w:fill="E8F5F1"/>
      </w:pPr>
      <w:r>
        <w:rPr>
          <w:b/>
          <w:color w:val="111827"/>
          <w:sz w:val="28"/>
        </w:rPr>
        <w:t>Business Model Report — Bangladesh Perspective</w:t>
      </w:r>
    </w:p>
    <w:p>
      <w:pPr>
        <w:jc w:val="center"/>
        <w:shd w:val="clear" w:color="auto" w:fill="E8F5F1"/>
      </w:pPr>
      <w:r>
        <w:rPr>
          <w:b w:val="0"/>
          <w:color w:val="6B7280"/>
          <w:sz w:val="20"/>
        </w:rPr>
        <w:t>Policy-Constrained Edition  |  May 2026  |  Confidential</w:t>
      </w:r>
    </w:p>
    <w:p>
      <w:pPr>
        <w:jc w:val="center"/>
        <w:shd w:val="clear" w:color="auto" w:fill="E8F5F1"/>
      </w:pPr>
      <w:r>
        <w:rPr>
          <w:color w:val="6B7280"/>
          <w:sz w:val="16"/>
        </w:rPr>
        <w:br/>
      </w:r>
    </w:p>
    <w:p>
      <w:r>
        <w:br w:type="page"/>
      </w:r>
    </w:p>
    <w:p>
      <w:pPr>
        <w:spacing w:before="400" w:after="80"/>
        <w:pBdr>
          <w:bottom w:val="single" w:sz="12" w:space="4" w:color="0F9D77"/>
        </w:pBdr>
      </w:pPr>
      <w:r>
        <w:rPr>
          <w:b/>
          <w:i w:val="0"/>
          <w:color w:val="0F9D77"/>
          <w:sz w:val="28"/>
          <w:u w:val="none"/>
        </w:rPr>
        <w:t>1.  Play Store Policy Declarations — Business Model Impact</w:t>
      </w:r>
    </w:p>
    <w:p>
      <w:pPr>
        <w:spacing w:after="120"/>
      </w:pPr>
      <w:r>
        <w:rPr>
          <w:b w:val="0"/>
          <w:i w:val="0"/>
          <w:color w:val="111827"/>
          <w:sz w:val="21"/>
          <w:u w:val="none"/>
        </w:rPr>
        <w:t>You have already locked in the following declarations in the Google Play Console under Policy → App Content. Each one either eliminates, constrains, or validates a specific revenue stream. This section maps every declaration to its exact business model consequence.</w:t>
      </w:r>
    </w:p>
    <w:p/>
    <w:tbl>
      <w:tblPr>
        <w:tblStyle w:val="TableGrid"/>
        <w:tblW w:type="auto" w:w="0"/>
        <w:tblLook w:firstColumn="1" w:firstRow="1" w:lastColumn="0" w:lastRow="0" w:noHBand="0" w:noVBand="1" w:val="04A0"/>
      </w:tblPr>
      <w:tblGrid>
        <w:gridCol w:w="2268"/>
        <w:gridCol w:w="2268"/>
        <w:gridCol w:w="2268"/>
        <w:gridCol w:w="2268"/>
      </w:tblGrid>
      <w:tr>
        <w:tc>
          <w:tcPr>
            <w:tcW w:type="dxa" w:w="360"/>
            <w:shd w:val="clear" w:color="auto" w:fill="0F9D77"/>
          </w:tcPr>
          <w:p>
            <w:r>
              <w:rPr>
                <w:b/>
                <w:color w:val="FFFFFF"/>
                <w:sz w:val="19"/>
              </w:rPr>
              <w:t>#</w:t>
            </w:r>
          </w:p>
        </w:tc>
        <w:tc>
          <w:tcPr>
            <w:tcW w:type="dxa" w:w="1872"/>
            <w:shd w:val="clear" w:color="auto" w:fill="0F9D77"/>
          </w:tcPr>
          <w:p>
            <w:r>
              <w:rPr>
                <w:b/>
                <w:color w:val="FFFFFF"/>
                <w:sz w:val="19"/>
              </w:rPr>
              <w:t>Declaration</w:t>
            </w:r>
          </w:p>
        </w:tc>
        <w:tc>
          <w:tcPr>
            <w:tcW w:type="dxa" w:w="1728"/>
            <w:shd w:val="clear" w:color="auto" w:fill="0F9D77"/>
          </w:tcPr>
          <w:p>
            <w:r>
              <w:rPr>
                <w:b/>
                <w:color w:val="FFFFFF"/>
                <w:sz w:val="19"/>
              </w:rPr>
              <w:t>Your Setting</w:t>
            </w:r>
          </w:p>
        </w:tc>
        <w:tc>
          <w:tcPr>
            <w:tcW w:type="dxa" w:w="5112"/>
            <w:shd w:val="clear" w:color="auto" w:fill="0F9D77"/>
          </w:tcPr>
          <w:p>
            <w:r>
              <w:rPr>
                <w:b/>
                <w:color w:val="FFFFFF"/>
                <w:sz w:val="19"/>
              </w:rPr>
              <w:t>Business Model Impact</w:t>
            </w:r>
          </w:p>
        </w:tc>
      </w:tr>
      <w:tr>
        <w:tc>
          <w:tcPr>
            <w:tcW w:type="dxa" w:w="360"/>
            <w:shd w:val="clear" w:color="auto" w:fill="F2FAF7"/>
          </w:tcPr>
          <w:p>
            <w:r>
              <w:rPr>
                <w:color w:val="111827"/>
                <w:sz w:val="19"/>
              </w:rPr>
              <w:t>7</w:t>
            </w:r>
          </w:p>
        </w:tc>
        <w:tc>
          <w:tcPr>
            <w:tcW w:type="dxa" w:w="1872"/>
            <w:shd w:val="clear" w:color="auto" w:fill="F2FAF7"/>
          </w:tcPr>
          <w:p>
            <w:r>
              <w:rPr>
                <w:color w:val="111827"/>
                <w:sz w:val="19"/>
              </w:rPr>
              <w:t>Privacy Policy</w:t>
            </w:r>
          </w:p>
        </w:tc>
        <w:tc>
          <w:tcPr>
            <w:tcW w:type="dxa" w:w="1728"/>
            <w:shd w:val="clear" w:color="auto" w:fill="F2FAF7"/>
          </w:tcPr>
          <w:p>
            <w:r>
              <w:rPr>
                <w:color w:val="111827"/>
                <w:sz w:val="19"/>
              </w:rPr>
              <w:t>URL declared</w:t>
            </w:r>
          </w:p>
        </w:tc>
        <w:tc>
          <w:tcPr>
            <w:tcW w:type="dxa" w:w="5112"/>
            <w:shd w:val="clear" w:color="auto" w:fill="F2FAF7"/>
          </w:tcPr>
          <w:p>
            <w:r>
              <w:rPr>
                <w:color w:val="111827"/>
                <w:sz w:val="19"/>
              </w:rPr>
              <w:t>REQUIRED. Patients trust the app with health data. Strengthens B2B clinic pitches and NGO contracts.</w:t>
            </w:r>
          </w:p>
        </w:tc>
      </w:tr>
      <w:tr>
        <w:tc>
          <w:tcPr>
            <w:tcW w:type="dxa" w:w="360"/>
          </w:tcPr>
          <w:p>
            <w:r>
              <w:rPr>
                <w:color w:val="111827"/>
                <w:sz w:val="19"/>
              </w:rPr>
              <w:t>8</w:t>
            </w:r>
          </w:p>
        </w:tc>
        <w:tc>
          <w:tcPr>
            <w:tcW w:type="dxa" w:w="1872"/>
          </w:tcPr>
          <w:p>
            <w:r>
              <w:rPr>
                <w:color w:val="111827"/>
                <w:sz w:val="19"/>
              </w:rPr>
              <w:t>App Access</w:t>
            </w:r>
          </w:p>
        </w:tc>
        <w:tc>
          <w:tcPr>
            <w:tcW w:type="dxa" w:w="1728"/>
          </w:tcPr>
          <w:p>
            <w:r>
              <w:rPr>
                <w:color w:val="111827"/>
                <w:sz w:val="19"/>
              </w:rPr>
              <w:t>Restricted (login required)</w:t>
            </w:r>
          </w:p>
        </w:tc>
        <w:tc>
          <w:tcPr>
            <w:tcW w:type="dxa" w:w="5112"/>
          </w:tcPr>
          <w:p>
            <w:r>
              <w:rPr>
                <w:color w:val="111827"/>
                <w:sz w:val="19"/>
              </w:rPr>
              <w:t>All users must have accounts. Enables per-user subscription billing and data attribution. No anonymous usage.</w:t>
            </w:r>
          </w:p>
        </w:tc>
      </w:tr>
      <w:tr>
        <w:tc>
          <w:tcPr>
            <w:tcW w:type="dxa" w:w="360"/>
            <w:shd w:val="clear" w:color="auto" w:fill="F2FAF7"/>
          </w:tcPr>
          <w:p>
            <w:r>
              <w:rPr>
                <w:color w:val="111827"/>
                <w:sz w:val="19"/>
              </w:rPr>
              <w:t>9</w:t>
            </w:r>
          </w:p>
        </w:tc>
        <w:tc>
          <w:tcPr>
            <w:tcW w:type="dxa" w:w="1872"/>
            <w:shd w:val="clear" w:color="auto" w:fill="F2FAF7"/>
          </w:tcPr>
          <w:p>
            <w:r>
              <w:rPr>
                <w:color w:val="111827"/>
                <w:sz w:val="19"/>
              </w:rPr>
              <w:t>Ads</w:t>
            </w:r>
          </w:p>
        </w:tc>
        <w:tc>
          <w:tcPr>
            <w:tcW w:type="dxa" w:w="1728"/>
            <w:shd w:val="clear" w:color="auto" w:fill="F2FAF7"/>
          </w:tcPr>
          <w:p>
            <w:r>
              <w:rPr>
                <w:color w:val="111827"/>
                <w:sz w:val="19"/>
              </w:rPr>
              <w:t>❌ No ads in app</w:t>
            </w:r>
          </w:p>
        </w:tc>
        <w:tc>
          <w:tcPr>
            <w:tcW w:type="dxa" w:w="5112"/>
            <w:shd w:val="clear" w:color="auto" w:fill="F2FAF7"/>
          </w:tcPr>
          <w:p>
            <w:r>
              <w:rPr>
                <w:color w:val="111827"/>
                <w:sz w:val="19"/>
              </w:rPr>
              <w:t>AD REVENUE ELIMINATED. Cannot show any ads, sponsored content, or pay-per-click inside the app — ever, without re-declaring.</w:t>
            </w:r>
          </w:p>
        </w:tc>
      </w:tr>
      <w:tr>
        <w:tc>
          <w:tcPr>
            <w:tcW w:type="dxa" w:w="360"/>
          </w:tcPr>
          <w:p>
            <w:r>
              <w:rPr>
                <w:color w:val="111827"/>
                <w:sz w:val="19"/>
              </w:rPr>
              <w:t>10</w:t>
            </w:r>
          </w:p>
        </w:tc>
        <w:tc>
          <w:tcPr>
            <w:tcW w:type="dxa" w:w="1872"/>
          </w:tcPr>
          <w:p>
            <w:r>
              <w:rPr>
                <w:color w:val="111827"/>
                <w:sz w:val="19"/>
              </w:rPr>
              <w:t>Content Rating</w:t>
            </w:r>
          </w:p>
        </w:tc>
        <w:tc>
          <w:tcPr>
            <w:tcW w:type="dxa" w:w="1728"/>
          </w:tcPr>
          <w:p>
            <w:r>
              <w:rPr>
                <w:color w:val="111827"/>
                <w:sz w:val="19"/>
              </w:rPr>
              <w:t>18+ only</w:t>
            </w:r>
          </w:p>
        </w:tc>
        <w:tc>
          <w:tcPr>
            <w:tcW w:type="dxa" w:w="5112"/>
          </w:tcPr>
          <w:p>
            <w:r>
              <w:rPr>
                <w:color w:val="111827"/>
                <w:sz w:val="19"/>
              </w:rPr>
              <w:t>Youth health programs, school health, and under-18 corporate wellness are BLOCKED. Adult patients, doctors, and family members only.</w:t>
            </w:r>
          </w:p>
        </w:tc>
      </w:tr>
      <w:tr>
        <w:tc>
          <w:tcPr>
            <w:tcW w:type="dxa" w:w="360"/>
            <w:shd w:val="clear" w:color="auto" w:fill="F2FAF7"/>
          </w:tcPr>
          <w:p>
            <w:r>
              <w:rPr>
                <w:color w:val="111827"/>
                <w:sz w:val="19"/>
              </w:rPr>
              <w:t>11</w:t>
            </w:r>
          </w:p>
        </w:tc>
        <w:tc>
          <w:tcPr>
            <w:tcW w:type="dxa" w:w="1872"/>
            <w:shd w:val="clear" w:color="auto" w:fill="F2FAF7"/>
          </w:tcPr>
          <w:p>
            <w:r>
              <w:rPr>
                <w:color w:val="111827"/>
                <w:sz w:val="19"/>
              </w:rPr>
              <w:t>Target Audience</w:t>
            </w:r>
          </w:p>
        </w:tc>
        <w:tc>
          <w:tcPr>
            <w:tcW w:type="dxa" w:w="1728"/>
            <w:shd w:val="clear" w:color="auto" w:fill="F2FAF7"/>
          </w:tcPr>
          <w:p>
            <w:r>
              <w:rPr>
                <w:color w:val="111827"/>
                <w:sz w:val="19"/>
              </w:rPr>
              <w:t>18 and over only</w:t>
            </w:r>
          </w:p>
        </w:tc>
        <w:tc>
          <w:tcPr>
            <w:tcW w:type="dxa" w:w="5112"/>
            <w:shd w:val="clear" w:color="auto" w:fill="F2FAF7"/>
          </w:tcPr>
          <w:p>
            <w:r>
              <w:rPr>
                <w:color w:val="111827"/>
                <w:sz w:val="19"/>
              </w:rPr>
              <w:t>Same as above. Strengthens the chronic disease (diabetes, hypertension) patient focus — naturally an adult demographic.</w:t>
            </w:r>
          </w:p>
        </w:tc>
      </w:tr>
      <w:tr>
        <w:tc>
          <w:tcPr>
            <w:tcW w:type="dxa" w:w="360"/>
          </w:tcPr>
          <w:p>
            <w:r>
              <w:rPr>
                <w:color w:val="111827"/>
                <w:sz w:val="19"/>
              </w:rPr>
              <w:t>12</w:t>
            </w:r>
          </w:p>
        </w:tc>
        <w:tc>
          <w:tcPr>
            <w:tcW w:type="dxa" w:w="1872"/>
          </w:tcPr>
          <w:p>
            <w:r>
              <w:rPr>
                <w:color w:val="111827"/>
                <w:sz w:val="19"/>
              </w:rPr>
              <w:t>News App</w:t>
            </w:r>
          </w:p>
        </w:tc>
        <w:tc>
          <w:tcPr>
            <w:tcW w:type="dxa" w:w="1728"/>
          </w:tcPr>
          <w:p>
            <w:r>
              <w:rPr>
                <w:color w:val="111827"/>
                <w:sz w:val="19"/>
              </w:rPr>
              <w:t>No</w:t>
            </w:r>
          </w:p>
        </w:tc>
        <w:tc>
          <w:tcPr>
            <w:tcW w:type="dxa" w:w="5112"/>
          </w:tcPr>
          <w:p>
            <w:r>
              <w:rPr>
                <w:color w:val="111827"/>
                <w:sz w:val="19"/>
              </w:rPr>
              <w:t>No impact. Health news/editorial content monetisation not possible, but not relevant for Omra.</w:t>
            </w:r>
          </w:p>
        </w:tc>
      </w:tr>
      <w:tr>
        <w:tc>
          <w:tcPr>
            <w:tcW w:type="dxa" w:w="360"/>
            <w:shd w:val="clear" w:color="auto" w:fill="F2FAF7"/>
          </w:tcPr>
          <w:p>
            <w:r>
              <w:rPr>
                <w:color w:val="111827"/>
                <w:sz w:val="19"/>
              </w:rPr>
              <w:t>13</w:t>
            </w:r>
          </w:p>
        </w:tc>
        <w:tc>
          <w:tcPr>
            <w:tcW w:type="dxa" w:w="1872"/>
            <w:shd w:val="clear" w:color="auto" w:fill="F2FAF7"/>
          </w:tcPr>
          <w:p>
            <w:r>
              <w:rPr>
                <w:color w:val="111827"/>
                <w:sz w:val="19"/>
              </w:rPr>
              <w:t>COVID-19</w:t>
            </w:r>
          </w:p>
        </w:tc>
        <w:tc>
          <w:tcPr>
            <w:tcW w:type="dxa" w:w="1728"/>
            <w:shd w:val="clear" w:color="auto" w:fill="F2FAF7"/>
          </w:tcPr>
          <w:p>
            <w:r>
              <w:rPr>
                <w:color w:val="111827"/>
                <w:sz w:val="19"/>
              </w:rPr>
              <w:t>No</w:t>
            </w:r>
          </w:p>
        </w:tc>
        <w:tc>
          <w:tcPr>
            <w:tcW w:type="dxa" w:w="5112"/>
            <w:shd w:val="clear" w:color="auto" w:fill="F2FAF7"/>
          </w:tcPr>
          <w:p>
            <w:r>
              <w:rPr>
                <w:color w:val="111827"/>
                <w:sz w:val="19"/>
              </w:rPr>
              <w:t>No impact. Cannot claim COVID-specific features.</w:t>
            </w:r>
          </w:p>
        </w:tc>
      </w:tr>
      <w:tr>
        <w:tc>
          <w:tcPr>
            <w:tcW w:type="dxa" w:w="360"/>
          </w:tcPr>
          <w:p>
            <w:r>
              <w:rPr>
                <w:color w:val="111827"/>
                <w:sz w:val="19"/>
              </w:rPr>
              <w:t>14</w:t>
            </w:r>
          </w:p>
        </w:tc>
        <w:tc>
          <w:tcPr>
            <w:tcW w:type="dxa" w:w="1872"/>
          </w:tcPr>
          <w:p>
            <w:r>
              <w:rPr>
                <w:color w:val="111827"/>
                <w:sz w:val="19"/>
              </w:rPr>
              <w:t>Data Safety</w:t>
            </w:r>
          </w:p>
        </w:tc>
        <w:tc>
          <w:tcPr>
            <w:tcW w:type="dxa" w:w="1728"/>
          </w:tcPr>
          <w:p>
            <w:r>
              <w:rPr>
                <w:color w:val="111827"/>
                <w:sz w:val="19"/>
              </w:rPr>
              <w:t>Declared</w:t>
            </w:r>
          </w:p>
        </w:tc>
        <w:tc>
          <w:tcPr>
            <w:tcW w:type="dxa" w:w="5112"/>
          </w:tcPr>
          <w:p>
            <w:r>
              <w:rPr>
                <w:color w:val="111827"/>
                <w:sz w:val="19"/>
              </w:rPr>
              <w:t>Data handling commitments are binding to Google. Raw health data selling or undisclosed sharing violates this — legally and with Google.</w:t>
            </w:r>
          </w:p>
        </w:tc>
      </w:tr>
      <w:tr>
        <w:tc>
          <w:tcPr>
            <w:tcW w:type="dxa" w:w="360"/>
            <w:shd w:val="clear" w:color="auto" w:fill="F2FAF7"/>
          </w:tcPr>
          <w:p>
            <w:r>
              <w:rPr>
                <w:color w:val="111827"/>
                <w:sz w:val="19"/>
              </w:rPr>
              <w:t>15</w:t>
            </w:r>
          </w:p>
        </w:tc>
        <w:tc>
          <w:tcPr>
            <w:tcW w:type="dxa" w:w="1872"/>
            <w:shd w:val="clear" w:color="auto" w:fill="F2FAF7"/>
          </w:tcPr>
          <w:p>
            <w:r>
              <w:rPr>
                <w:color w:val="111827"/>
                <w:sz w:val="19"/>
              </w:rPr>
              <w:t>Financial Features</w:t>
            </w:r>
          </w:p>
        </w:tc>
        <w:tc>
          <w:tcPr>
            <w:tcW w:type="dxa" w:w="1728"/>
            <w:shd w:val="clear" w:color="auto" w:fill="F2FAF7"/>
          </w:tcPr>
          <w:p>
            <w:r>
              <w:rPr>
                <w:color w:val="111827"/>
                <w:sz w:val="19"/>
              </w:rPr>
              <w:t>❌ No</w:t>
            </w:r>
          </w:p>
        </w:tc>
        <w:tc>
          <w:tcPr>
            <w:tcW w:type="dxa" w:w="5112"/>
            <w:shd w:val="clear" w:color="auto" w:fill="F2FAF7"/>
          </w:tcPr>
          <w:p>
            <w:r>
              <w:rPr>
                <w:color w:val="111827"/>
                <w:sz w:val="19"/>
              </w:rPr>
              <w:t>FINANCIAL SERVICES BLOCKED inside app. Cannot embed: insurance products, loans, investment tools, crypto. Subscription payments are fine — this refers to financial services, not app billing.</w:t>
            </w:r>
          </w:p>
        </w:tc>
      </w:tr>
      <w:tr>
        <w:tc>
          <w:tcPr>
            <w:tcW w:type="dxa" w:w="360"/>
          </w:tcPr>
          <w:p>
            <w:r>
              <w:rPr>
                <w:color w:val="111827"/>
                <w:sz w:val="19"/>
              </w:rPr>
              <w:t>16</w:t>
            </w:r>
          </w:p>
        </w:tc>
        <w:tc>
          <w:tcPr>
            <w:tcW w:type="dxa" w:w="1872"/>
          </w:tcPr>
          <w:p>
            <w:r>
              <w:rPr>
                <w:color w:val="111827"/>
                <w:sz w:val="19"/>
              </w:rPr>
              <w:t>Health Declaration</w:t>
            </w:r>
          </w:p>
        </w:tc>
        <w:tc>
          <w:tcPr>
            <w:tcW w:type="dxa" w:w="1728"/>
          </w:tcPr>
          <w:p>
            <w:r>
              <w:rPr>
                <w:color w:val="111827"/>
                <w:sz w:val="19"/>
              </w:rPr>
              <w:t>Declared</w:t>
            </w:r>
          </w:p>
        </w:tc>
        <w:tc>
          <w:tcPr>
            <w:tcW w:type="dxa" w:w="5112"/>
          </w:tcPr>
          <w:p>
            <w:r>
              <w:rPr>
                <w:color w:val="111827"/>
                <w:sz w:val="19"/>
              </w:rPr>
              <w:t>Health data is officially collected. Must handle it per declaration. Strengthens credibility with clinics. Restricts undisclosed data monetisation.</w:t>
            </w:r>
          </w:p>
        </w:tc>
      </w:tr>
      <w:tr>
        <w:tc>
          <w:tcPr>
            <w:tcW w:type="dxa" w:w="360"/>
            <w:shd w:val="clear" w:color="auto" w:fill="F2FAF7"/>
          </w:tcPr>
          <w:p>
            <w:r>
              <w:rPr>
                <w:color w:val="111827"/>
                <w:sz w:val="19"/>
              </w:rPr>
              <w:t>17</w:t>
            </w:r>
          </w:p>
        </w:tc>
        <w:tc>
          <w:tcPr>
            <w:tcW w:type="dxa" w:w="1872"/>
            <w:shd w:val="clear" w:color="auto" w:fill="F2FAF7"/>
          </w:tcPr>
          <w:p>
            <w:r>
              <w:rPr>
                <w:color w:val="111827"/>
                <w:sz w:val="19"/>
              </w:rPr>
              <w:t>Alarms Declaration</w:t>
            </w:r>
          </w:p>
        </w:tc>
        <w:tc>
          <w:tcPr>
            <w:tcW w:type="dxa" w:w="1728"/>
            <w:shd w:val="clear" w:color="auto" w:fill="F2FAF7"/>
          </w:tcPr>
          <w:p>
            <w:r>
              <w:rPr>
                <w:color w:val="111827"/>
                <w:sz w:val="19"/>
              </w:rPr>
              <w:t>Yes → Reminders</w:t>
            </w:r>
          </w:p>
        </w:tc>
        <w:tc>
          <w:tcPr>
            <w:tcW w:type="dxa" w:w="5112"/>
            <w:shd w:val="clear" w:color="auto" w:fill="F2FAF7"/>
          </w:tcPr>
          <w:p>
            <w:r>
              <w:rPr>
                <w:color w:val="111827"/>
                <w:sz w:val="19"/>
              </w:rPr>
              <w:t>Medication reminders are a declared, approved feature. This is the core value prop for the Premium B2C tier.</w:t>
            </w:r>
          </w:p>
        </w:tc>
      </w:tr>
      <w:tr>
        <w:tc>
          <w:tcPr>
            <w:tcW w:type="dxa" w:w="360"/>
          </w:tcPr>
          <w:p>
            <w:r>
              <w:rPr>
                <w:color w:val="111827"/>
                <w:sz w:val="19"/>
              </w:rPr>
              <w:t>18</w:t>
            </w:r>
          </w:p>
        </w:tc>
        <w:tc>
          <w:tcPr>
            <w:tcW w:type="dxa" w:w="1872"/>
          </w:tcPr>
          <w:p>
            <w:r>
              <w:rPr>
                <w:color w:val="111827"/>
                <w:sz w:val="19"/>
              </w:rPr>
              <w:t>Permissions Decl.</w:t>
            </w:r>
          </w:p>
        </w:tc>
        <w:tc>
          <w:tcPr>
            <w:tcW w:type="dxa" w:w="1728"/>
          </w:tcPr>
          <w:p>
            <w:r>
              <w:rPr>
                <w:color w:val="111827"/>
                <w:sz w:val="19"/>
              </w:rPr>
              <w:t>Declared</w:t>
            </w:r>
          </w:p>
        </w:tc>
        <w:tc>
          <w:tcPr>
            <w:tcW w:type="dxa" w:w="5112"/>
          </w:tcPr>
          <w:p>
            <w:r>
              <w:rPr>
                <w:color w:val="111827"/>
                <w:sz w:val="19"/>
              </w:rPr>
              <w:t>Permissions (camera, location, etc.) are locked in. New permissions require updated declarations and may trigger a review.</w:t>
            </w:r>
          </w:p>
        </w:tc>
      </w:tr>
    </w:tbl>
    <w:p/>
    <w:p>
      <w:pPr>
        <w:spacing w:before="120" w:after="120"/>
        <w:ind w:left="288"/>
        <w:shd w:val="clear" w:color="auto" w:fill="FEE2E2"/>
      </w:pPr>
      <w:r>
        <w:rPr>
          <w:b w:val="0"/>
          <w:i/>
          <w:color w:val="111827"/>
          <w:sz w:val="20"/>
          <w:u w:val="none"/>
        </w:rPr>
        <w:t>🚫  PERMANENTLY ELIMINATED by your declarations: (1) Advertising/banner ads  (2) Sponsored content within the app  (3) Embedded insurance / loan products  (4) Youth-targeted programs (under 18)  (5) Undisclosed health data selling</w:t>
      </w:r>
    </w:p>
    <w:p>
      <w:pPr>
        <w:spacing w:before="120" w:after="120"/>
        <w:ind w:left="288"/>
        <w:shd w:val="clear" w:color="auto" w:fill="DCFCE7"/>
      </w:pPr>
      <w:r>
        <w:rPr>
          <w:b w:val="0"/>
          <w:i/>
          <w:color w:val="111827"/>
          <w:sz w:val="20"/>
          <w:u w:val="none"/>
        </w:rPr>
        <w:t>✅  FULLY VALIDATED by your declarations: (1) B2C subscription via bKash/Nagad  (2) B2B SaaS licensing to clinics  (3) Corporate wellness for adult employees  (4) Medication reminder as premium feature  (5) NGO / government program licensing  (6) External referral commissions (diagnostic labs, pharmacies)</w:t>
      </w:r>
    </w:p>
    <w:p>
      <w:pPr>
        <w:spacing w:before="120" w:after="120"/>
        <w:ind w:left="288"/>
        <w:shd w:val="clear" w:color="auto" w:fill="FEF3C7"/>
      </w:pPr>
      <w:r>
        <w:rPr>
          <w:b w:val="0"/>
          <w:i/>
          <w:color w:val="111827"/>
          <w:sz w:val="20"/>
          <w:u w:val="none"/>
        </w:rPr>
        <w:t>⚠️  CONSTRAINED — possible but must be handled carefully: (1) Data partnerships — anonymised aggregate only, must align with Data Safety declaration  (2) Insurance referrals — can link OUT to external insurers, cannot embed  (3) New permissions — camera for prescription scan is already declared; adding new ones requires a Play Console update</w:t>
      </w:r>
    </w:p>
    <w:p>
      <w:pPr>
        <w:spacing w:before="400" w:after="80"/>
        <w:pBdr>
          <w:bottom w:val="single" w:sz="12" w:space="4" w:color="0F9D77"/>
        </w:pBdr>
      </w:pPr>
      <w:r>
        <w:rPr>
          <w:b/>
          <w:i w:val="0"/>
          <w:color w:val="0F9D77"/>
          <w:sz w:val="28"/>
          <w:u w:val="none"/>
        </w:rPr>
        <w:t>2.  Revised Business Model — After Applying Policy Filter</w:t>
      </w:r>
    </w:p>
    <w:p>
      <w:pPr>
        <w:spacing w:after="120"/>
      </w:pPr>
      <w:r>
        <w:rPr>
          <w:b w:val="0"/>
          <w:i w:val="0"/>
          <w:color w:val="111827"/>
          <w:sz w:val="21"/>
          <w:u w:val="none"/>
        </w:rPr>
        <w:t>With the ad model eliminated and financial services blocked, Omra's business model becomes cleaner and more defensible — not weaker. The best health apps globally (Calm, Headspace, Noom, Dario Health) are all ad-free subscription businesses. In Bangladesh, this positions Omra as a trustworthy, privacy-respecting health tool — a significant differentiator from ad-funded alternatives.</w:t>
      </w:r>
    </w:p>
    <w:p>
      <w:pPr>
        <w:spacing w:before="200" w:after="40"/>
      </w:pPr>
      <w:r>
        <w:rPr>
          <w:b/>
          <w:i w:val="0"/>
          <w:color w:val="111827"/>
          <w:sz w:val="23"/>
          <w:u w:val="none"/>
        </w:rPr>
        <w:t>Stream 1 — B2B Clinic SaaS  [PRIMARY, FASTEST]</w:t>
      </w:r>
    </w:p>
    <w:p>
      <w:pPr>
        <w:spacing w:before="120" w:after="120"/>
        <w:ind w:left="288"/>
        <w:shd w:val="clear" w:color="auto" w:fill="DCFCE7"/>
      </w:pPr>
      <w:r>
        <w:rPr>
          <w:b w:val="0"/>
          <w:i/>
          <w:color w:val="111827"/>
          <w:sz w:val="20"/>
          <w:u w:val="none"/>
        </w:rPr>
        <w:t>Status: ✅ Fully valid · No policy conflict · Fastest path to revenue</w:t>
      </w:r>
    </w:p>
    <w:p>
      <w:pPr>
        <w:spacing w:after="120"/>
      </w:pPr>
      <w:r>
        <w:rPr>
          <w:b w:val="0"/>
          <w:i w:val="0"/>
          <w:color w:val="111827"/>
          <w:sz w:val="21"/>
          <w:u w:val="none"/>
        </w:rPr>
        <w:t>License the Doctor Portal to private clinics as a monthly SaaS subscription. The clinic pays, their patients use the Patient Portal at no cost (or discounted). The clinic becomes your distribution channel — zero B2C marketing spend needed for those users.</w:t>
      </w:r>
    </w:p>
    <w:p>
      <w:pPr>
        <w:spacing w:after="120"/>
      </w:pPr>
      <w:r>
        <w:rPr>
          <w:b w:val="0"/>
          <w:i w:val="0"/>
          <w:color w:val="111827"/>
          <w:sz w:val="21"/>
          <w:u w:val="none"/>
        </w:rPr>
        <w:t>Policy alignment:</w:t>
      </w:r>
    </w:p>
    <w:p>
      <w:pPr>
        <w:pStyle w:val="ListBullet"/>
        <w:spacing w:after="60"/>
        <w:ind w:left="432"/>
      </w:pPr>
      <w:r>
        <w:rPr>
          <w:b w:val="0"/>
          <w:i w:val="0"/>
          <w:color w:val="111827"/>
          <w:sz w:val="21"/>
          <w:u w:val="none"/>
        </w:rPr>
        <w:t>No ads inside the app — clinics actually prefer this. A clean, ad-free doctor tool looks professional.</w:t>
      </w:r>
    </w:p>
    <w:p>
      <w:pPr>
        <w:pStyle w:val="ListBullet"/>
        <w:spacing w:after="60"/>
        <w:ind w:left="432"/>
      </w:pPr>
      <w:r>
        <w:rPr>
          <w:b w:val="0"/>
          <w:i w:val="0"/>
          <w:color w:val="111827"/>
          <w:sz w:val="21"/>
          <w:u w:val="none"/>
        </w:rPr>
        <w:t>Data safety declaration — clinics require this. It proves you take patient data seriously.</w:t>
      </w:r>
    </w:p>
    <w:p>
      <w:pPr>
        <w:pStyle w:val="ListBullet"/>
        <w:spacing w:after="60"/>
        <w:ind w:left="432"/>
      </w:pPr>
      <w:r>
        <w:rPr>
          <w:b w:val="0"/>
          <w:i w:val="0"/>
          <w:color w:val="111827"/>
          <w:sz w:val="21"/>
          <w:u w:val="none"/>
        </w:rPr>
        <w:t>Health declaration — required for clinical credibility. A declared health app is more trustworthy than an undeclared one.</w:t>
      </w:r>
    </w:p>
    <w:p>
      <w:pPr>
        <w:pStyle w:val="ListBullet"/>
        <w:spacing w:after="60"/>
        <w:ind w:left="432"/>
      </w:pPr>
      <w:r>
        <w:rPr>
          <w:b w:val="0"/>
          <w:i w:val="0"/>
          <w:color w:val="111827"/>
          <w:sz w:val="21"/>
          <w:u w:val="none"/>
        </w:rPr>
        <w:t>18+ restriction — clinic patients are adults. No conflict.</w:t>
      </w:r>
    </w:p>
    <w:p>
      <w:pPr>
        <w:spacing w:after="120"/>
      </w:pPr>
      <w:r>
        <w:rPr>
          <w:b w:val="0"/>
          <w:i w:val="0"/>
          <w:color w:val="111827"/>
          <w:sz w:val="21"/>
          <w:u w:val="none"/>
        </w:rPr>
        <w:t>Pricing (unchanged from initial model):</w:t>
      </w:r>
    </w:p>
    <w:p>
      <w:pPr>
        <w:spacing w:after="60"/>
        <w:ind w:left="360"/>
      </w:pPr>
      <w:r>
        <w:rPr>
          <w:b/>
          <w:i w:val="0"/>
          <w:color w:val="0F9D77"/>
          <w:sz w:val="21"/>
          <w:u w:val="none"/>
        </w:rPr>
        <w:t xml:space="preserve">Starter (1–2 doctors): </w:t>
      </w:r>
      <w:r>
        <w:rPr>
          <w:b w:val="0"/>
          <w:i w:val="0"/>
          <w:color w:val="111827"/>
          <w:sz w:val="21"/>
          <w:u w:val="none"/>
        </w:rPr>
        <w:t>BDT 2,500/month — up to 200 active patients</w:t>
      </w:r>
    </w:p>
    <w:p>
      <w:pPr>
        <w:spacing w:after="60"/>
        <w:ind w:left="360"/>
      </w:pPr>
      <w:r>
        <w:rPr>
          <w:b/>
          <w:i w:val="0"/>
          <w:color w:val="0F9D77"/>
          <w:sz w:val="21"/>
          <w:u w:val="none"/>
        </w:rPr>
        <w:t xml:space="preserve">Growth (3–5 doctors): </w:t>
      </w:r>
      <w:r>
        <w:rPr>
          <w:b w:val="0"/>
          <w:i w:val="0"/>
          <w:color w:val="111827"/>
          <w:sz w:val="21"/>
          <w:u w:val="none"/>
        </w:rPr>
        <w:t>BDT 5,500/month — up to 600 active patients</w:t>
      </w:r>
    </w:p>
    <w:p>
      <w:pPr>
        <w:spacing w:after="60"/>
        <w:ind w:left="360"/>
      </w:pPr>
      <w:r>
        <w:rPr>
          <w:b/>
          <w:i w:val="0"/>
          <w:color w:val="0F9D77"/>
          <w:sz w:val="21"/>
          <w:u w:val="none"/>
        </w:rPr>
        <w:t xml:space="preserve">Enterprise (hospital): </w:t>
      </w:r>
      <w:r>
        <w:rPr>
          <w:b w:val="0"/>
          <w:i w:val="0"/>
          <w:color w:val="111827"/>
          <w:sz w:val="21"/>
          <w:u w:val="none"/>
        </w:rPr>
        <w:t>BDT 12,000–25,000/month — unlimited patients</w:t>
      </w:r>
    </w:p>
    <w:p>
      <w:pPr>
        <w:spacing w:after="60"/>
        <w:ind w:left="360"/>
      </w:pPr>
      <w:r>
        <w:rPr>
          <w:b/>
          <w:i w:val="0"/>
          <w:color w:val="0F9D77"/>
          <w:sz w:val="21"/>
          <w:u w:val="none"/>
        </w:rPr>
        <w:t xml:space="preserve">Year 1 target: </w:t>
      </w:r>
      <w:r>
        <w:rPr>
          <w:b w:val="0"/>
          <w:i w:val="0"/>
          <w:color w:val="111827"/>
          <w:sz w:val="21"/>
          <w:u w:val="none"/>
        </w:rPr>
        <w:t>50 clinics → BDT 6M revenue</w:t>
      </w:r>
    </w:p>
    <w:p>
      <w:pPr>
        <w:spacing w:after="60"/>
        <w:ind w:left="360"/>
      </w:pPr>
      <w:r>
        <w:rPr>
          <w:b/>
          <w:i w:val="0"/>
          <w:color w:val="0F9D77"/>
          <w:sz w:val="21"/>
          <w:u w:val="none"/>
        </w:rPr>
        <w:t xml:space="preserve">Year 2 target: </w:t>
      </w:r>
      <w:r>
        <w:rPr>
          <w:b w:val="0"/>
          <w:i w:val="0"/>
          <w:color w:val="111827"/>
          <w:sz w:val="21"/>
          <w:u w:val="none"/>
        </w:rPr>
        <w:t>200 clinics → BDT 28M revenue</w:t>
      </w:r>
    </w:p>
    <w:p>
      <w:pPr>
        <w:spacing w:before="200" w:after="40"/>
      </w:pPr>
      <w:r>
        <w:rPr>
          <w:b/>
          <w:i w:val="0"/>
          <w:color w:val="111827"/>
          <w:sz w:val="23"/>
          <w:u w:val="none"/>
        </w:rPr>
        <w:t>Stream 2 — B2C Premium Subscription  [SECONDARY, GROWING]</w:t>
      </w:r>
    </w:p>
    <w:p>
      <w:pPr>
        <w:spacing w:before="120" w:after="120"/>
        <w:ind w:left="288"/>
        <w:shd w:val="clear" w:color="auto" w:fill="DCFCE7"/>
      </w:pPr>
      <w:r>
        <w:rPr>
          <w:b w:val="0"/>
          <w:i/>
          <w:color w:val="111827"/>
          <w:sz w:val="20"/>
          <w:u w:val="none"/>
        </w:rPr>
        <w:t>Status: ✅ Fully valid · Medication reminders explicitly declared and approved</w:t>
      </w:r>
    </w:p>
    <w:p>
      <w:pPr>
        <w:spacing w:after="120"/>
      </w:pPr>
      <w:r>
        <w:rPr>
          <w:b w:val="0"/>
          <w:i w:val="0"/>
          <w:color w:val="111827"/>
          <w:sz w:val="21"/>
          <w:u w:val="none"/>
        </w:rPr>
        <w:t>The "Ads: No" declaration is actually your competitive advantage here. You can market Omra as: "The only health app in Bangladesh with no ads, no data selling, just your health." This resonates strongly with educated urban patients managing chronic disease.</w:t>
      </w:r>
    </w:p>
    <w:p>
      <w:pPr>
        <w:spacing w:after="120"/>
      </w:pPr>
      <w:r>
        <w:rPr>
          <w:b w:val="0"/>
          <w:i w:val="0"/>
          <w:color w:val="111827"/>
          <w:sz w:val="21"/>
          <w:u w:val="none"/>
        </w:rPr>
        <w:t>The Alarms declaration (Yes → Reminders) explicitly validates medication reminders as a core feature — this is the #1 reason patients pay for a premium health app.</w:t>
      </w:r>
    </w:p>
    <w:p>
      <w:pPr>
        <w:spacing w:after="120"/>
      </w:pPr>
      <w:r>
        <w:rPr>
          <w:b w:val="0"/>
          <w:i w:val="0"/>
          <w:color w:val="111827"/>
          <w:sz w:val="21"/>
          <w:u w:val="none"/>
        </w:rPr>
        <w:t>Free tier:</w:t>
      </w:r>
    </w:p>
    <w:p>
      <w:pPr>
        <w:pStyle w:val="ListBullet"/>
        <w:spacing w:after="60"/>
        <w:ind w:left="432"/>
      </w:pPr>
      <w:r>
        <w:rPr>
          <w:b w:val="0"/>
          <w:i w:val="0"/>
          <w:color w:val="111827"/>
          <w:sz w:val="21"/>
          <w:u w:val="none"/>
        </w:rPr>
        <w:t>Manual vitals log, 30-day history</w:t>
      </w:r>
    </w:p>
    <w:p>
      <w:pPr>
        <w:pStyle w:val="ListBullet"/>
        <w:spacing w:after="60"/>
        <w:ind w:left="432"/>
      </w:pPr>
      <w:r>
        <w:rPr>
          <w:b w:val="0"/>
          <w:i w:val="0"/>
          <w:color w:val="111827"/>
          <w:sz w:val="21"/>
          <w:u w:val="none"/>
        </w:rPr>
        <w:t>Medication reminders for up to 3 medicines (reminders are declared — use this prominently)</w:t>
      </w:r>
    </w:p>
    <w:p>
      <w:pPr>
        <w:pStyle w:val="ListBullet"/>
        <w:spacing w:after="60"/>
        <w:ind w:left="432"/>
      </w:pPr>
      <w:r>
        <w:rPr>
          <w:b w:val="0"/>
          <w:i w:val="0"/>
          <w:color w:val="111827"/>
          <w:sz w:val="21"/>
          <w:u w:val="none"/>
        </w:rPr>
        <w:t>1 family member connection</w:t>
      </w:r>
    </w:p>
    <w:p>
      <w:pPr>
        <w:pStyle w:val="ListBullet"/>
        <w:spacing w:after="60"/>
        <w:ind w:left="432"/>
      </w:pPr>
      <w:r>
        <w:rPr>
          <w:b w:val="0"/>
          <w:i w:val="0"/>
          <w:color w:val="111827"/>
          <w:sz w:val="21"/>
          <w:u w:val="none"/>
        </w:rPr>
        <w:t>Appointment booking view</w:t>
      </w:r>
    </w:p>
    <w:p>
      <w:pPr>
        <w:spacing w:after="120"/>
      </w:pPr>
      <w:r>
        <w:rPr>
          <w:b w:val="0"/>
          <w:i w:val="0"/>
          <w:color w:val="111827"/>
          <w:sz w:val="21"/>
          <w:u w:val="none"/>
        </w:rPr>
        <w:t>Premium tier — BDT 199/month or BDT 1,699/year:</w:t>
      </w:r>
    </w:p>
    <w:p>
      <w:pPr>
        <w:pStyle w:val="ListBullet"/>
        <w:spacing w:after="60"/>
        <w:ind w:left="432"/>
      </w:pPr>
      <w:r>
        <w:rPr>
          <w:b w:val="0"/>
          <w:i w:val="0"/>
          <w:color w:val="111827"/>
          <w:sz w:val="21"/>
          <w:u w:val="none"/>
        </w:rPr>
        <w:t>Unlimited vitals history + AI trend insights</w:t>
      </w:r>
    </w:p>
    <w:p>
      <w:pPr>
        <w:pStyle w:val="ListBullet"/>
        <w:spacing w:after="60"/>
        <w:ind w:left="432"/>
      </w:pPr>
      <w:r>
        <w:rPr>
          <w:b w:val="0"/>
          <w:i w:val="0"/>
          <w:color w:val="111827"/>
          <w:sz w:val="21"/>
          <w:u w:val="none"/>
        </w:rPr>
        <w:t>Unlimited medicines + refill alerts</w:t>
      </w:r>
    </w:p>
    <w:p>
      <w:pPr>
        <w:pStyle w:val="ListBullet"/>
        <w:spacing w:after="60"/>
        <w:ind w:left="432"/>
      </w:pPr>
      <w:r>
        <w:rPr>
          <w:b w:val="0"/>
          <w:i w:val="0"/>
          <w:color w:val="111827"/>
          <w:sz w:val="21"/>
          <w:u w:val="none"/>
        </w:rPr>
        <w:t>Up to 5 family member connections</w:t>
      </w:r>
    </w:p>
    <w:p>
      <w:pPr>
        <w:pStyle w:val="ListBullet"/>
        <w:spacing w:after="60"/>
        <w:ind w:left="432"/>
      </w:pPr>
      <w:r>
        <w:rPr>
          <w:b w:val="0"/>
          <w:i w:val="0"/>
          <w:color w:val="111827"/>
          <w:sz w:val="21"/>
          <w:u w:val="none"/>
        </w:rPr>
        <w:t>Prescription storage and one-tap sharing with doctor</w:t>
      </w:r>
    </w:p>
    <w:p>
      <w:pPr>
        <w:pStyle w:val="ListBullet"/>
        <w:spacing w:after="60"/>
        <w:ind w:left="432"/>
      </w:pPr>
      <w:r>
        <w:rPr>
          <w:b w:val="0"/>
          <w:i w:val="0"/>
          <w:color w:val="111827"/>
          <w:sz w:val="21"/>
          <w:u w:val="none"/>
        </w:rPr>
        <w:t>Monthly PDF health summary (shareable at hospital visits)</w:t>
      </w:r>
    </w:p>
    <w:p>
      <w:pPr>
        <w:pStyle w:val="ListBullet"/>
        <w:spacing w:after="60"/>
        <w:ind w:left="432"/>
      </w:pPr>
      <w:r>
        <w:rPr>
          <w:b w:val="0"/>
          <w:i w:val="0"/>
          <w:color w:val="111827"/>
          <w:sz w:val="21"/>
          <w:u w:val="none"/>
        </w:rPr>
        <w:t>Priority slots at partner clinics</w:t>
      </w:r>
    </w:p>
    <w:p>
      <w:pPr>
        <w:spacing w:after="120"/>
      </w:pPr>
      <w:r>
        <w:rPr>
          <w:b w:val="0"/>
          <w:i w:val="0"/>
          <w:color w:val="111827"/>
          <w:sz w:val="21"/>
          <w:u w:val="none"/>
        </w:rPr>
        <w:t>Family Plan — BDT 299/month:</w:t>
      </w:r>
    </w:p>
    <w:p>
      <w:pPr>
        <w:pStyle w:val="ListBullet"/>
        <w:spacing w:after="60"/>
        <w:ind w:left="432"/>
      </w:pPr>
      <w:r>
        <w:rPr>
          <w:b w:val="0"/>
          <w:i w:val="0"/>
          <w:color w:val="111827"/>
          <w:sz w:val="21"/>
          <w:u w:val="none"/>
        </w:rPr>
        <w:t>1 patient account + up to 4 family members monitoring remotely</w:t>
      </w:r>
    </w:p>
    <w:p>
      <w:pPr>
        <w:pStyle w:val="ListBullet"/>
        <w:spacing w:after="60"/>
        <w:ind w:left="432"/>
      </w:pPr>
      <w:r>
        <w:rPr>
          <w:b w:val="0"/>
          <w:i w:val="0"/>
          <w:color w:val="111827"/>
          <w:sz w:val="21"/>
          <w:u w:val="none"/>
        </w:rPr>
        <w:t>Culturally the strongest pitch: "Monitor your parents from Dhaka while they are in the village"</w:t>
      </w:r>
    </w:p>
    <w:p>
      <w:pPr>
        <w:pStyle w:val="ListBullet"/>
        <w:spacing w:after="60"/>
        <w:ind w:left="432"/>
      </w:pPr>
      <w:r>
        <w:rPr>
          <w:b w:val="0"/>
          <w:i w:val="0"/>
          <w:color w:val="111827"/>
          <w:sz w:val="21"/>
          <w:u w:val="none"/>
        </w:rPr>
        <w:t>18+ restriction is fine — the monitoring family member is an adult</w:t>
      </w:r>
    </w:p>
    <w:p>
      <w:pPr>
        <w:spacing w:after="60"/>
        <w:ind w:left="360"/>
      </w:pPr>
      <w:r>
        <w:rPr>
          <w:b/>
          <w:i w:val="0"/>
          <w:color w:val="0F9D77"/>
          <w:sz w:val="21"/>
          <w:u w:val="none"/>
        </w:rPr>
        <w:t xml:space="preserve">Payment method: </w:t>
      </w:r>
      <w:r>
        <w:rPr>
          <w:b w:val="0"/>
          <w:i w:val="0"/>
          <w:color w:val="111827"/>
          <w:sz w:val="21"/>
          <w:u w:val="none"/>
        </w:rPr>
        <w:t>bKash autopay, Nagad, debit card — NOT embedded financial products</w:t>
      </w:r>
    </w:p>
    <w:p>
      <w:pPr>
        <w:spacing w:after="60"/>
        <w:ind w:left="360"/>
      </w:pPr>
      <w:r>
        <w:rPr>
          <w:b/>
          <w:i w:val="0"/>
          <w:color w:val="0F9D77"/>
          <w:sz w:val="21"/>
          <w:u w:val="none"/>
        </w:rPr>
        <w:t xml:space="preserve">Year 2 target: </w:t>
      </w:r>
      <w:r>
        <w:rPr>
          <w:b w:val="0"/>
          <w:i w:val="0"/>
          <w:color w:val="111827"/>
          <w:sz w:val="21"/>
          <w:u w:val="none"/>
        </w:rPr>
        <w:t>10,000 premium subscribers → BDT 24M/year</w:t>
      </w:r>
    </w:p>
    <w:p>
      <w:pPr>
        <w:spacing w:before="200" w:after="40"/>
      </w:pPr>
      <w:r>
        <w:rPr>
          <w:b/>
          <w:i w:val="0"/>
          <w:color w:val="111827"/>
          <w:sz w:val="23"/>
          <w:u w:val="none"/>
        </w:rPr>
        <w:t>Stream 3 — Corporate Wellness  [MEDIUM TERM]</w:t>
      </w:r>
    </w:p>
    <w:p>
      <w:pPr>
        <w:spacing w:before="120" w:after="120"/>
        <w:ind w:left="288"/>
        <w:shd w:val="clear" w:color="auto" w:fill="DCFCE7"/>
      </w:pPr>
      <w:r>
        <w:rPr>
          <w:b w:val="0"/>
          <w:i/>
          <w:color w:val="111827"/>
          <w:sz w:val="20"/>
          <w:u w:val="none"/>
        </w:rPr>
        <w:t>Status: ✅ Valid · 18+ only restriction aligns perfectly with adult workforce</w:t>
      </w:r>
    </w:p>
    <w:p>
      <w:pPr>
        <w:spacing w:after="120"/>
      </w:pPr>
      <w:r>
        <w:rPr>
          <w:b w:val="0"/>
          <w:i w:val="0"/>
          <w:color w:val="111827"/>
          <w:sz w:val="21"/>
          <w:u w:val="none"/>
        </w:rPr>
        <w:t>Sell bulk employee licenses to RMG factories, banks, and telecom companies. The 18+ restriction is not a problem — you are targeting adult employees. The "no ads" declaration is a positive selling point for HR departments who do not want their employees exposed to advertising inside a wellness benefit.</w:t>
      </w:r>
    </w:p>
    <w:p>
      <w:pPr>
        <w:spacing w:after="60"/>
        <w:ind w:left="360"/>
      </w:pPr>
      <w:r>
        <w:rPr>
          <w:b/>
          <w:i w:val="0"/>
          <w:color w:val="0F9D77"/>
          <w:sz w:val="21"/>
          <w:u w:val="none"/>
        </w:rPr>
        <w:t xml:space="preserve">Pricing: </w:t>
      </w:r>
      <w:r>
        <w:rPr>
          <w:b w:val="0"/>
          <w:i w:val="0"/>
          <w:color w:val="111827"/>
          <w:sz w:val="21"/>
          <w:u w:val="none"/>
        </w:rPr>
        <w:t>BDT 80–120/employee/month (minimum 100 employees)</w:t>
      </w:r>
    </w:p>
    <w:p>
      <w:pPr>
        <w:spacing w:after="60"/>
        <w:ind w:left="360"/>
      </w:pPr>
      <w:r>
        <w:rPr>
          <w:b/>
          <w:i w:val="0"/>
          <w:color w:val="0F9D77"/>
          <w:sz w:val="21"/>
          <w:u w:val="none"/>
        </w:rPr>
        <w:t xml:space="preserve">Target: </w:t>
      </w:r>
      <w:r>
        <w:rPr>
          <w:b w:val="0"/>
          <w:i w:val="0"/>
          <w:color w:val="111827"/>
          <w:sz w:val="21"/>
          <w:u w:val="none"/>
        </w:rPr>
        <w:t>RMG factories, BGMEA members, Grameenphone, BRAC Bank, Dutch-Bangla Bank</w:t>
      </w:r>
    </w:p>
    <w:p>
      <w:pPr>
        <w:spacing w:after="60"/>
        <w:ind w:left="360"/>
      </w:pPr>
      <w:r>
        <w:rPr>
          <w:b/>
          <w:i w:val="0"/>
          <w:color w:val="0F9D77"/>
          <w:sz w:val="21"/>
          <w:u w:val="none"/>
        </w:rPr>
        <w:t xml:space="preserve">Year 2 target: </w:t>
      </w:r>
      <w:r>
        <w:rPr>
          <w:b w:val="0"/>
          <w:i w:val="0"/>
          <w:color w:val="111827"/>
          <w:sz w:val="21"/>
          <w:u w:val="none"/>
        </w:rPr>
        <w:t>5 corporate clients × 500 employees avg → BDT 3M/year</w:t>
      </w:r>
    </w:p>
    <w:p>
      <w:pPr>
        <w:spacing w:before="200" w:after="40"/>
      </w:pPr>
      <w:r>
        <w:rPr>
          <w:b/>
          <w:i w:val="0"/>
          <w:color w:val="111827"/>
          <w:sz w:val="23"/>
          <w:u w:val="none"/>
        </w:rPr>
        <w:t>Stream 4 — NGO and Government Program Licensing  [LONG TERM]</w:t>
      </w:r>
    </w:p>
    <w:p>
      <w:pPr>
        <w:spacing w:before="120" w:after="120"/>
        <w:ind w:left="288"/>
        <w:shd w:val="clear" w:color="auto" w:fill="DCFCE7"/>
      </w:pPr>
      <w:r>
        <w:rPr>
          <w:b w:val="0"/>
          <w:i/>
          <w:color w:val="111827"/>
          <w:sz w:val="20"/>
          <w:u w:val="none"/>
        </w:rPr>
        <w:t>Status: ✅ Valid · Data Safety and Health declarations strengthen credibility</w:t>
      </w:r>
    </w:p>
    <w:p>
      <w:pPr>
        <w:spacing w:after="120"/>
      </w:pPr>
      <w:r>
        <w:rPr>
          <w:b w:val="0"/>
          <w:i w:val="0"/>
          <w:color w:val="111827"/>
          <w:sz w:val="21"/>
          <w:u w:val="none"/>
        </w:rPr>
        <w:t>NGOs (BRAC Health, icddr,b, CARE) and the Ministry of Health need digital tools that handle health data responsibly. Your Data Safety and Health declarations prove you have already passed the Google compliance bar — this is documentation NGOs and government procurement teams will ask for.</w:t>
      </w:r>
    </w:p>
    <w:p>
      <w:pPr>
        <w:spacing w:after="60"/>
        <w:ind w:left="360"/>
      </w:pPr>
      <w:r>
        <w:rPr>
          <w:b/>
          <w:i w:val="0"/>
          <w:color w:val="0F9D77"/>
          <w:sz w:val="21"/>
          <w:u w:val="none"/>
        </w:rPr>
        <w:t xml:space="preserve">Revenue model: </w:t>
      </w:r>
      <w:r>
        <w:rPr>
          <w:b w:val="0"/>
          <w:i w:val="0"/>
          <w:color w:val="111827"/>
          <w:sz w:val="21"/>
          <w:u w:val="none"/>
        </w:rPr>
        <w:t>Per-beneficiary fee (BDT 30–60/patient/month) or fixed program contract</w:t>
      </w:r>
    </w:p>
    <w:p>
      <w:pPr>
        <w:spacing w:after="60"/>
        <w:ind w:left="360"/>
      </w:pPr>
      <w:r>
        <w:rPr>
          <w:b/>
          <w:i w:val="0"/>
          <w:color w:val="0F9D77"/>
          <w:sz w:val="21"/>
          <w:u w:val="none"/>
        </w:rPr>
        <w:t xml:space="preserve">Timeline: </w:t>
      </w:r>
      <w:r>
        <w:rPr>
          <w:b w:val="0"/>
          <w:i w:val="0"/>
          <w:color w:val="111827"/>
          <w:sz w:val="21"/>
          <w:u w:val="none"/>
        </w:rPr>
        <w:t>Month 18+ after clinic-led B2B establishes credibility</w:t>
      </w:r>
    </w:p>
    <w:p>
      <w:pPr>
        <w:spacing w:after="60"/>
        <w:ind w:left="360"/>
      </w:pPr>
      <w:r>
        <w:rPr>
          <w:b/>
          <w:i w:val="0"/>
          <w:color w:val="0F9D77"/>
          <w:sz w:val="21"/>
          <w:u w:val="none"/>
        </w:rPr>
        <w:t xml:space="preserve">Key asset: </w:t>
      </w:r>
      <w:r>
        <w:rPr>
          <w:b w:val="0"/>
          <w:i w:val="0"/>
          <w:color w:val="111827"/>
          <w:sz w:val="21"/>
          <w:u w:val="none"/>
        </w:rPr>
        <w:t>Your Play Store declarations serve as evidence of data compliance</w:t>
      </w:r>
    </w:p>
    <w:p>
      <w:pPr>
        <w:spacing w:before="200" w:after="40"/>
      </w:pPr>
      <w:r>
        <w:rPr>
          <w:b/>
          <w:i w:val="0"/>
          <w:color w:val="111827"/>
          <w:sz w:val="23"/>
          <w:u w:val="none"/>
        </w:rPr>
        <w:t>Stream 5 — External Referral Commissions  [SUPPLEMENTARY]</w:t>
      </w:r>
    </w:p>
    <w:p>
      <w:pPr>
        <w:spacing w:before="120" w:after="120"/>
        <w:ind w:left="288"/>
        <w:shd w:val="clear" w:color="auto" w:fill="DCFCE7"/>
      </w:pPr>
      <w:r>
        <w:rPr>
          <w:b w:val="0"/>
          <w:i/>
          <w:color w:val="111827"/>
          <w:sz w:val="20"/>
          <w:u w:val="none"/>
        </w:rPr>
        <w:t>Status: ✅ Valid — external referrals are fine · Financial features restriction does NOT apply to referral links</w:t>
      </w:r>
    </w:p>
    <w:p>
      <w:pPr>
        <w:spacing w:after="120"/>
      </w:pPr>
      <w:r>
        <w:rPr>
          <w:b w:val="0"/>
          <w:i w:val="0"/>
          <w:color w:val="111827"/>
          <w:sz w:val="21"/>
          <w:u w:val="none"/>
        </w:rPr>
        <w:t>The "Financial features: No" declaration blocks embedding financial products INSIDE the app. It does NOT block earning commissions when users tap a link and complete a transaction in an external app or website. You can earn referral fees from:</w:t>
      </w:r>
    </w:p>
    <w:p>
      <w:pPr>
        <w:pStyle w:val="ListBullet"/>
        <w:spacing w:after="60"/>
        <w:ind w:left="432"/>
      </w:pPr>
      <w:r>
        <w:rPr>
          <w:b w:val="0"/>
          <w:i w:val="0"/>
          <w:color w:val="111827"/>
          <w:sz w:val="21"/>
          <w:u w:val="none"/>
        </w:rPr>
        <w:t>Diagnostic labs (Popular, Ibn Sina, Delta) — earn BDT 50–150 per test booking</w:t>
      </w:r>
    </w:p>
    <w:p>
      <w:pPr>
        <w:pStyle w:val="ListBullet"/>
        <w:spacing w:after="60"/>
        <w:ind w:left="432"/>
      </w:pPr>
      <w:r>
        <w:rPr>
          <w:b w:val="0"/>
          <w:i w:val="0"/>
          <w:color w:val="111827"/>
          <w:sz w:val="21"/>
          <w:u w:val="none"/>
        </w:rPr>
        <w:t>Online pharmacies (Arogga, MedEasy) — earn commission on medicine orders</w:t>
      </w:r>
    </w:p>
    <w:p>
      <w:pPr>
        <w:pStyle w:val="ListBullet"/>
        <w:spacing w:after="60"/>
        <w:ind w:left="432"/>
      </w:pPr>
      <w:r>
        <w:rPr>
          <w:b w:val="0"/>
          <w:i w:val="0"/>
          <w:color w:val="111827"/>
          <w:sz w:val="21"/>
          <w:u w:val="none"/>
        </w:rPr>
        <w:t>Telemedicine platforms — earn referral fee per consultation booked</w:t>
      </w:r>
    </w:p>
    <w:p>
      <w:pPr>
        <w:pStyle w:val="ListBullet"/>
        <w:spacing w:after="60"/>
        <w:ind w:left="432"/>
      </w:pPr>
      <w:r>
        <w:rPr>
          <w:b w:val="0"/>
          <w:i w:val="0"/>
          <w:color w:val="111827"/>
          <w:sz w:val="21"/>
          <w:u w:val="none"/>
        </w:rPr>
        <w:t>Health insurance providers — link OUT to their website, earn affiliate commission</w:t>
      </w:r>
    </w:p>
    <w:p>
      <w:pPr>
        <w:spacing w:before="120" w:after="120"/>
        <w:ind w:left="288"/>
        <w:shd w:val="clear" w:color="auto" w:fill="FEF3C7"/>
      </w:pPr>
      <w:r>
        <w:rPr>
          <w:b w:val="0"/>
          <w:i/>
          <w:color w:val="111827"/>
          <w:sz w:val="20"/>
          <w:u w:val="none"/>
        </w:rPr>
        <w:t>⚠️  Important: The referral link must open the partner's own app or website. The actual transaction must complete OUTSIDE Omra. Do not process the payment inside the app or embed the partner's checkout — that would conflict with the Financial features: No declaration.</w:t>
      </w:r>
    </w:p>
    <w:p>
      <w:pPr>
        <w:spacing w:after="60"/>
        <w:ind w:left="360"/>
      </w:pPr>
      <w:r>
        <w:rPr>
          <w:b/>
          <w:i w:val="0"/>
          <w:color w:val="0F9D77"/>
          <w:sz w:val="21"/>
          <w:u w:val="none"/>
        </w:rPr>
        <w:t xml:space="preserve">Year 1 estimate: </w:t>
      </w:r>
      <w:r>
        <w:rPr>
          <w:b w:val="0"/>
          <w:i w:val="0"/>
          <w:color w:val="111827"/>
          <w:sz w:val="21"/>
          <w:u w:val="none"/>
        </w:rPr>
        <w:t>BDT 500K–1M from referral commissions at early scale</w:t>
      </w:r>
    </w:p>
    <w:p>
      <w:pPr>
        <w:spacing w:before="400" w:after="80"/>
        <w:pBdr>
          <w:bottom w:val="single" w:sz="12" w:space="4" w:color="0F9D77"/>
        </w:pBdr>
      </w:pPr>
      <w:r>
        <w:rPr>
          <w:b/>
          <w:i w:val="0"/>
          <w:color w:val="0F9D77"/>
          <w:sz w:val="28"/>
          <w:u w:val="none"/>
        </w:rPr>
        <w:t>3.  What the Declarations Block — And Why That Is a Strength</w:t>
      </w:r>
    </w:p>
    <w:p>
      <w:pPr>
        <w:spacing w:before="200" w:after="40"/>
      </w:pPr>
      <w:r>
        <w:rPr>
          <w:b/>
          <w:i w:val="0"/>
          <w:color w:val="111827"/>
          <w:sz w:val="23"/>
          <w:u w:val="none"/>
        </w:rPr>
        <w:t>Advertising Revenue — Blocked by "Ads: No"</w:t>
      </w:r>
    </w:p>
    <w:p>
      <w:pPr>
        <w:spacing w:after="120"/>
      </w:pPr>
      <w:r>
        <w:rPr>
          <w:b w:val="0"/>
          <w:i w:val="0"/>
          <w:color w:val="111827"/>
          <w:sz w:val="21"/>
          <w:u w:val="none"/>
        </w:rPr>
        <w:t>You cannot show banner ads, interstitial ads, sponsored listings, or any form of advertising inside Omra. Changing this requires re-declaring to Google Play and could trigger a policy review.</w:t>
      </w:r>
    </w:p>
    <w:p>
      <w:pPr>
        <w:spacing w:after="120"/>
      </w:pPr>
      <w:r>
        <w:rPr>
          <w:b w:val="0"/>
          <w:i w:val="0"/>
          <w:color w:val="111827"/>
          <w:sz w:val="21"/>
          <w:u w:val="none"/>
        </w:rPr>
        <w:t>Why this is actually good: Health app users in Bangladesh, like everywhere, deeply distrust apps that show health product ads. An ad for a diabetes medication appearing next to a patient's glucose reading would feel exploitative and destroy trust instantly. The "no ads" constraint forces a better, more defensible business model — and it becomes a marketing asset: "Omra: No ads. No data selling. Just your health."</w:t>
      </w:r>
    </w:p>
    <w:p>
      <w:pPr>
        <w:spacing w:before="200" w:after="40"/>
      </w:pPr>
      <w:r>
        <w:rPr>
          <w:b/>
          <w:i w:val="0"/>
          <w:color w:val="111827"/>
          <w:sz w:val="23"/>
          <w:u w:val="none"/>
        </w:rPr>
        <w:t>Embedded Financial / Insurance Products — Blocked by "Financial features: No"</w:t>
      </w:r>
    </w:p>
    <w:p>
      <w:pPr>
        <w:spacing w:after="120"/>
      </w:pPr>
      <w:r>
        <w:rPr>
          <w:b w:val="0"/>
          <w:i w:val="0"/>
          <w:color w:val="111827"/>
          <w:sz w:val="21"/>
          <w:u w:val="none"/>
        </w:rPr>
        <w:t>You cannot embed an insurance purchase flow, micro-loan application, or investment product directly inside the app. This blocks the "sell health insurance in-app" model that some healthtech companies use.</w:t>
      </w:r>
    </w:p>
    <w:p>
      <w:pPr>
        <w:spacing w:after="120"/>
      </w:pPr>
      <w:r>
        <w:rPr>
          <w:b w:val="0"/>
          <w:i w:val="0"/>
          <w:color w:val="111827"/>
          <w:sz w:val="21"/>
          <w:u w:val="none"/>
        </w:rPr>
        <w:t>Why this matters less than it seems: Bangladesh's health insurance market is nascent (less than 1% of the population has private health insurance). The opportunity was limited anyway. External referral links to insurance providers — which are still valid — capture most of the economic value without violating the declaration.</w:t>
      </w:r>
    </w:p>
    <w:p>
      <w:pPr>
        <w:spacing w:before="200" w:after="40"/>
      </w:pPr>
      <w:r>
        <w:rPr>
          <w:b/>
          <w:i w:val="0"/>
          <w:color w:val="111827"/>
          <w:sz w:val="23"/>
          <w:u w:val="none"/>
        </w:rPr>
        <w:t>Under-18 Users — Blocked by "18+ only"</w:t>
      </w:r>
    </w:p>
    <w:p>
      <w:pPr>
        <w:spacing w:after="120"/>
      </w:pPr>
      <w:r>
        <w:rPr>
          <w:b w:val="0"/>
          <w:i w:val="0"/>
          <w:color w:val="111827"/>
          <w:sz w:val="21"/>
          <w:u w:val="none"/>
        </w:rPr>
        <w:t>School health programs, youth wellness challenges, and paediatric patient monitoring for minor patients are not possible under the current target audience declaration.</w:t>
      </w:r>
    </w:p>
    <w:p>
      <w:pPr>
        <w:spacing w:after="120"/>
      </w:pPr>
      <w:r>
        <w:rPr>
          <w:b w:val="0"/>
          <w:i w:val="0"/>
          <w:color w:val="111827"/>
          <w:sz w:val="21"/>
          <w:u w:val="none"/>
        </w:rPr>
        <w:t>Why this is the right call for now: Your core users — chronic disease patients (diabetes, hypertension), their adult family members, and private-practice doctors — are all adults. Adding under-18 users would require separate parental consent flows, different data handling, and additional legal complexity. Staying 18+ keeps the product focused and legally clean at this stage.</w:t>
      </w:r>
    </w:p>
    <w:p>
      <w:pPr>
        <w:spacing w:before="400" w:after="80"/>
        <w:pBdr>
          <w:bottom w:val="single" w:sz="12" w:space="4" w:color="0F9D77"/>
        </w:pBdr>
      </w:pPr>
      <w:r>
        <w:rPr>
          <w:b/>
          <w:i w:val="0"/>
          <w:color w:val="0F9D77"/>
          <w:sz w:val="28"/>
          <w:u w:val="none"/>
        </w:rPr>
        <w:t>4.  Data Safety Declaration — What You Can and Cannot Do With Health Data</w:t>
      </w:r>
    </w:p>
    <w:p>
      <w:pPr>
        <w:spacing w:after="120"/>
      </w:pPr>
      <w:r>
        <w:rPr>
          <w:b w:val="0"/>
          <w:i w:val="0"/>
          <w:color w:val="111827"/>
          <w:sz w:val="21"/>
          <w:u w:val="none"/>
        </w:rPr>
        <w:t>Your Data Safety and Health declarations with Google Play create binding commitments about how you handle user health data. These directly constrain any data monetisation model.</w:t>
      </w:r>
    </w:p>
    <w:p>
      <w:pPr>
        <w:spacing w:before="120" w:after="120"/>
        <w:ind w:left="288"/>
        <w:shd w:val="clear" w:color="auto" w:fill="FEE2E2"/>
      </w:pPr>
      <w:r>
        <w:rPr>
          <w:b w:val="0"/>
          <w:i/>
          <w:color w:val="111827"/>
          <w:sz w:val="20"/>
          <w:u w:val="none"/>
        </w:rPr>
        <w:t>🚫  NOT ALLOWED: Selling individual patient health records, vitals data, or prescription histories to any third party. Sharing personally identifiable health data with pharmaceutical companies, advertisers, or data brokers. Using health data for purposes not declared in your Data Safety form.</w:t>
      </w:r>
    </w:p>
    <w:p>
      <w:pPr>
        <w:spacing w:before="120" w:after="120"/>
        <w:ind w:left="288"/>
        <w:shd w:val="clear" w:color="auto" w:fill="DCFCE7"/>
      </w:pPr>
      <w:r>
        <w:rPr>
          <w:b w:val="0"/>
          <w:i/>
          <w:color w:val="111827"/>
          <w:sz w:val="20"/>
          <w:u w:val="none"/>
        </w:rPr>
        <w:t>✅  ALLOWED (with proper consent flows): Sharing anonymised, aggregated population-level health trend data with research institutions or pharmaceutical companies — IF users explicitly opt in, the data is fully de-identified, and this use is disclosed in your privacy policy and Data Safety form.</w:t>
      </w:r>
    </w:p>
    <w:p>
      <w:pPr>
        <w:spacing w:after="120"/>
      </w:pPr>
      <w:r>
        <w:rPr>
          <w:b w:val="0"/>
          <w:i w:val="0"/>
          <w:color w:val="111827"/>
          <w:sz w:val="21"/>
          <w:u w:val="none"/>
        </w:rPr>
        <w:t>Practical data monetisation that is safe under your current declarations:</w:t>
      </w:r>
    </w:p>
    <w:p>
      <w:pPr>
        <w:pStyle w:val="ListBullet"/>
        <w:spacing w:after="60"/>
        <w:ind w:left="432"/>
      </w:pPr>
      <w:r>
        <w:rPr>
          <w:b w:val="0"/>
          <w:i w:val="0"/>
          <w:color w:val="111827"/>
          <w:sz w:val="21"/>
          <w:u w:val="none"/>
        </w:rPr>
        <w:t>Aggregate insights sold to public health researchers — fully anonymised, no individual attribution</w:t>
      </w:r>
    </w:p>
    <w:p>
      <w:pPr>
        <w:pStyle w:val="ListBullet"/>
        <w:spacing w:after="60"/>
        <w:ind w:left="432"/>
      </w:pPr>
      <w:r>
        <w:rPr>
          <w:b w:val="0"/>
          <w:i w:val="0"/>
          <w:color w:val="111827"/>
          <w:sz w:val="21"/>
          <w:u w:val="none"/>
        </w:rPr>
        <w:t>Anonymised medication adherence trends sold to pharma companies for market sizing — opt-in only</w:t>
      </w:r>
    </w:p>
    <w:p>
      <w:pPr>
        <w:pStyle w:val="ListBullet"/>
        <w:spacing w:after="60"/>
        <w:ind w:left="432"/>
      </w:pPr>
      <w:r>
        <w:rPr>
          <w:b w:val="0"/>
          <w:i w:val="0"/>
          <w:color w:val="111827"/>
          <w:sz w:val="21"/>
          <w:u w:val="none"/>
        </w:rPr>
        <w:t>Population-level vitals trend reports for government or NGO health planning</w:t>
      </w:r>
    </w:p>
    <w:p>
      <w:pPr>
        <w:pStyle w:val="ListBullet"/>
        <w:spacing w:after="60"/>
        <w:ind w:left="432"/>
      </w:pPr>
      <w:r>
        <w:rPr>
          <w:b w:val="0"/>
          <w:i w:val="0"/>
          <w:color w:val="111827"/>
          <w:sz w:val="21"/>
          <w:u w:val="none"/>
        </w:rPr>
        <w:t>Academic research partnerships where data is pseudonymised and controlled by a data-sharing agreement</w:t>
      </w:r>
    </w:p>
    <w:p>
      <w:pPr>
        <w:spacing w:after="120"/>
      </w:pPr>
      <w:r>
        <w:rPr>
          <w:b w:val="0"/>
          <w:i w:val="0"/>
          <w:color w:val="111827"/>
          <w:sz w:val="21"/>
          <w:u w:val="none"/>
        </w:rPr>
        <w:t>Bottom line: You cannot be a data broker. You can be a research partner — but only with explicit user consent, full anonymisation, and disclosure in your privacy policy.</w:t>
      </w:r>
    </w:p>
    <w:p>
      <w:pPr>
        <w:spacing w:before="400" w:after="80"/>
        <w:pBdr>
          <w:bottom w:val="single" w:sz="12" w:space="4" w:color="0F9D77"/>
        </w:pBdr>
      </w:pPr>
      <w:r>
        <w:rPr>
          <w:b/>
          <w:i w:val="0"/>
          <w:color w:val="0F9D77"/>
          <w:sz w:val="28"/>
          <w:u w:val="none"/>
        </w:rPr>
        <w:t>5.  Alarms Declaration: Yes → Reminders — A Premium Revenue Anchor</w:t>
      </w:r>
    </w:p>
    <w:p>
      <w:pPr>
        <w:spacing w:after="120"/>
      </w:pPr>
      <w:r>
        <w:rPr>
          <w:b w:val="0"/>
          <w:i w:val="0"/>
          <w:color w:val="111827"/>
          <w:sz w:val="21"/>
          <w:u w:val="none"/>
        </w:rPr>
        <w:t>Your Alarms declaration ("Yes → Reminders") is one of the most important policy settings for the business model. It explicitly validates medication reminders as a core declared feature. In Bangladesh's chronic disease context, this is enormous.</w:t>
      </w:r>
    </w:p>
    <w:p>
      <w:pPr>
        <w:spacing w:after="120"/>
      </w:pPr>
      <w:r>
        <w:rPr>
          <w:b w:val="0"/>
          <w:i w:val="0"/>
          <w:color w:val="111827"/>
          <w:sz w:val="21"/>
          <w:u w:val="none"/>
        </w:rPr>
        <w:t>Consider: A diabetic patient in Bangladesh takes 3–6 medicines per day, attends monthly clinic visits, and checks their glucose regularly. Missing a dose can mean a hospital admission. The declared medication reminder system is the single most compelling reason a patient or their family will pay for Premium.</w:t>
      </w:r>
    </w:p>
    <w:p>
      <w:pPr>
        <w:spacing w:after="120"/>
      </w:pPr>
      <w:r>
        <w:rPr>
          <w:b w:val="0"/>
          <w:i w:val="0"/>
          <w:color w:val="111827"/>
          <w:sz w:val="21"/>
          <w:u w:val="none"/>
        </w:rPr>
        <w:t>How to monetise this declared feature:</w:t>
      </w:r>
    </w:p>
    <w:p>
      <w:pPr>
        <w:pStyle w:val="ListBullet"/>
        <w:spacing w:after="60"/>
        <w:ind w:left="432"/>
      </w:pPr>
      <w:r>
        <w:rPr>
          <w:b w:val="0"/>
          <w:i w:val="0"/>
          <w:color w:val="111827"/>
          <w:sz w:val="21"/>
          <w:u w:val="none"/>
        </w:rPr>
        <w:t>Free tier: Reminders for up to 3 medicines (teaser — covers basic cases)</w:t>
      </w:r>
    </w:p>
    <w:p>
      <w:pPr>
        <w:pStyle w:val="ListBullet"/>
        <w:spacing w:after="60"/>
        <w:ind w:left="432"/>
      </w:pPr>
      <w:r>
        <w:rPr>
          <w:b w:val="0"/>
          <w:i w:val="0"/>
          <w:color w:val="111827"/>
          <w:sz w:val="21"/>
          <w:u w:val="none"/>
        </w:rPr>
        <w:t>Premium tier: Unlimited medicine reminders, refill alerts, missed-dose notifications to family members</w:t>
      </w:r>
    </w:p>
    <w:p>
      <w:pPr>
        <w:pStyle w:val="ListBullet"/>
        <w:spacing w:after="60"/>
        <w:ind w:left="432"/>
      </w:pPr>
      <w:r>
        <w:rPr>
          <w:b w:val="0"/>
          <w:i w:val="0"/>
          <w:color w:val="111827"/>
          <w:sz w:val="21"/>
          <w:u w:val="none"/>
        </w:rPr>
        <w:t>Clinic tier: Doctors receive alerts when a patient has missed doses 3+ days in a row</w:t>
      </w:r>
    </w:p>
    <w:p>
      <w:pPr>
        <w:pStyle w:val="ListBullet"/>
        <w:spacing w:after="60"/>
        <w:ind w:left="432"/>
      </w:pPr>
      <w:r>
        <w:rPr>
          <w:b w:val="0"/>
          <w:i w:val="0"/>
          <w:color w:val="111827"/>
          <w:sz w:val="21"/>
          <w:u w:val="none"/>
        </w:rPr>
        <w:t>Corporate tier: Aggregate adherence reports (anonymised) for employer wellness dashboards</w:t>
      </w:r>
    </w:p>
    <w:p>
      <w:pPr>
        <w:spacing w:before="120" w:after="120"/>
        <w:ind w:left="288"/>
        <w:shd w:val="clear" w:color="auto" w:fill="E8F5F1"/>
      </w:pPr>
      <w:r>
        <w:rPr>
          <w:b w:val="0"/>
          <w:i/>
          <w:color w:val="111827"/>
          <w:sz w:val="20"/>
          <w:u w:val="none"/>
        </w:rPr>
        <w:t>💡  The medication reminder system — already declared and approved by Google — is the clearest, most direct reason users will upgrade from free to Premium. Lead with this in all marketing. "Never miss a medicine again — and let your family know you took it."</w:t>
      </w:r>
    </w:p>
    <w:p>
      <w:pPr>
        <w:spacing w:before="400" w:after="80"/>
        <w:pBdr>
          <w:bottom w:val="single" w:sz="12" w:space="4" w:color="0F9D77"/>
        </w:pBdr>
      </w:pPr>
      <w:r>
        <w:rPr>
          <w:b/>
          <w:i w:val="0"/>
          <w:color w:val="0F9D77"/>
          <w:sz w:val="28"/>
          <w:u w:val="none"/>
        </w:rPr>
        <w:t>6.  Final Revenue Projection — Policy-Compliant Model</w:t>
      </w:r>
    </w:p>
    <w:p>
      <w:pPr>
        <w:spacing w:after="120"/>
      </w:pPr>
      <w:r>
        <w:rPr>
          <w:b w:val="0"/>
          <w:i w:val="0"/>
          <w:color w:val="111827"/>
          <w:sz w:val="21"/>
          <w:u w:val="none"/>
        </w:rPr>
        <w:t>All figures in BDT. All revenue streams confirmed valid under current Play Store declarations.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304"/>
            <w:shd w:val="clear" w:color="auto" w:fill="111827"/>
          </w:tcPr>
          <w:p>
            <w:r>
              <w:rPr>
                <w:b/>
                <w:color w:val="FFFFFF"/>
                <w:sz w:val="19"/>
              </w:rPr>
              <w:t>Revenue Stream</w:t>
            </w:r>
          </w:p>
        </w:tc>
        <w:tc>
          <w:tcPr>
            <w:tcW w:type="dxa" w:w="1584"/>
            <w:shd w:val="clear" w:color="auto" w:fill="111827"/>
          </w:tcPr>
          <w:p>
            <w:r>
              <w:rPr>
                <w:b/>
                <w:color w:val="FFFFFF"/>
                <w:sz w:val="19"/>
              </w:rPr>
              <w:t>Policy Status</w:t>
            </w:r>
          </w:p>
        </w:tc>
        <w:tc>
          <w:tcPr>
            <w:tcW w:type="dxa" w:w="1584"/>
            <w:shd w:val="clear" w:color="auto" w:fill="111827"/>
          </w:tcPr>
          <w:p>
            <w:r>
              <w:rPr>
                <w:b/>
                <w:color w:val="FFFFFF"/>
                <w:sz w:val="19"/>
              </w:rPr>
              <w:t>Year 1 (BDT)</w:t>
            </w:r>
          </w:p>
        </w:tc>
        <w:tc>
          <w:tcPr>
            <w:tcW w:type="dxa" w:w="1584"/>
            <w:shd w:val="clear" w:color="auto" w:fill="111827"/>
          </w:tcPr>
          <w:p>
            <w:r>
              <w:rPr>
                <w:b/>
                <w:color w:val="FFFFFF"/>
                <w:sz w:val="19"/>
              </w:rPr>
              <w:t>Year 2 (BDT)</w:t>
            </w:r>
          </w:p>
        </w:tc>
        <w:tc>
          <w:tcPr>
            <w:tcW w:type="dxa" w:w="1872"/>
            <w:shd w:val="clear" w:color="auto" w:fill="111827"/>
          </w:tcPr>
          <w:p>
            <w:r>
              <w:rPr>
                <w:b/>
                <w:color w:val="FFFFFF"/>
                <w:sz w:val="19"/>
              </w:rPr>
              <w:t>Year 3 (BDT)</w:t>
            </w:r>
          </w:p>
        </w:tc>
      </w:tr>
      <w:tr>
        <w:tc>
          <w:tcPr>
            <w:tcW w:type="dxa" w:w="2304"/>
            <w:shd w:val="clear" w:color="auto" w:fill="F2FAF7"/>
          </w:tcPr>
          <w:p>
            <w:r>
              <w:rPr>
                <w:color w:val="111827"/>
                <w:sz w:val="19"/>
              </w:rPr>
              <w:t>B2B Clinic SaaS</w:t>
            </w:r>
          </w:p>
        </w:tc>
        <w:tc>
          <w:tcPr>
            <w:tcW w:type="dxa" w:w="1584"/>
            <w:shd w:val="clear" w:color="auto" w:fill="F2FAF7"/>
          </w:tcPr>
          <w:p>
            <w:r>
              <w:rPr>
                <w:color w:val="111827"/>
                <w:sz w:val="19"/>
              </w:rPr>
              <w:t>✅ Valid</w:t>
            </w:r>
          </w:p>
        </w:tc>
        <w:tc>
          <w:tcPr>
            <w:tcW w:type="dxa" w:w="1584"/>
            <w:shd w:val="clear" w:color="auto" w:fill="F2FAF7"/>
          </w:tcPr>
          <w:p>
            <w:r>
              <w:rPr>
                <w:color w:val="111827"/>
                <w:sz w:val="19"/>
              </w:rPr>
              <w:t>6,000,000</w:t>
            </w:r>
          </w:p>
        </w:tc>
        <w:tc>
          <w:tcPr>
            <w:tcW w:type="dxa" w:w="1584"/>
            <w:shd w:val="clear" w:color="auto" w:fill="F2FAF7"/>
          </w:tcPr>
          <w:p>
            <w:r>
              <w:rPr>
                <w:color w:val="111827"/>
                <w:sz w:val="19"/>
              </w:rPr>
              <w:t>28,000,000</w:t>
            </w:r>
          </w:p>
        </w:tc>
        <w:tc>
          <w:tcPr>
            <w:tcW w:type="dxa" w:w="1872"/>
            <w:shd w:val="clear" w:color="auto" w:fill="F2FAF7"/>
          </w:tcPr>
          <w:p>
            <w:r>
              <w:rPr>
                <w:color w:val="111827"/>
                <w:sz w:val="19"/>
              </w:rPr>
              <w:t>75,000,000</w:t>
            </w:r>
          </w:p>
        </w:tc>
      </w:tr>
      <w:tr>
        <w:tc>
          <w:tcPr>
            <w:tcW w:type="dxa" w:w="2304"/>
          </w:tcPr>
          <w:p>
            <w:r>
              <w:rPr>
                <w:color w:val="111827"/>
                <w:sz w:val="19"/>
              </w:rPr>
              <w:t>B2C Premium (freemium)</w:t>
            </w:r>
          </w:p>
        </w:tc>
        <w:tc>
          <w:tcPr>
            <w:tcW w:type="dxa" w:w="1584"/>
          </w:tcPr>
          <w:p>
            <w:r>
              <w:rPr>
                <w:color w:val="111827"/>
                <w:sz w:val="19"/>
              </w:rPr>
              <w:t>✅ Valid</w:t>
            </w:r>
          </w:p>
        </w:tc>
        <w:tc>
          <w:tcPr>
            <w:tcW w:type="dxa" w:w="1584"/>
          </w:tcPr>
          <w:p>
            <w:r>
              <w:rPr>
                <w:color w:val="111827"/>
                <w:sz w:val="19"/>
              </w:rPr>
              <w:t>1,000,000</w:t>
            </w:r>
          </w:p>
        </w:tc>
        <w:tc>
          <w:tcPr>
            <w:tcW w:type="dxa" w:w="1584"/>
          </w:tcPr>
          <w:p>
            <w:r>
              <w:rPr>
                <w:color w:val="111827"/>
                <w:sz w:val="19"/>
              </w:rPr>
              <w:t>8,000,000</w:t>
            </w:r>
          </w:p>
        </w:tc>
        <w:tc>
          <w:tcPr>
            <w:tcW w:type="dxa" w:w="1872"/>
          </w:tcPr>
          <w:p>
            <w:r>
              <w:rPr>
                <w:color w:val="111827"/>
                <w:sz w:val="19"/>
              </w:rPr>
              <w:t>24,000,000</w:t>
            </w:r>
          </w:p>
        </w:tc>
      </w:tr>
      <w:tr>
        <w:tc>
          <w:tcPr>
            <w:tcW w:type="dxa" w:w="2304"/>
            <w:shd w:val="clear" w:color="auto" w:fill="F2FAF7"/>
          </w:tcPr>
          <w:p>
            <w:r>
              <w:rPr>
                <w:color w:val="111827"/>
                <w:sz w:val="19"/>
              </w:rPr>
              <w:t>Corporate Wellness</w:t>
            </w:r>
          </w:p>
        </w:tc>
        <w:tc>
          <w:tcPr>
            <w:tcW w:type="dxa" w:w="1584"/>
            <w:shd w:val="clear" w:color="auto" w:fill="F2FAF7"/>
          </w:tcPr>
          <w:p>
            <w:r>
              <w:rPr>
                <w:color w:val="111827"/>
                <w:sz w:val="19"/>
              </w:rPr>
              <w:t>✅ Valid</w:t>
            </w:r>
          </w:p>
        </w:tc>
        <w:tc>
          <w:tcPr>
            <w:tcW w:type="dxa" w:w="1584"/>
            <w:shd w:val="clear" w:color="auto" w:fill="F2FAF7"/>
          </w:tcPr>
          <w:p>
            <w:r>
              <w:rPr>
                <w:color w:val="111827"/>
                <w:sz w:val="19"/>
              </w:rPr>
              <w:t>500,000</w:t>
            </w:r>
          </w:p>
        </w:tc>
        <w:tc>
          <w:tcPr>
            <w:tcW w:type="dxa" w:w="1584"/>
            <w:shd w:val="clear" w:color="auto" w:fill="F2FAF7"/>
          </w:tcPr>
          <w:p>
            <w:r>
              <w:rPr>
                <w:color w:val="111827"/>
                <w:sz w:val="19"/>
              </w:rPr>
              <w:t>4,000,000</w:t>
            </w:r>
          </w:p>
        </w:tc>
        <w:tc>
          <w:tcPr>
            <w:tcW w:type="dxa" w:w="1872"/>
            <w:shd w:val="clear" w:color="auto" w:fill="F2FAF7"/>
          </w:tcPr>
          <w:p>
            <w:r>
              <w:rPr>
                <w:color w:val="111827"/>
                <w:sz w:val="19"/>
              </w:rPr>
              <w:t>15,000,000</w:t>
            </w:r>
          </w:p>
        </w:tc>
      </w:tr>
      <w:tr>
        <w:tc>
          <w:tcPr>
            <w:tcW w:type="dxa" w:w="2304"/>
          </w:tcPr>
          <w:p>
            <w:r>
              <w:rPr>
                <w:color w:val="111827"/>
                <w:sz w:val="19"/>
              </w:rPr>
              <w:t>External Referrals</w:t>
            </w:r>
          </w:p>
        </w:tc>
        <w:tc>
          <w:tcPr>
            <w:tcW w:type="dxa" w:w="1584"/>
          </w:tcPr>
          <w:p>
            <w:r>
              <w:rPr>
                <w:color w:val="111827"/>
                <w:sz w:val="19"/>
              </w:rPr>
              <w:t>✅ Valid</w:t>
            </w:r>
          </w:p>
        </w:tc>
        <w:tc>
          <w:tcPr>
            <w:tcW w:type="dxa" w:w="1584"/>
          </w:tcPr>
          <w:p>
            <w:r>
              <w:rPr>
                <w:color w:val="111827"/>
                <w:sz w:val="19"/>
              </w:rPr>
              <w:t>300,000</w:t>
            </w:r>
          </w:p>
        </w:tc>
        <w:tc>
          <w:tcPr>
            <w:tcW w:type="dxa" w:w="1584"/>
          </w:tcPr>
          <w:p>
            <w:r>
              <w:rPr>
                <w:color w:val="111827"/>
                <w:sz w:val="19"/>
              </w:rPr>
              <w:t>2,000,000</w:t>
            </w:r>
          </w:p>
        </w:tc>
        <w:tc>
          <w:tcPr>
            <w:tcW w:type="dxa" w:w="1872"/>
          </w:tcPr>
          <w:p>
            <w:r>
              <w:rPr>
                <w:color w:val="111827"/>
                <w:sz w:val="19"/>
              </w:rPr>
              <w:t>6,000,000</w:t>
            </w:r>
          </w:p>
        </w:tc>
      </w:tr>
      <w:tr>
        <w:tc>
          <w:tcPr>
            <w:tcW w:type="dxa" w:w="2304"/>
            <w:shd w:val="clear" w:color="auto" w:fill="F2FAF7"/>
          </w:tcPr>
          <w:p>
            <w:r>
              <w:rPr>
                <w:color w:val="111827"/>
                <w:sz w:val="19"/>
              </w:rPr>
              <w:t>NGO / Gov Licensing</w:t>
            </w:r>
          </w:p>
        </w:tc>
        <w:tc>
          <w:tcPr>
            <w:tcW w:type="dxa" w:w="1584"/>
            <w:shd w:val="clear" w:color="auto" w:fill="F2FAF7"/>
          </w:tcPr>
          <w:p>
            <w:r>
              <w:rPr>
                <w:color w:val="111827"/>
                <w:sz w:val="19"/>
              </w:rPr>
              <w:t>✅ Valid</w:t>
            </w:r>
          </w:p>
        </w:tc>
        <w:tc>
          <w:tcPr>
            <w:tcW w:type="dxa" w:w="1584"/>
            <w:shd w:val="clear" w:color="auto" w:fill="F2FAF7"/>
          </w:tcPr>
          <w:p>
            <w:r>
              <w:rPr>
                <w:color w:val="111827"/>
                <w:sz w:val="19"/>
              </w:rPr>
              <w:t>0</w:t>
            </w:r>
          </w:p>
        </w:tc>
        <w:tc>
          <w:tcPr>
            <w:tcW w:type="dxa" w:w="1584"/>
            <w:shd w:val="clear" w:color="auto" w:fill="F2FAF7"/>
          </w:tcPr>
          <w:p>
            <w:r>
              <w:rPr>
                <w:color w:val="111827"/>
                <w:sz w:val="19"/>
              </w:rPr>
              <w:t>2,000,000</w:t>
            </w:r>
          </w:p>
        </w:tc>
        <w:tc>
          <w:tcPr>
            <w:tcW w:type="dxa" w:w="1872"/>
            <w:shd w:val="clear" w:color="auto" w:fill="F2FAF7"/>
          </w:tcPr>
          <w:p>
            <w:r>
              <w:rPr>
                <w:color w:val="111827"/>
                <w:sz w:val="19"/>
              </w:rPr>
              <w:t>12,000,000</w:t>
            </w:r>
          </w:p>
        </w:tc>
      </w:tr>
      <w:tr>
        <w:tc>
          <w:tcPr>
            <w:tcW w:type="dxa" w:w="2304"/>
          </w:tcPr>
          <w:p>
            <w:r>
              <w:rPr>
                <w:color w:val="111827"/>
                <w:sz w:val="19"/>
              </w:rPr>
              <w:t>Advertising</w:t>
            </w:r>
          </w:p>
        </w:tc>
        <w:tc>
          <w:tcPr>
            <w:tcW w:type="dxa" w:w="1584"/>
          </w:tcPr>
          <w:p>
            <w:r>
              <w:rPr>
                <w:color w:val="111827"/>
                <w:sz w:val="19"/>
              </w:rPr>
              <w:t>🚫 BLOCKED</w:t>
            </w:r>
          </w:p>
        </w:tc>
        <w:tc>
          <w:tcPr>
            <w:tcW w:type="dxa" w:w="1584"/>
          </w:tcPr>
          <w:p>
            <w:r>
              <w:rPr>
                <w:color w:val="111827"/>
                <w:sz w:val="19"/>
              </w:rPr>
              <w:t>0</w:t>
            </w:r>
          </w:p>
        </w:tc>
        <w:tc>
          <w:tcPr>
            <w:tcW w:type="dxa" w:w="1584"/>
          </w:tcPr>
          <w:p>
            <w:r>
              <w:rPr>
                <w:color w:val="111827"/>
                <w:sz w:val="19"/>
              </w:rPr>
              <w:t>0</w:t>
            </w:r>
          </w:p>
        </w:tc>
        <w:tc>
          <w:tcPr>
            <w:tcW w:type="dxa" w:w="1872"/>
          </w:tcPr>
          <w:p>
            <w:r>
              <w:rPr>
                <w:color w:val="111827"/>
                <w:sz w:val="19"/>
              </w:rPr>
              <w:t>0</w:t>
            </w:r>
          </w:p>
        </w:tc>
      </w:tr>
      <w:tr>
        <w:tc>
          <w:tcPr>
            <w:tcW w:type="dxa" w:w="2304"/>
            <w:shd w:val="clear" w:color="auto" w:fill="F2FAF7"/>
          </w:tcPr>
          <w:p>
            <w:r>
              <w:rPr>
                <w:color w:val="111827"/>
                <w:sz w:val="19"/>
              </w:rPr>
              <w:t>In-app Insurance/Loans</w:t>
            </w:r>
          </w:p>
        </w:tc>
        <w:tc>
          <w:tcPr>
            <w:tcW w:type="dxa" w:w="1584"/>
            <w:shd w:val="clear" w:color="auto" w:fill="F2FAF7"/>
          </w:tcPr>
          <w:p>
            <w:r>
              <w:rPr>
                <w:color w:val="111827"/>
                <w:sz w:val="19"/>
              </w:rPr>
              <w:t>🚫 BLOCKED</w:t>
            </w:r>
          </w:p>
        </w:tc>
        <w:tc>
          <w:tcPr>
            <w:tcW w:type="dxa" w:w="1584"/>
            <w:shd w:val="clear" w:color="auto" w:fill="F2FAF7"/>
          </w:tcPr>
          <w:p>
            <w:r>
              <w:rPr>
                <w:color w:val="111827"/>
                <w:sz w:val="19"/>
              </w:rPr>
              <w:t>0</w:t>
            </w:r>
          </w:p>
        </w:tc>
        <w:tc>
          <w:tcPr>
            <w:tcW w:type="dxa" w:w="1584"/>
            <w:shd w:val="clear" w:color="auto" w:fill="F2FAF7"/>
          </w:tcPr>
          <w:p>
            <w:r>
              <w:rPr>
                <w:color w:val="111827"/>
                <w:sz w:val="19"/>
              </w:rPr>
              <w:t>0</w:t>
            </w:r>
          </w:p>
        </w:tc>
        <w:tc>
          <w:tcPr>
            <w:tcW w:type="dxa" w:w="1872"/>
            <w:shd w:val="clear" w:color="auto" w:fill="F2FAF7"/>
          </w:tcPr>
          <w:p>
            <w:r>
              <w:rPr>
                <w:color w:val="111827"/>
                <w:sz w:val="19"/>
              </w:rPr>
              <w:t>0</w:t>
            </w:r>
          </w:p>
        </w:tc>
      </w:tr>
      <w:tr>
        <w:tc>
          <w:tcPr>
            <w:tcW w:type="dxa" w:w="2304"/>
          </w:tcPr>
          <w:p>
            <w:r>
              <w:rPr>
                <w:color w:val="111827"/>
                <w:sz w:val="19"/>
              </w:rPr>
              <w:t>TOTAL</w:t>
            </w:r>
          </w:p>
        </w:tc>
        <w:tc>
          <w:tcPr>
            <w:tcW w:type="dxa" w:w="1584"/>
          </w:tcPr>
          <w:p>
            <w:r>
              <w:rPr>
                <w:color w:val="111827"/>
                <w:sz w:val="19"/>
              </w:rPr>
              <w:t>—</w:t>
            </w:r>
          </w:p>
        </w:tc>
        <w:tc>
          <w:tcPr>
            <w:tcW w:type="dxa" w:w="1584"/>
          </w:tcPr>
          <w:p>
            <w:r>
              <w:rPr>
                <w:color w:val="111827"/>
                <w:sz w:val="19"/>
              </w:rPr>
              <w:t>7,800,000</w:t>
            </w:r>
          </w:p>
        </w:tc>
        <w:tc>
          <w:tcPr>
            <w:tcW w:type="dxa" w:w="1584"/>
          </w:tcPr>
          <w:p>
            <w:r>
              <w:rPr>
                <w:color w:val="111827"/>
                <w:sz w:val="19"/>
              </w:rPr>
              <w:t>44,000,000</w:t>
            </w:r>
          </w:p>
        </w:tc>
        <w:tc>
          <w:tcPr>
            <w:tcW w:type="dxa" w:w="1872"/>
          </w:tcPr>
          <w:p>
            <w:r>
              <w:rPr>
                <w:color w:val="111827"/>
                <w:sz w:val="19"/>
              </w:rPr>
              <w:t>132,000,000</w:t>
            </w:r>
          </w:p>
        </w:tc>
      </w:tr>
    </w:tbl>
    <w:p/>
    <w:p>
      <w:pPr>
        <w:spacing w:after="60"/>
        <w:ind w:left="360"/>
      </w:pPr>
      <w:r>
        <w:rPr>
          <w:b/>
          <w:i w:val="0"/>
          <w:color w:val="0F9D77"/>
          <w:sz w:val="21"/>
          <w:u w:val="none"/>
        </w:rPr>
        <w:t xml:space="preserve">Year 1 Total: </w:t>
      </w:r>
      <w:r>
        <w:rPr>
          <w:b w:val="0"/>
          <w:i w:val="0"/>
          <w:color w:val="111827"/>
          <w:sz w:val="21"/>
          <w:u w:val="none"/>
        </w:rPr>
        <w:t>~BDT 7.8M  (~USD 65K)</w:t>
      </w:r>
    </w:p>
    <w:p>
      <w:pPr>
        <w:spacing w:after="60"/>
        <w:ind w:left="360"/>
      </w:pPr>
      <w:r>
        <w:rPr>
          <w:b/>
          <w:i w:val="0"/>
          <w:color w:val="0F9D77"/>
          <w:sz w:val="21"/>
          <w:u w:val="none"/>
        </w:rPr>
        <w:t xml:space="preserve">Year 2 Total: </w:t>
      </w:r>
      <w:r>
        <w:rPr>
          <w:b w:val="0"/>
          <w:i w:val="0"/>
          <w:color w:val="111827"/>
          <w:sz w:val="21"/>
          <w:u w:val="none"/>
        </w:rPr>
        <w:t>~BDT 44M   (~USD 370K)</w:t>
      </w:r>
    </w:p>
    <w:p>
      <w:pPr>
        <w:spacing w:after="60"/>
        <w:ind w:left="360"/>
      </w:pPr>
      <w:r>
        <w:rPr>
          <w:b/>
          <w:i w:val="0"/>
          <w:color w:val="0F9D77"/>
          <w:sz w:val="21"/>
          <w:u w:val="none"/>
        </w:rPr>
        <w:t xml:space="preserve">Year 3 Total: </w:t>
      </w:r>
      <w:r>
        <w:rPr>
          <w:b w:val="0"/>
          <w:i w:val="0"/>
          <w:color w:val="111827"/>
          <w:sz w:val="21"/>
          <w:u w:val="none"/>
        </w:rPr>
        <w:t>~BDT 132M  (~USD 1.1M)</w:t>
      </w:r>
    </w:p>
    <w:p>
      <w:pPr>
        <w:spacing w:before="120" w:after="120"/>
        <w:ind w:left="288"/>
        <w:shd w:val="clear" w:color="auto" w:fill="E8F5F1"/>
      </w:pPr>
      <w:r>
        <w:rPr>
          <w:b w:val="0"/>
          <w:i/>
          <w:color w:val="111827"/>
          <w:sz w:val="20"/>
          <w:u w:val="none"/>
        </w:rPr>
        <w:t>The ad-free, subscription-first, privacy-respecting model is not a limitation — it is the business model. Every successful health app at scale runs exactly this way. Your Play Store declarations have already committed you to the right path.</w:t>
      </w:r>
    </w:p>
    <w:p/>
    <w:p>
      <w:pPr>
        <w:spacing w:before="320"/>
        <w:pBdr>
          <w:bottom w:val="single" w:sz="6" w:space="4" w:color="E5E5E3"/>
        </w:pBdr>
      </w:pPr>
      <w:r>
        <w:rPr>
          <w:b/>
          <w:i w:val="0"/>
          <w:color w:val="6B7280"/>
          <w:sz w:val="18"/>
          <w:u w:val="none"/>
        </w:rPr>
        <w:t>Sources &amp; References</w:t>
      </w:r>
    </w:p>
    <w:p>
      <w:pPr>
        <w:spacing w:after="40"/>
        <w:ind w:left="288"/>
      </w:pPr>
      <w:r>
        <w:rPr>
          <w:b w:val="0"/>
          <w:i/>
          <w:color w:val="6B7280"/>
          <w:sz w:val="17"/>
          <w:u w:val="none"/>
        </w:rPr>
        <w:t>• Statista — Digital Health Bangladesh Market Forecast 2025–2029</w:t>
      </w:r>
    </w:p>
    <w:p>
      <w:pPr>
        <w:spacing w:after="40"/>
        <w:ind w:left="288"/>
      </w:pPr>
      <w:r>
        <w:rPr>
          <w:b w:val="0"/>
          <w:i/>
          <w:color w:val="6B7280"/>
          <w:sz w:val="17"/>
          <w:u w:val="none"/>
        </w:rPr>
        <w:t>• Statista — Digital Care Management Bangladesh 2024–2029 (CAGR 17.79%)</w:t>
      </w:r>
    </w:p>
    <w:p>
      <w:pPr>
        <w:spacing w:after="40"/>
        <w:ind w:left="288"/>
      </w:pPr>
      <w:r>
        <w:rPr>
          <w:b w:val="0"/>
          <w:i/>
          <w:color w:val="6B7280"/>
          <w:sz w:val="17"/>
          <w:u w:val="none"/>
        </w:rPr>
        <w:t>• TechCrunch — Maya raises USD 2.2M seed round, February 2021</w:t>
      </w:r>
    </w:p>
    <w:p>
      <w:pPr>
        <w:spacing w:after="40"/>
        <w:ind w:left="288"/>
      </w:pPr>
      <w:r>
        <w:rPr>
          <w:b w:val="0"/>
          <w:i/>
          <w:color w:val="6B7280"/>
          <w:sz w:val="17"/>
          <w:u w:val="none"/>
        </w:rPr>
        <w:t>• Future Startup — State of Telemedicine in Bangladesh</w:t>
      </w:r>
    </w:p>
    <w:p>
      <w:pPr>
        <w:spacing w:after="40"/>
        <w:ind w:left="288"/>
      </w:pPr>
      <w:r>
        <w:rPr>
          <w:b w:val="0"/>
          <w:i/>
          <w:color w:val="6B7280"/>
          <w:sz w:val="17"/>
          <w:u w:val="none"/>
        </w:rPr>
        <w:t>• BMC Public Health — Cost of diabetes and hypertension care in rural Bangladesh (2024)</w:t>
      </w:r>
    </w:p>
    <w:p>
      <w:pPr>
        <w:spacing w:after="40"/>
        <w:ind w:left="288"/>
      </w:pPr>
      <w:r>
        <w:rPr>
          <w:b w:val="0"/>
          <w:i/>
          <w:color w:val="6B7280"/>
          <w:sz w:val="17"/>
          <w:u w:val="none"/>
        </w:rPr>
        <w:t>• Springer Nature — Unmet healthcare needs and OOP payments in Bangladesh</w:t>
      </w:r>
    </w:p>
    <w:p>
      <w:pPr>
        <w:spacing w:after="40"/>
        <w:ind w:left="288"/>
      </w:pPr>
      <w:r>
        <w:rPr>
          <w:b w:val="0"/>
          <w:i/>
          <w:color w:val="6B7280"/>
          <w:sz w:val="17"/>
          <w:u w:val="none"/>
        </w:rPr>
        <w:t>• Tracxn — HealthTech Startups in Bangladesh, 2025</w:t>
      </w:r>
    </w:p>
    <w:p>
      <w:pPr>
        <w:spacing w:after="40"/>
        <w:ind w:left="288"/>
      </w:pPr>
      <w:r>
        <w:rPr>
          <w:b w:val="0"/>
          <w:i/>
          <w:color w:val="6B7280"/>
          <w:sz w:val="17"/>
          <w:u w:val="none"/>
        </w:rPr>
        <w:t>• HealthTech Opportunities in Bangladesh — Scribd Sector Analysis</w:t>
      </w:r>
    </w:p>
    <w:p>
      <w:pPr>
        <w:spacing w:after="40"/>
        <w:ind w:left="288"/>
      </w:pPr>
      <w:r>
        <w:rPr>
          <w:b w:val="0"/>
          <w:i/>
          <w:color w:val="6B7280"/>
          <w:sz w:val="17"/>
          <w:u w:val="none"/>
        </w:rPr>
        <w:t>• Google Play Console — Policy → App Content declarations (screenshot provided by app owner)</w:t>
      </w:r>
    </w:p>
    <w:p>
      <w:pPr>
        <w:spacing w:after="40"/>
        <w:ind w:left="288"/>
      </w:pPr>
      <w:r>
        <w:rPr>
          <w:b w:val="0"/>
          <w:i/>
          <w:color w:val="6B7280"/>
          <w:sz w:val="17"/>
          <w:u w:val="none"/>
        </w:rPr>
        <w:t>• Google Play Developer Policy Centre — Financial features definition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