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Near Me Connect Retainer Package and Task Template Design</w:t>
      </w:r>
    </w:p>
    <w:p>
      <w:pPr>
        <w:pStyle w:val="Heading2"/>
        <w:pStyle w:val="MdHeading2"/>
      </w:pPr>
      <w:r>
        <w:t xml:space="preserve">Strategic Recommendation</w:t>
      </w:r>
    </w:p>
    <w:p>
      <w:pPr>
        <w:pStyle w:val="MdParagraph"/>
      </w:pPr>
      <w:r>
        <w:t xml:space="preserve">Near Me Connect should evolve from a simple credit-bank system into a structured </w:t>
      </w:r>
      <w:r>
        <w:rPr>
          <w:rStyle w:val="MdStrong"/>
          <w:b/>
          <w:bCs/>
        </w:rPr>
        <w:t xml:space="preserve">retainer operating system</w:t>
      </w:r>
      <w:r>
        <w:t xml:space="preserve">. The portal should still track credits because credits are useful for internal capacity management, but each client should be sold and managed through a clear package, scope of work, service-track selection, recurring task plan, approval process, and reporting cadence.</w:t>
      </w:r>
    </w:p>
    <w:p>
      <w:pPr>
        <w:pStyle w:val="MdSpace"/>
        <w:spacing w:before="0" w:after="60"/>
      </w:pPr>
    </w:p>
    <w:p>
      <w:pPr>
        <w:pStyle w:val="MdParagraph"/>
      </w:pPr>
      <w:r>
        <w:t xml:space="preserve">The benchmark review supports this move. Comparable ongoing agency retainers commonly start around </w:t>
      </w:r>
      <w:r>
        <w:rPr>
          <w:rStyle w:val="MdStrong"/>
          <w:b/>
          <w:bCs/>
        </w:rPr>
        <w:t xml:space="preserve">$4,500–$5,000/month</w:t>
      </w:r>
      <w:r>
        <w:t xml:space="preserve"> and move upward based on HubSpot complexity, campaign volume, RevOps support, and content production. Roketto publishes inbound marketing retainers at </w:t>
      </w:r>
      <w:r>
        <w:rPr>
          <w:rStyle w:val="MdStrong"/>
          <w:b/>
          <w:bCs/>
        </w:rPr>
        <w:t xml:space="preserve">$5,000, $8,000, $13,000, and $20,000/month</w:t>
      </w:r>
      <w:r>
        <w:t xml:space="preserve"> with a separate launch plan starting at </w:t>
      </w:r>
      <w:r>
        <w:rPr>
          <w:rStyle w:val="MdStrong"/>
          <w:b/>
          <w:bCs/>
        </w:rPr>
        <w:t xml:space="preserve">$3,500</w:t>
      </w:r>
      <w:r>
        <w:t xml:space="preserve">.</w:t>
      </w:r>
      <w:hyperlink w:history="1" r:id="rIdl8o2megm-spo_mxm07pkq">
        <w:r>
          <w:rPr>
            <w:rStyle w:val="MdLink"/>
          </w:rPr>
          <w:t xml:space="preserve">1</w:t>
        </w:r>
      </w:hyperlink>
      <w:r>
        <w:t xml:space="preserve"> HIVE Strategy shows growth marketing retainers at </w:t>
      </w:r>
      <w:r>
        <w:rPr>
          <w:rStyle w:val="MdStrong"/>
          <w:b/>
          <w:bCs/>
        </w:rPr>
        <w:t xml:space="preserve">$5,000, $7,500, and $15,000/month</w:t>
      </w:r>
      <w:r>
        <w:t xml:space="preserve">, with average clients investing around </w:t>
      </w:r>
      <w:r>
        <w:rPr>
          <w:rStyle w:val="MdStrong"/>
          <w:b/>
          <w:bCs/>
        </w:rPr>
        <w:t xml:space="preserve">$7,500–$12,000/month</w:t>
      </w:r>
      <w:r>
        <w:t xml:space="preserve">.</w:t>
      </w:r>
      <w:hyperlink w:history="1" r:id="rIdecyj68__fn3fwmfc2pww1">
        <w:r>
          <w:rPr>
            <w:rStyle w:val="MdLink"/>
          </w:rPr>
          <w:t xml:space="preserve">2</w:t>
        </w:r>
      </w:hyperlink>
      <w:r>
        <w:t xml:space="preserve"> Denamico positions HubSpot performance partnerships at </w:t>
      </w:r>
      <w:r>
        <w:rPr>
          <w:rStyle w:val="MdStrong"/>
          <w:b/>
          <w:bCs/>
        </w:rPr>
        <w:t xml:space="preserve">$10,000, $14,000, and $18,000/month</w:t>
      </w:r>
      <w:r>
        <w:t xml:space="preserve">.</w:t>
      </w:r>
      <w:hyperlink w:history="1" r:id="rId7x8s_rh_ew_y5vc9pqvxb">
        <w:r>
          <w:rPr>
            <w:rStyle w:val="MdLink"/>
          </w:rPr>
          <w:t xml:space="preserve">3</w:t>
        </w:r>
      </w:hyperlink>
      <w:r>
        <w:t xml:space="preserve"> New Edge Growth lists outsourced HubSpot administration at </w:t>
      </w:r>
      <w:r>
        <w:rPr>
          <w:rStyle w:val="MdStrong"/>
          <w:b/>
          <w:bCs/>
        </w:rPr>
        <w:t xml:space="preserve">$8,000/month</w:t>
      </w:r>
      <w:r>
        <w:t xml:space="preserve"> and RevOps as a Service at </w:t>
      </w:r>
      <w:r>
        <w:rPr>
          <w:rStyle w:val="MdStrong"/>
          <w:b/>
          <w:bCs/>
        </w:rPr>
        <w:t xml:space="preserve">$20,000/month</w:t>
      </w:r>
      <w:r>
        <w:t xml:space="preserve">.</w:t>
      </w:r>
      <w:hyperlink w:history="1" r:id="rIdays2nbojadrqgfyac6kr1">
        <w:r>
          <w:rPr>
            <w:rStyle w:val="MdLink"/>
          </w:rPr>
          <w:t xml:space="preserve">4</w:t>
        </w:r>
      </w:hyperlink>
      <w:r>
        <w:t xml:space="preserve"> IMPACT frames inbound/full-service retainers at </w:t>
      </w:r>
      <w:r>
        <w:rPr>
          <w:rStyle w:val="MdStrong"/>
          <w:b/>
          <w:bCs/>
        </w:rPr>
        <w:t xml:space="preserve">$4,000–$15,000/month</w:t>
      </w:r>
      <w:r>
        <w:t xml:space="preserve"> and technical/RevOps support retainers at </w:t>
      </w:r>
      <w:r>
        <w:rPr>
          <w:rStyle w:val="MdStrong"/>
          <w:b/>
          <w:bCs/>
        </w:rPr>
        <w:t xml:space="preserve">$2,500–$10,000/month</w:t>
      </w:r>
      <w:r>
        <w:t xml:space="preserve">.</w:t>
      </w:r>
      <w:hyperlink w:history="1" r:id="rIdxtiflvz89-nrvyrhzce5t">
        <w:r>
          <w:rPr>
            <w:rStyle w:val="MdLink"/>
          </w:rPr>
          <w:t xml:space="preserve">5</w:t>
        </w:r>
      </w:hyperlink>
    </w:p>
    <w:p>
      <w:pPr>
        <w:pStyle w:val="MdSpace"/>
        <w:spacing w:before="0" w:after="60"/>
      </w:pPr>
    </w:p>
    <w:p>
      <w:pPr>
        <w:pStyle w:val="Heading2"/>
        <w:pStyle w:val="MdHeading2"/>
      </w:pPr>
      <w:r>
        <w:t xml:space="preserve">Recommended Retainer Architecture</w:t>
      </w:r>
    </w:p>
    <w:p>
      <w:pPr>
        <w:pStyle w:val="MdParagraph"/>
      </w:pPr>
      <w:r>
        <w:t xml:space="preserve">The current visible Near Me Connect plan names are </w:t>
      </w:r>
      <w:r>
        <w:rPr>
          <w:rStyle w:val="MdStrong"/>
          <w:b/>
          <w:bCs/>
        </w:rPr>
        <w:t xml:space="preserve">Essentials</w:t>
      </w:r>
      <w:r>
        <w:t xml:space="preserve">, </w:t>
      </w:r>
      <w:r>
        <w:rPr>
          <w:rStyle w:val="MdStrong"/>
          <w:b/>
          <w:bCs/>
        </w:rPr>
        <w:t xml:space="preserve">Growth</w:t>
      </w:r>
      <w:r>
        <w:t xml:space="preserve">, and </w:t>
      </w:r>
      <w:r>
        <w:rPr>
          <w:rStyle w:val="MdStrong"/>
          <w:b/>
          <w:bCs/>
        </w:rPr>
        <w:t xml:space="preserve">Accelerator</w:t>
      </w:r>
      <w:r>
        <w:t xml:space="preserve">. I recommend keeping these names only if the scope and price are tightened. If you want a more premium positioning, use </w:t>
      </w:r>
      <w:r>
        <w:rPr>
          <w:rStyle w:val="MdStrong"/>
          <w:b/>
          <w:bCs/>
        </w:rPr>
        <w:t xml:space="preserve">Launch</w:t>
      </w:r>
      <w:r>
        <w:t xml:space="preserve">, </w:t>
      </w:r>
      <w:r>
        <w:rPr>
          <w:rStyle w:val="MdStrong"/>
          <w:b/>
          <w:bCs/>
        </w:rPr>
        <w:t xml:space="preserve">Growth</w:t>
      </w:r>
      <w:r>
        <w:t xml:space="preserve">, </w:t>
      </w:r>
      <w:r>
        <w:rPr>
          <w:rStyle w:val="MdStrong"/>
          <w:b/>
          <w:bCs/>
        </w:rPr>
        <w:t xml:space="preserve">Scale</w:t>
      </w:r>
      <w:r>
        <w:t xml:space="preserve">, and </w:t>
      </w:r>
      <w:r>
        <w:rPr>
          <w:rStyle w:val="MdStrong"/>
          <w:b/>
          <w:bCs/>
        </w:rPr>
        <w:t xml:space="preserve">Accelerator</w:t>
      </w:r>
      <w:r>
        <w:t xml:space="preserve"> instead. This gives you a place for lower-priced setup/support without making the entry plan look like a full-service marketing retainer.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Recommended Package</w:t>
            </w:r>
          </w:p>
        </w:tc>
        <w:tc>
          <w:tcPr>
            <w:tcMar>
              <w:top w:type="dxa" w:w="100"/>
              <w:left w:type="dxa" w:w="120"/>
              <w:bottom w:type="dxa" w:w="100"/>
              <w:right w:type="dxa" w:w="120"/>
            </w:tcMar>
            <w:vAlign w:val="center"/>
          </w:tcPr>
          <w:p>
            <w:pPr>
              <w:pStyle w:val="MdTableHeader"/>
              <w:jc w:val="right"/>
            </w:pPr>
            <w:r>
              <w:t xml:space="preserve">Suggested Monthly Price</w:t>
            </w:r>
          </w:p>
        </w:tc>
        <w:tc>
          <w:tcPr>
            <w:tcMar>
              <w:top w:type="dxa" w:w="100"/>
              <w:left w:type="dxa" w:w="120"/>
              <w:bottom w:type="dxa" w:w="100"/>
              <w:right w:type="dxa" w:w="120"/>
            </w:tcMar>
            <w:vAlign w:val="center"/>
          </w:tcPr>
          <w:p>
            <w:pPr>
              <w:pStyle w:val="MdTableHeader"/>
              <w:jc w:val="right"/>
            </w:pPr>
            <w:r>
              <w:t xml:space="preserve">Internal Monthly Credits</w:t>
            </w:r>
          </w:p>
        </w:tc>
        <w:tc>
          <w:tcPr>
            <w:tcMar>
              <w:top w:type="dxa" w:w="100"/>
              <w:left w:type="dxa" w:w="120"/>
              <w:bottom w:type="dxa" w:w="100"/>
              <w:right w:type="dxa" w:w="120"/>
            </w:tcMar>
            <w:vAlign w:val="center"/>
          </w:tcPr>
          <w:p>
            <w:pPr>
              <w:pStyle w:val="MdTableHeader"/>
            </w:pPr>
            <w:r>
              <w:t xml:space="preserve">Best Fit</w:t>
            </w:r>
          </w:p>
        </w:tc>
        <w:tc>
          <w:tcPr>
            <w:tcBorders>
              <w:right w:val="none"/>
            </w:tcBorders>
            <w:tcMar>
              <w:top w:type="dxa" w:w="100"/>
              <w:left w:type="dxa" w:w="120"/>
              <w:bottom w:type="dxa" w:w="100"/>
              <w:right w:type="dxa" w:w="120"/>
            </w:tcMar>
            <w:vAlign w:val="center"/>
          </w:tcPr>
          <w:p>
            <w:pPr>
              <w:pStyle w:val="MdTableHeader"/>
            </w:pPr>
            <w:r>
              <w:t xml:space="preserve">Primary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Launch / Support</w:t>
            </w:r>
          </w:p>
        </w:tc>
        <w:tc>
          <w:tcPr>
            <w:tcMar>
              <w:top w:type="dxa" w:w="80"/>
              <w:left w:type="dxa" w:w="120"/>
              <w:bottom w:type="dxa" w:w="80"/>
              <w:right w:type="dxa" w:w="120"/>
            </w:tcMar>
            <w:vAlign w:val="center"/>
          </w:tcPr>
          <w:p>
            <w:pPr>
              <w:pStyle w:val="MdTableCell"/>
              <w:jc w:val="right"/>
            </w:pPr>
            <w:r>
              <w:t xml:space="preserve">$2,500–$3,500</w:t>
            </w:r>
          </w:p>
        </w:tc>
        <w:tc>
          <w:tcPr>
            <w:tcMar>
              <w:top w:type="dxa" w:w="80"/>
              <w:left w:type="dxa" w:w="120"/>
              <w:bottom w:type="dxa" w:w="80"/>
              <w:right w:type="dxa" w:w="120"/>
            </w:tcMar>
            <w:vAlign w:val="center"/>
          </w:tcPr>
          <w:p>
            <w:pPr>
              <w:pStyle w:val="MdTableCell"/>
              <w:jc w:val="right"/>
            </w:pPr>
            <w:r>
              <w:t xml:space="preserve">20–25</w:t>
            </w:r>
          </w:p>
        </w:tc>
        <w:tc>
          <w:tcPr>
            <w:tcMar>
              <w:top w:type="dxa" w:w="80"/>
              <w:left w:type="dxa" w:w="120"/>
              <w:bottom w:type="dxa" w:w="80"/>
              <w:right w:type="dxa" w:w="120"/>
            </w:tcMar>
            <w:vAlign w:val="center"/>
          </w:tcPr>
          <w:p>
            <w:pPr>
              <w:pStyle w:val="MdTableCell"/>
            </w:pPr>
            <w:r>
              <w:t xml:space="preserve">Existing clients needing light support, maintenance, and limited monthly execution</w:t>
            </w:r>
          </w:p>
        </w:tc>
        <w:tc>
          <w:tcPr>
            <w:tcBorders>
              <w:right w:val="none"/>
            </w:tcBorders>
            <w:tcMar>
              <w:top w:type="dxa" w:w="80"/>
              <w:left w:type="dxa" w:w="120"/>
              <w:bottom w:type="dxa" w:w="80"/>
              <w:right w:type="dxa" w:w="120"/>
            </w:tcMar>
            <w:vAlign w:val="center"/>
          </w:tcPr>
          <w:p>
            <w:pPr>
              <w:pStyle w:val="MdTableCell"/>
            </w:pPr>
            <w:r>
              <w:t xml:space="preserve">Keep systems maintained and basic visibility active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Growth</w:t>
            </w:r>
          </w:p>
        </w:tc>
        <w:tc>
          <w:tcPr>
            <w:tcMar>
              <w:top w:type="dxa" w:w="80"/>
              <w:left w:type="dxa" w:w="120"/>
              <w:bottom w:type="dxa" w:w="80"/>
              <w:right w:type="dxa" w:w="120"/>
            </w:tcMar>
            <w:vAlign w:val="center"/>
          </w:tcPr>
          <w:p>
            <w:pPr>
              <w:pStyle w:val="MdTableCell"/>
              <w:jc w:val="right"/>
            </w:pPr>
            <w:r>
              <w:t xml:space="preserve">$5,000–$7,500</w:t>
            </w:r>
          </w:p>
        </w:tc>
        <w:tc>
          <w:tcPr>
            <w:tcMar>
              <w:top w:type="dxa" w:w="80"/>
              <w:left w:type="dxa" w:w="120"/>
              <w:bottom w:type="dxa" w:w="80"/>
              <w:right w:type="dxa" w:w="120"/>
            </w:tcMar>
            <w:vAlign w:val="center"/>
          </w:tcPr>
          <w:p>
            <w:pPr>
              <w:pStyle w:val="MdTableCell"/>
              <w:jc w:val="right"/>
            </w:pPr>
            <w:r>
              <w:t xml:space="preserve">40–50</w:t>
            </w:r>
          </w:p>
        </w:tc>
        <w:tc>
          <w:tcPr>
            <w:tcMar>
              <w:top w:type="dxa" w:w="80"/>
              <w:left w:type="dxa" w:w="120"/>
              <w:bottom w:type="dxa" w:w="80"/>
              <w:right w:type="dxa" w:w="120"/>
            </w:tcMar>
            <w:vAlign w:val="center"/>
          </w:tcPr>
          <w:p>
            <w:pPr>
              <w:pStyle w:val="MdTableCell"/>
            </w:pPr>
            <w:r>
              <w:t xml:space="preserve">Clients needing consistent content, local SEO, reporting, and campaign support</w:t>
            </w:r>
          </w:p>
        </w:tc>
        <w:tc>
          <w:tcPr>
            <w:tcBorders>
              <w:right w:val="none"/>
            </w:tcBorders>
            <w:tcMar>
              <w:top w:type="dxa" w:w="80"/>
              <w:left w:type="dxa" w:w="120"/>
              <w:bottom w:type="dxa" w:w="80"/>
              <w:right w:type="dxa" w:w="120"/>
            </w:tcMar>
            <w:vAlign w:val="center"/>
          </w:tcPr>
          <w:p>
            <w:pPr>
              <w:pStyle w:val="MdTableCell"/>
            </w:pPr>
            <w:r>
              <w:t xml:space="preserve">Build a predictable monthly marketing engine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Scale</w:t>
            </w:r>
          </w:p>
        </w:tc>
        <w:tc>
          <w:tcPr>
            <w:tcMar>
              <w:top w:type="dxa" w:w="80"/>
              <w:left w:type="dxa" w:w="120"/>
              <w:bottom w:type="dxa" w:w="80"/>
              <w:right w:type="dxa" w:w="120"/>
            </w:tcMar>
            <w:vAlign w:val="center"/>
          </w:tcPr>
          <w:p>
            <w:pPr>
              <w:pStyle w:val="MdTableCell"/>
              <w:jc w:val="right"/>
            </w:pPr>
            <w:r>
              <w:t xml:space="preserve">$8,000–$12,000</w:t>
            </w:r>
          </w:p>
        </w:tc>
        <w:tc>
          <w:tcPr>
            <w:tcMar>
              <w:top w:type="dxa" w:w="80"/>
              <w:left w:type="dxa" w:w="120"/>
              <w:bottom w:type="dxa" w:w="80"/>
              <w:right w:type="dxa" w:w="120"/>
            </w:tcMar>
            <w:vAlign w:val="center"/>
          </w:tcPr>
          <w:p>
            <w:pPr>
              <w:pStyle w:val="MdTableCell"/>
              <w:jc w:val="right"/>
            </w:pPr>
            <w:r>
              <w:t xml:space="preserve">60–75</w:t>
            </w:r>
          </w:p>
        </w:tc>
        <w:tc>
          <w:tcPr>
            <w:tcMar>
              <w:top w:type="dxa" w:w="80"/>
              <w:left w:type="dxa" w:w="120"/>
              <w:bottom w:type="dxa" w:w="80"/>
              <w:right w:type="dxa" w:w="120"/>
            </w:tcMar>
            <w:vAlign w:val="center"/>
          </w:tcPr>
          <w:p>
            <w:pPr>
              <w:pStyle w:val="MdTableCell"/>
            </w:pPr>
            <w:r>
              <w:t xml:space="preserve">Clients needing multiple service tracks, campaigns, HubSpot, SEO, and content volume</w:t>
            </w:r>
          </w:p>
        </w:tc>
        <w:tc>
          <w:tcPr>
            <w:tcBorders>
              <w:right w:val="none"/>
            </w:tcBorders>
            <w:tcMar>
              <w:top w:type="dxa" w:w="80"/>
              <w:left w:type="dxa" w:w="120"/>
              <w:bottom w:type="dxa" w:w="80"/>
              <w:right w:type="dxa" w:w="120"/>
            </w:tcMar>
            <w:vAlign w:val="center"/>
          </w:tcPr>
          <w:p>
            <w:pPr>
              <w:pStyle w:val="MdTableCell"/>
            </w:pPr>
            <w:r>
              <w:t xml:space="preserve">Drive multi-channel growth with structured campaign execution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Accelerator</w:t>
            </w:r>
          </w:p>
        </w:tc>
        <w:tc>
          <w:tcPr>
            <w:tcBorders>
              <w:bottom w:val="single" w:color="E1E4E8" w:sz="4"/>
            </w:tcBorders>
            <w:tcMar>
              <w:top w:type="dxa" w:w="80"/>
              <w:left w:type="dxa" w:w="120"/>
              <w:bottom w:type="dxa" w:w="80"/>
              <w:right w:type="dxa" w:w="120"/>
            </w:tcMar>
            <w:vAlign w:val="center"/>
          </w:tcPr>
          <w:p>
            <w:pPr>
              <w:pStyle w:val="MdTableCell"/>
              <w:jc w:val="right"/>
            </w:pPr>
            <w:r>
              <w:t xml:space="preserve">$13,000–$18,000+</w:t>
            </w:r>
          </w:p>
        </w:tc>
        <w:tc>
          <w:tcPr>
            <w:tcBorders>
              <w:bottom w:val="single" w:color="E1E4E8" w:sz="4"/>
            </w:tcBorders>
            <w:tcMar>
              <w:top w:type="dxa" w:w="80"/>
              <w:left w:type="dxa" w:w="120"/>
              <w:bottom w:type="dxa" w:w="80"/>
              <w:right w:type="dxa" w:w="120"/>
            </w:tcMar>
            <w:vAlign w:val="center"/>
          </w:tcPr>
          <w:p>
            <w:pPr>
              <w:pStyle w:val="MdTableCell"/>
              <w:jc w:val="right"/>
            </w:pPr>
            <w:r>
              <w:t xml:space="preserve">90–120</w:t>
            </w:r>
          </w:p>
        </w:tc>
        <w:tc>
          <w:tcPr>
            <w:tcBorders>
              <w:bottom w:val="single" w:color="E1E4E8" w:sz="4"/>
            </w:tcBorders>
            <w:tcMar>
              <w:top w:type="dxa" w:w="80"/>
              <w:left w:type="dxa" w:w="120"/>
              <w:bottom w:type="dxa" w:w="80"/>
              <w:right w:type="dxa" w:w="120"/>
            </w:tcMar>
            <w:vAlign w:val="center"/>
          </w:tcPr>
          <w:p>
            <w:pPr>
              <w:pStyle w:val="MdTableCell"/>
            </w:pPr>
            <w:r>
              <w:t xml:space="preserve">Clients needing full-service execution, RevOps/HubSpot depth, landing pages, campaigns, and weekly management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Operate as an outsourced growth department</w:t>
            </w:r>
          </w:p>
        </w:tc>
      </w:tr>
    </w:tbl>
    <w:p>
      <w:pPr>
        <w:pStyle w:val="MdParagraph"/>
      </w:pPr>
      <w:r>
        <w:t xml:space="preserve">The most important shift is that the </w:t>
      </w:r>
      <w:r>
        <w:rPr>
          <w:rStyle w:val="MdStrong"/>
          <w:b/>
          <w:bCs/>
        </w:rPr>
        <w:t xml:space="preserve">monthly price should not be a direct credit equation</w:t>
      </w:r>
      <w:r>
        <w:t xml:space="preserve">. Credits should represent internal capacity, while pricing should also account for account management, strategic planning, communication, revisions, quality assurance, reporting, tooling, creative direction, and risk. If credits are treated like hours, the portal should still have a blended internal credit-rate assumption, but the retainer should be sold as an outcome-based operating system.</w:t>
      </w:r>
    </w:p>
    <w:p>
      <w:pPr>
        <w:pStyle w:val="MdSpace"/>
        <w:spacing w:before="0" w:after="60"/>
      </w:pPr>
    </w:p>
    <w:p>
      <w:pPr>
        <w:pStyle w:val="Heading2"/>
        <w:pStyle w:val="MdHeading2"/>
      </w:pPr>
      <w:r>
        <w:t xml:space="preserve">Required One-Time Setup Packages</w:t>
      </w:r>
    </w:p>
    <w:p>
      <w:pPr>
        <w:pStyle w:val="MdParagraph"/>
      </w:pPr>
      <w:r>
        <w:t xml:space="preserve">The current portal includes many 0-credit setup deliverables, such as HubSpot custom properties, theme selection, list upload, tracking setup, ads account connection, users/email/calendar setup, social media setup, website/hosting setup, training, and prospecting-agent setup. These should not live inside monthly credits without structure. They should become one-time onboarding templates.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Setup Package</w:t>
            </w:r>
          </w:p>
        </w:tc>
        <w:tc>
          <w:tcPr>
            <w:tcMar>
              <w:top w:type="dxa" w:w="100"/>
              <w:left w:type="dxa" w:w="120"/>
              <w:bottom w:type="dxa" w:w="100"/>
              <w:right w:type="dxa" w:w="120"/>
            </w:tcMar>
            <w:vAlign w:val="center"/>
          </w:tcPr>
          <w:p>
            <w:pPr>
              <w:pStyle w:val="MdTableHeader"/>
              <w:jc w:val="right"/>
            </w:pPr>
            <w:r>
              <w:t xml:space="preserve">Suggested Price</w:t>
            </w:r>
          </w:p>
        </w:tc>
        <w:tc>
          <w:tcPr>
            <w:tcMar>
              <w:top w:type="dxa" w:w="100"/>
              <w:left w:type="dxa" w:w="120"/>
              <w:bottom w:type="dxa" w:w="100"/>
              <w:right w:type="dxa" w:w="120"/>
            </w:tcMar>
            <w:vAlign w:val="center"/>
          </w:tcPr>
          <w:p>
            <w:pPr>
              <w:pStyle w:val="MdTableHeader"/>
            </w:pPr>
            <w:r>
              <w:t xml:space="preserve">When Used</w:t>
            </w:r>
          </w:p>
        </w:tc>
        <w:tc>
          <w:tcPr>
            <w:tcBorders>
              <w:right w:val="none"/>
            </w:tcBorders>
            <w:tcMar>
              <w:top w:type="dxa" w:w="100"/>
              <w:left w:type="dxa" w:w="120"/>
              <w:bottom w:type="dxa" w:w="100"/>
              <w:right w:type="dxa" w:w="120"/>
            </w:tcMar>
            <w:vAlign w:val="center"/>
          </w:tcPr>
          <w:p>
            <w:pPr>
              <w:pStyle w:val="MdTableHeader"/>
            </w:pPr>
            <w:r>
              <w:t xml:space="preserve">Default Task Groups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Client Launch Setup</w:t>
            </w:r>
          </w:p>
        </w:tc>
        <w:tc>
          <w:tcPr>
            <w:tcMar>
              <w:top w:type="dxa" w:w="80"/>
              <w:left w:type="dxa" w:w="120"/>
              <w:bottom w:type="dxa" w:w="80"/>
              <w:right w:type="dxa" w:w="120"/>
            </w:tcMar>
            <w:vAlign w:val="center"/>
          </w:tcPr>
          <w:p>
            <w:pPr>
              <w:pStyle w:val="MdTableCell"/>
              <w:jc w:val="right"/>
            </w:pPr>
            <w:r>
              <w:t xml:space="preserve">$2,500–$3,500</w:t>
            </w:r>
          </w:p>
        </w:tc>
        <w:tc>
          <w:tcPr>
            <w:tcMar>
              <w:top w:type="dxa" w:w="80"/>
              <w:left w:type="dxa" w:w="120"/>
              <w:bottom w:type="dxa" w:w="80"/>
              <w:right w:type="dxa" w:w="120"/>
            </w:tcMar>
            <w:vAlign w:val="center"/>
          </w:tcPr>
          <w:p>
            <w:pPr>
              <w:pStyle w:val="MdTableCell"/>
            </w:pPr>
            <w:r>
              <w:t xml:space="preserve">Every new retainer client</w:t>
            </w:r>
          </w:p>
        </w:tc>
        <w:tc>
          <w:tcPr>
            <w:tcBorders>
              <w:right w:val="none"/>
            </w:tcBorders>
            <w:tcMar>
              <w:top w:type="dxa" w:w="80"/>
              <w:left w:type="dxa" w:w="120"/>
              <w:bottom w:type="dxa" w:w="80"/>
              <w:right w:type="dxa" w:w="120"/>
            </w:tcMar>
            <w:vAlign w:val="center"/>
          </w:tcPr>
          <w:p>
            <w:pPr>
              <w:pStyle w:val="MdTableCell"/>
            </w:pPr>
            <w:r>
              <w:t xml:space="preserve">Intake, client profile, SharePoint folder, brand kit, access collection, portal setup, reporting baseline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 Quick Start</w:t>
            </w:r>
          </w:p>
        </w:tc>
        <w:tc>
          <w:tcPr>
            <w:tcMar>
              <w:top w:type="dxa" w:w="80"/>
              <w:left w:type="dxa" w:w="120"/>
              <w:bottom w:type="dxa" w:w="80"/>
              <w:right w:type="dxa" w:w="120"/>
            </w:tcMar>
            <w:vAlign w:val="center"/>
          </w:tcPr>
          <w:p>
            <w:pPr>
              <w:pStyle w:val="MdTableCell"/>
              <w:jc w:val="right"/>
            </w:pPr>
            <w:r>
              <w:t xml:space="preserve">$3,000–$6,000</w:t>
            </w:r>
          </w:p>
        </w:tc>
        <w:tc>
          <w:tcPr>
            <w:tcMar>
              <w:top w:type="dxa" w:w="80"/>
              <w:left w:type="dxa" w:w="120"/>
              <w:bottom w:type="dxa" w:w="80"/>
              <w:right w:type="dxa" w:w="120"/>
            </w:tcMar>
            <w:vAlign w:val="center"/>
          </w:tcPr>
          <w:p>
            <w:pPr>
              <w:pStyle w:val="MdTableCell"/>
            </w:pPr>
            <w:r>
              <w:t xml:space="preserve">Basic HubSpot setup or cleanup</w:t>
            </w:r>
          </w:p>
        </w:tc>
        <w:tc>
          <w:tcPr>
            <w:tcBorders>
              <w:right w:val="none"/>
            </w:tcBorders>
            <w:tcMar>
              <w:top w:type="dxa" w:w="80"/>
              <w:left w:type="dxa" w:w="120"/>
              <w:bottom w:type="dxa" w:w="80"/>
              <w:right w:type="dxa" w:w="120"/>
            </w:tcMar>
            <w:vAlign w:val="center"/>
          </w:tcPr>
          <w:p>
            <w:pPr>
              <w:pStyle w:val="MdTableCell"/>
            </w:pPr>
            <w:r>
              <w:t xml:space="preserve">Users, properties, lists, forms, pipeline review, tracking, basic automation, training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 Comprehensive Setup</w:t>
            </w:r>
          </w:p>
        </w:tc>
        <w:tc>
          <w:tcPr>
            <w:tcMar>
              <w:top w:type="dxa" w:w="80"/>
              <w:left w:type="dxa" w:w="120"/>
              <w:bottom w:type="dxa" w:w="80"/>
              <w:right w:type="dxa" w:w="120"/>
            </w:tcMar>
            <w:vAlign w:val="center"/>
          </w:tcPr>
          <w:p>
            <w:pPr>
              <w:pStyle w:val="MdTableCell"/>
              <w:jc w:val="right"/>
            </w:pPr>
            <w:r>
              <w:t xml:space="preserve">$10,000–$25,000+</w:t>
            </w:r>
          </w:p>
        </w:tc>
        <w:tc>
          <w:tcPr>
            <w:tcMar>
              <w:top w:type="dxa" w:w="80"/>
              <w:left w:type="dxa" w:w="120"/>
              <w:bottom w:type="dxa" w:w="80"/>
              <w:right w:type="dxa" w:w="120"/>
            </w:tcMar>
            <w:vAlign w:val="center"/>
          </w:tcPr>
          <w:p>
            <w:pPr>
              <w:pStyle w:val="MdTableCell"/>
            </w:pPr>
            <w:r>
              <w:t xml:space="preserve">Multi-hub or messy CRM setup</w:t>
            </w:r>
          </w:p>
        </w:tc>
        <w:tc>
          <w:tcPr>
            <w:tcBorders>
              <w:right w:val="none"/>
            </w:tcBorders>
            <w:tcMar>
              <w:top w:type="dxa" w:w="80"/>
              <w:left w:type="dxa" w:w="120"/>
              <w:bottom w:type="dxa" w:w="80"/>
              <w:right w:type="dxa" w:w="120"/>
            </w:tcMar>
            <w:vAlign w:val="center"/>
          </w:tcPr>
          <w:p>
            <w:pPr>
              <w:pStyle w:val="MdTableCell"/>
            </w:pPr>
            <w:r>
              <w:t xml:space="preserve">Discovery, data model, properties, pipelines, workflows, integrations, dashboards, documentation, training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Visibility / GBP Setup</w:t>
            </w:r>
          </w:p>
        </w:tc>
        <w:tc>
          <w:tcPr>
            <w:tcMar>
              <w:top w:type="dxa" w:w="80"/>
              <w:left w:type="dxa" w:w="120"/>
              <w:bottom w:type="dxa" w:w="80"/>
              <w:right w:type="dxa" w:w="120"/>
            </w:tcMar>
            <w:vAlign w:val="center"/>
          </w:tcPr>
          <w:p>
            <w:pPr>
              <w:pStyle w:val="MdTableCell"/>
              <w:jc w:val="right"/>
            </w:pPr>
            <w:r>
              <w:t xml:space="preserve">$1,500–$3,500</w:t>
            </w:r>
          </w:p>
        </w:tc>
        <w:tc>
          <w:tcPr>
            <w:tcMar>
              <w:top w:type="dxa" w:w="80"/>
              <w:left w:type="dxa" w:w="120"/>
              <w:bottom w:type="dxa" w:w="80"/>
              <w:right w:type="dxa" w:w="120"/>
            </w:tcMar>
            <w:vAlign w:val="center"/>
          </w:tcPr>
          <w:p>
            <w:pPr>
              <w:pStyle w:val="MdTableCell"/>
            </w:pPr>
            <w:r>
              <w:t xml:space="preserve">New local SEO/GBP clients</w:t>
            </w:r>
          </w:p>
        </w:tc>
        <w:tc>
          <w:tcPr>
            <w:tcBorders>
              <w:right w:val="none"/>
            </w:tcBorders>
            <w:tcMar>
              <w:top w:type="dxa" w:w="80"/>
              <w:left w:type="dxa" w:w="120"/>
              <w:bottom w:type="dxa" w:w="80"/>
              <w:right w:type="dxa" w:w="120"/>
            </w:tcMar>
            <w:vAlign w:val="center"/>
          </w:tcPr>
          <w:p>
            <w:pPr>
              <w:pStyle w:val="MdTableCell"/>
            </w:pPr>
            <w:r>
              <w:t xml:space="preserve">GBP audit, NAP review, directory tracker, service/category review, photo/post plan, citation priorities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Campaign Launch Setup</w:t>
            </w:r>
          </w:p>
        </w:tc>
        <w:tc>
          <w:tcPr>
            <w:tcBorders>
              <w:bottom w:val="single" w:color="E1E4E8" w:sz="4"/>
            </w:tcBorders>
            <w:tcMar>
              <w:top w:type="dxa" w:w="80"/>
              <w:left w:type="dxa" w:w="120"/>
              <w:bottom w:type="dxa" w:w="80"/>
              <w:right w:type="dxa" w:w="120"/>
            </w:tcMar>
            <w:vAlign w:val="center"/>
          </w:tcPr>
          <w:p>
            <w:pPr>
              <w:pStyle w:val="MdTableCell"/>
              <w:jc w:val="right"/>
            </w:pPr>
            <w:r>
              <w:t xml:space="preserve">$2,500–$7,500</w:t>
            </w:r>
          </w:p>
        </w:tc>
        <w:tc>
          <w:tcPr>
            <w:tcBorders>
              <w:bottom w:val="single" w:color="E1E4E8" w:sz="4"/>
            </w:tcBorders>
            <w:tcMar>
              <w:top w:type="dxa" w:w="80"/>
              <w:left w:type="dxa" w:w="120"/>
              <w:bottom w:type="dxa" w:w="80"/>
              <w:right w:type="dxa" w:w="120"/>
            </w:tcMar>
            <w:vAlign w:val="center"/>
          </w:tcPr>
          <w:p>
            <w:pPr>
              <w:pStyle w:val="MdTableCell"/>
            </w:pPr>
            <w:r>
              <w:t xml:space="preserve">New major campaign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Strategy, offer, landing page, email sequence, CRM workflow, tracking, QA, launch checklist</w:t>
            </w:r>
          </w:p>
        </w:tc>
      </w:tr>
    </w:tbl>
    <w:p>
      <w:pPr>
        <w:pStyle w:val="Heading2"/>
        <w:pStyle w:val="MdHeading2"/>
      </w:pPr>
      <w:r>
        <w:t xml:space="preserve">Service Tracks</w:t>
      </w:r>
    </w:p>
    <w:p>
      <w:pPr>
        <w:pStyle w:val="MdParagraph"/>
      </w:pPr>
      <w:r>
        <w:t xml:space="preserve">Each retainer should include one or more </w:t>
      </w:r>
      <w:r>
        <w:rPr>
          <w:rStyle w:val="MdStrong"/>
          <w:b/>
          <w:bCs/>
        </w:rPr>
        <w:t xml:space="preserve">service tracks</w:t>
      </w:r>
      <w:r>
        <w:t xml:space="preserve">. Service tracks are the bridge between the client’s package and the tasks the portal creates automatically.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Service Track</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Typical Included Packages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Account Management and Strategy</w:t>
            </w:r>
          </w:p>
        </w:tc>
        <w:tc>
          <w:tcPr>
            <w:tcMar>
              <w:top w:type="dxa" w:w="80"/>
              <w:left w:type="dxa" w:w="120"/>
              <w:bottom w:type="dxa" w:w="80"/>
              <w:right w:type="dxa" w:w="120"/>
            </w:tcMar>
            <w:vAlign w:val="center"/>
          </w:tcPr>
          <w:p>
            <w:pPr>
              <w:pStyle w:val="MdTableCell"/>
            </w:pPr>
            <w:r>
              <w:t xml:space="preserve">Client calls, roadmaps, prioritization, approvals, and planning</w:t>
            </w:r>
          </w:p>
        </w:tc>
        <w:tc>
          <w:tcPr>
            <w:tcBorders>
              <w:right w:val="none"/>
            </w:tcBorders>
            <w:tcMar>
              <w:top w:type="dxa" w:w="80"/>
              <w:left w:type="dxa" w:w="120"/>
              <w:bottom w:type="dxa" w:w="80"/>
              <w:right w:type="dxa" w:w="120"/>
            </w:tcMar>
            <w:vAlign w:val="center"/>
          </w:tcPr>
          <w:p>
            <w:pPr>
              <w:pStyle w:val="MdTableCell"/>
            </w:pPr>
            <w:r>
              <w:t xml:space="preserve">All packages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Content Engine</w:t>
            </w:r>
          </w:p>
        </w:tc>
        <w:tc>
          <w:tcPr>
            <w:tcMar>
              <w:top w:type="dxa" w:w="80"/>
              <w:left w:type="dxa" w:w="120"/>
              <w:bottom w:type="dxa" w:w="80"/>
              <w:right w:type="dxa" w:w="120"/>
            </w:tcMar>
            <w:vAlign w:val="center"/>
          </w:tcPr>
          <w:p>
            <w:pPr>
              <w:pStyle w:val="MdTableCell"/>
            </w:pPr>
            <w:r>
              <w:t xml:space="preserve">Blog posts, social posts, graphics, newsletters, video clips, publishing</w:t>
            </w:r>
          </w:p>
        </w:tc>
        <w:tc>
          <w:tcPr>
            <w:tcBorders>
              <w:right w:val="none"/>
            </w:tcBorders>
            <w:tcMar>
              <w:top w:type="dxa" w:w="80"/>
              <w:left w:type="dxa" w:w="120"/>
              <w:bottom w:type="dxa" w:w="80"/>
              <w:right w:type="dxa" w:w="120"/>
            </w:tcMar>
            <w:vAlign w:val="center"/>
          </w:tcPr>
          <w:p>
            <w:pPr>
              <w:pStyle w:val="MdTableCell"/>
            </w:pPr>
            <w:r>
              <w:t xml:space="preserve">Growth, Scale, Accelerator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SEO and GBP</w:t>
            </w:r>
          </w:p>
        </w:tc>
        <w:tc>
          <w:tcPr>
            <w:tcMar>
              <w:top w:type="dxa" w:w="80"/>
              <w:left w:type="dxa" w:w="120"/>
              <w:bottom w:type="dxa" w:w="80"/>
              <w:right w:type="dxa" w:w="120"/>
            </w:tcMar>
            <w:vAlign w:val="center"/>
          </w:tcPr>
          <w:p>
            <w:pPr>
              <w:pStyle w:val="MdTableCell"/>
            </w:pPr>
            <w:r>
              <w:t xml:space="preserve">GBP posts/updates, local landing pages, directory tracking, review prompts, local SEO tasks</w:t>
            </w:r>
          </w:p>
        </w:tc>
        <w:tc>
          <w:tcPr>
            <w:tcBorders>
              <w:right w:val="none"/>
            </w:tcBorders>
            <w:tcMar>
              <w:top w:type="dxa" w:w="80"/>
              <w:left w:type="dxa" w:w="120"/>
              <w:bottom w:type="dxa" w:w="80"/>
              <w:right w:type="dxa" w:w="120"/>
            </w:tcMar>
            <w:vAlign w:val="center"/>
          </w:tcPr>
          <w:p>
            <w:pPr>
              <w:pStyle w:val="MdTableCell"/>
            </w:pPr>
            <w:r>
              <w:t xml:space="preserve">Growth, Scale, Accelerator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 / CRM</w:t>
            </w:r>
          </w:p>
        </w:tc>
        <w:tc>
          <w:tcPr>
            <w:tcMar>
              <w:top w:type="dxa" w:w="80"/>
              <w:left w:type="dxa" w:w="120"/>
              <w:bottom w:type="dxa" w:w="80"/>
              <w:right w:type="dxa" w:w="120"/>
            </w:tcMar>
            <w:vAlign w:val="center"/>
          </w:tcPr>
          <w:p>
            <w:pPr>
              <w:pStyle w:val="MdTableCell"/>
            </w:pPr>
            <w:r>
              <w:t xml:space="preserve">CRM hygiene, lists, workflows, campaigns, properties, dashboards, email templates</w:t>
            </w:r>
          </w:p>
        </w:tc>
        <w:tc>
          <w:tcPr>
            <w:tcBorders>
              <w:right w:val="none"/>
            </w:tcBorders>
            <w:tcMar>
              <w:top w:type="dxa" w:w="80"/>
              <w:left w:type="dxa" w:w="120"/>
              <w:bottom w:type="dxa" w:w="80"/>
              <w:right w:type="dxa" w:w="120"/>
            </w:tcMar>
            <w:vAlign w:val="center"/>
          </w:tcPr>
          <w:p>
            <w:pPr>
              <w:pStyle w:val="MdTableCell"/>
            </w:pPr>
            <w:r>
              <w:t xml:space="preserve">Scale, Accelerator, or add-on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Campaigns and Funnels</w:t>
            </w:r>
          </w:p>
        </w:tc>
        <w:tc>
          <w:tcPr>
            <w:tcMar>
              <w:top w:type="dxa" w:w="80"/>
              <w:left w:type="dxa" w:w="120"/>
              <w:bottom w:type="dxa" w:w="80"/>
              <w:right w:type="dxa" w:w="120"/>
            </w:tcMar>
            <w:vAlign w:val="center"/>
          </w:tcPr>
          <w:p>
            <w:pPr>
              <w:pStyle w:val="MdTableCell"/>
            </w:pPr>
            <w:r>
              <w:t xml:space="preserve">Landing pages, lead magnets, email sequences, tracking, launch QA, optimization</w:t>
            </w:r>
          </w:p>
        </w:tc>
        <w:tc>
          <w:tcPr>
            <w:tcBorders>
              <w:right w:val="none"/>
            </w:tcBorders>
            <w:tcMar>
              <w:top w:type="dxa" w:w="80"/>
              <w:left w:type="dxa" w:w="120"/>
              <w:bottom w:type="dxa" w:w="80"/>
              <w:right w:type="dxa" w:w="120"/>
            </w:tcMar>
            <w:vAlign w:val="center"/>
          </w:tcPr>
          <w:p>
            <w:pPr>
              <w:pStyle w:val="MdTableCell"/>
            </w:pPr>
            <w:r>
              <w:t xml:space="preserve">Scale, Accelerator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Paid Ads</w:t>
            </w:r>
          </w:p>
        </w:tc>
        <w:tc>
          <w:tcPr>
            <w:tcMar>
              <w:top w:type="dxa" w:w="80"/>
              <w:left w:type="dxa" w:w="120"/>
              <w:bottom w:type="dxa" w:w="80"/>
              <w:right w:type="dxa" w:w="120"/>
            </w:tcMar>
            <w:vAlign w:val="center"/>
          </w:tcPr>
          <w:p>
            <w:pPr>
              <w:pStyle w:val="MdTableCell"/>
            </w:pPr>
            <w:r>
              <w:t xml:space="preserve">Creative, audience setup, launch QA, optimization, monthly ads reporting</w:t>
            </w:r>
          </w:p>
        </w:tc>
        <w:tc>
          <w:tcPr>
            <w:tcBorders>
              <w:right w:val="none"/>
            </w:tcBorders>
            <w:tcMar>
              <w:top w:type="dxa" w:w="80"/>
              <w:left w:type="dxa" w:w="120"/>
              <w:bottom w:type="dxa" w:w="80"/>
              <w:right w:type="dxa" w:w="120"/>
            </w:tcMar>
            <w:vAlign w:val="center"/>
          </w:tcPr>
          <w:p>
            <w:pPr>
              <w:pStyle w:val="MdTableCell"/>
            </w:pPr>
            <w:r>
              <w:t xml:space="preserve">Add-on, Scale, Accelerator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and Technical</w:t>
            </w:r>
          </w:p>
        </w:tc>
        <w:tc>
          <w:tcPr>
            <w:tcMar>
              <w:top w:type="dxa" w:w="80"/>
              <w:left w:type="dxa" w:w="120"/>
              <w:bottom w:type="dxa" w:w="80"/>
              <w:right w:type="dxa" w:w="120"/>
            </w:tcMar>
            <w:vAlign w:val="center"/>
          </w:tcPr>
          <w:p>
            <w:pPr>
              <w:pStyle w:val="MdTableCell"/>
            </w:pPr>
            <w:r>
              <w:t xml:space="preserve">Copy updates, technical fixes, landing pages, tracking, hosting/software support</w:t>
            </w:r>
          </w:p>
        </w:tc>
        <w:tc>
          <w:tcPr>
            <w:tcBorders>
              <w:right w:val="none"/>
            </w:tcBorders>
            <w:tcMar>
              <w:top w:type="dxa" w:w="80"/>
              <w:left w:type="dxa" w:w="120"/>
              <w:bottom w:type="dxa" w:w="80"/>
              <w:right w:type="dxa" w:w="120"/>
            </w:tcMar>
            <w:vAlign w:val="center"/>
          </w:tcPr>
          <w:p>
            <w:pPr>
              <w:pStyle w:val="MdTableCell"/>
            </w:pPr>
            <w:r>
              <w:t xml:space="preserve">Add-on, Scale, Accelerator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Reporting and Insights</w:t>
            </w:r>
          </w:p>
        </w:tc>
        <w:tc>
          <w:tcPr>
            <w:tcMar>
              <w:top w:type="dxa" w:w="80"/>
              <w:left w:type="dxa" w:w="120"/>
              <w:bottom w:type="dxa" w:w="80"/>
              <w:right w:type="dxa" w:w="120"/>
            </w:tcMar>
            <w:vAlign w:val="center"/>
          </w:tcPr>
          <w:p>
            <w:pPr>
              <w:pStyle w:val="MdTableCell"/>
            </w:pPr>
            <w:r>
              <w:t xml:space="preserve">Monthly performance reports, quarterly deep dives, year-end reporting</w:t>
            </w:r>
          </w:p>
        </w:tc>
        <w:tc>
          <w:tcPr>
            <w:tcBorders>
              <w:right w:val="none"/>
            </w:tcBorders>
            <w:tcMar>
              <w:top w:type="dxa" w:w="80"/>
              <w:left w:type="dxa" w:w="120"/>
              <w:bottom w:type="dxa" w:w="80"/>
              <w:right w:type="dxa" w:w="120"/>
            </w:tcMar>
            <w:vAlign w:val="center"/>
          </w:tcPr>
          <w:p>
            <w:pPr>
              <w:pStyle w:val="MdTableCell"/>
            </w:pPr>
            <w:r>
              <w:t xml:space="preserve">All packages, with depth by tier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RevOps and Enablement</w:t>
            </w:r>
          </w:p>
        </w:tc>
        <w:tc>
          <w:tcPr>
            <w:tcBorders>
              <w:bottom w:val="single" w:color="E1E4E8" w:sz="4"/>
            </w:tcBorders>
            <w:tcMar>
              <w:top w:type="dxa" w:w="80"/>
              <w:left w:type="dxa" w:w="120"/>
              <w:bottom w:type="dxa" w:w="80"/>
              <w:right w:type="dxa" w:w="120"/>
            </w:tcMar>
            <w:vAlign w:val="center"/>
          </w:tcPr>
          <w:p>
            <w:pPr>
              <w:pStyle w:val="MdTableCell"/>
            </w:pPr>
            <w:r>
              <w:t xml:space="preserve">Process optimization, sales enablement, pipeline reporting, adoption, training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Accelerator or premium add-on</w:t>
            </w:r>
          </w:p>
        </w:tc>
      </w:tr>
    </w:tbl>
    <w:p>
      <w:pPr>
        <w:pStyle w:val="Heading2"/>
        <w:pStyle w:val="MdHeading2"/>
      </w:pPr>
      <w:r>
        <w:t xml:space="preserve">Default Monthly Task Templates by Package</w:t>
      </w:r>
    </w:p>
    <w:p>
      <w:pPr>
        <w:pStyle w:val="MdParagraph"/>
      </w:pPr>
      <w:r>
        <w:t xml:space="preserve">The following tasks should be automatically generated when a client has an active retainer. The portal should let the admin select the client, retainer package, service tracks, start date, billing cycle day, and task owner defaults. The system should then create tasks 30–60 days ahead so the team is never working only in the current week.</w:t>
      </w:r>
    </w:p>
    <w:p>
      <w:pPr>
        <w:pStyle w:val="MdSpace"/>
        <w:spacing w:before="0" w:after="60"/>
      </w:pPr>
    </w:p>
    <w:p>
      <w:pPr>
        <w:pStyle w:val="Heading3"/>
        <w:pStyle w:val="MdHeading3"/>
      </w:pPr>
      <w:r>
        <w:t xml:space="preserve">Launch / Support Package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Cadence</w:t>
            </w:r>
          </w:p>
        </w:tc>
        <w:tc>
          <w:tcPr>
            <w:tcMar>
              <w:top w:type="dxa" w:w="100"/>
              <w:left w:type="dxa" w:w="120"/>
              <w:bottom w:type="dxa" w:w="100"/>
              <w:right w:type="dxa" w:w="120"/>
            </w:tcMar>
            <w:vAlign w:val="center"/>
          </w:tcPr>
          <w:p>
            <w:pPr>
              <w:pStyle w:val="MdTableHeader"/>
            </w:pPr>
            <w:r>
              <w:t xml:space="preserve">Template Task</w:t>
            </w:r>
          </w:p>
        </w:tc>
        <w:tc>
          <w:tcPr>
            <w:tcMar>
              <w:top w:type="dxa" w:w="100"/>
              <w:left w:type="dxa" w:w="120"/>
              <w:bottom w:type="dxa" w:w="100"/>
              <w:right w:type="dxa" w:w="120"/>
            </w:tcMar>
            <w:vAlign w:val="center"/>
          </w:tcPr>
          <w:p>
            <w:pPr>
              <w:pStyle w:val="MdTableHeader"/>
            </w:pPr>
            <w:r>
              <w:t xml:space="preserve">Service Track</w:t>
            </w:r>
          </w:p>
        </w:tc>
        <w:tc>
          <w:tcPr>
            <w:tcBorders>
              <w:right w:val="none"/>
            </w:tcBorders>
            <w:tcMar>
              <w:top w:type="dxa" w:w="100"/>
              <w:left w:type="dxa" w:w="120"/>
              <w:bottom w:type="dxa" w:w="100"/>
              <w:right w:type="dxa" w:w="120"/>
            </w:tcMar>
            <w:vAlign w:val="center"/>
          </w:tcPr>
          <w:p>
            <w:pPr>
              <w:pStyle w:val="MdTableHeader"/>
              <w:jc w:val="right"/>
            </w:pPr>
            <w:r>
              <w:t xml:space="preserve">Suggested Credit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client check-in and priority review</w:t>
            </w:r>
          </w:p>
        </w:tc>
        <w:tc>
          <w:tcPr>
            <w:tcMar>
              <w:top w:type="dxa" w:w="80"/>
              <w:left w:type="dxa" w:w="120"/>
              <w:bottom w:type="dxa" w:w="80"/>
              <w:right w:type="dxa" w:w="120"/>
            </w:tcMar>
            <w:vAlign w:val="center"/>
          </w:tcPr>
          <w:p>
            <w:pPr>
              <w:pStyle w:val="MdTableCell"/>
            </w:pPr>
            <w:r>
              <w:t xml:space="preserve">Account Management</w:t>
            </w:r>
          </w:p>
        </w:tc>
        <w:tc>
          <w:tcPr>
            <w:tcBorders>
              <w:right w:val="none"/>
            </w:tcBorders>
            <w:tcMar>
              <w:top w:type="dxa" w:w="80"/>
              <w:left w:type="dxa" w:w="120"/>
              <w:bottom w:type="dxa" w:w="80"/>
              <w:right w:type="dxa" w:w="120"/>
            </w:tcMar>
            <w:vAlign w:val="center"/>
          </w:tcPr>
          <w:p>
            <w:pPr>
              <w:pStyle w:val="MdTableCell"/>
              <w:jc w:val="right"/>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Basic performance snapshot</w:t>
            </w:r>
          </w:p>
        </w:tc>
        <w:tc>
          <w:tcPr>
            <w:tcMar>
              <w:top w:type="dxa" w:w="80"/>
              <w:left w:type="dxa" w:w="120"/>
              <w:bottom w:type="dxa" w:w="80"/>
              <w:right w:type="dxa" w:w="120"/>
            </w:tcMar>
            <w:vAlign w:val="center"/>
          </w:tcPr>
          <w:p>
            <w:pPr>
              <w:pStyle w:val="MdTableCell"/>
            </w:pPr>
            <w:r>
              <w:t xml:space="preserve">Reporting</w:t>
            </w:r>
          </w:p>
        </w:tc>
        <w:tc>
          <w:tcPr>
            <w:tcBorders>
              <w:right w:val="none"/>
            </w:tcBorders>
            <w:tcMar>
              <w:top w:type="dxa" w:w="80"/>
              <w:left w:type="dxa" w:w="120"/>
              <w:bottom w:type="dxa" w:w="80"/>
              <w:right w:type="dxa" w:w="120"/>
            </w:tcMar>
            <w:vAlign w:val="center"/>
          </w:tcPr>
          <w:p>
            <w:pPr>
              <w:pStyle w:val="MdTableCell"/>
              <w:jc w:val="right"/>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Website/portal maintenance review</w:t>
            </w:r>
          </w:p>
        </w:tc>
        <w:tc>
          <w:tcPr>
            <w:tcMar>
              <w:top w:type="dxa" w:w="80"/>
              <w:left w:type="dxa" w:w="120"/>
              <w:bottom w:type="dxa" w:w="80"/>
              <w:right w:type="dxa" w:w="120"/>
            </w:tcMar>
            <w:vAlign w:val="center"/>
          </w:tcPr>
          <w:p>
            <w:pPr>
              <w:pStyle w:val="MdTableCell"/>
            </w:pPr>
            <w:r>
              <w:t xml:space="preserve">Website and Technical</w:t>
            </w:r>
          </w:p>
        </w:tc>
        <w:tc>
          <w:tcPr>
            <w:tcBorders>
              <w:right w:val="none"/>
            </w:tcBorders>
            <w:tcMar>
              <w:top w:type="dxa" w:w="80"/>
              <w:left w:type="dxa" w:w="120"/>
              <w:bottom w:type="dxa" w:w="80"/>
              <w:right w:type="dxa" w:w="120"/>
            </w:tcMar>
            <w:vAlign w:val="center"/>
          </w:tcPr>
          <w:p>
            <w:pPr>
              <w:pStyle w:val="MdTableCell"/>
              <w:jc w:val="right"/>
            </w:pPr>
            <w:r>
              <w:t xml:space="preserve">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One light content or listing update</w:t>
            </w:r>
          </w:p>
        </w:tc>
        <w:tc>
          <w:tcPr>
            <w:tcMar>
              <w:top w:type="dxa" w:w="80"/>
              <w:left w:type="dxa" w:w="120"/>
              <w:bottom w:type="dxa" w:w="80"/>
              <w:right w:type="dxa" w:w="120"/>
            </w:tcMar>
            <w:vAlign w:val="center"/>
          </w:tcPr>
          <w:p>
            <w:pPr>
              <w:pStyle w:val="MdTableCell"/>
            </w:pPr>
            <w:r>
              <w:t xml:space="preserve">Content / Local SEO</w:t>
            </w:r>
          </w:p>
        </w:tc>
        <w:tc>
          <w:tcPr>
            <w:tcBorders>
              <w:right w:val="none"/>
            </w:tcBorders>
            <w:tcMar>
              <w:top w:type="dxa" w:w="80"/>
              <w:left w:type="dxa" w:w="120"/>
              <w:bottom w:type="dxa" w:w="80"/>
              <w:right w:type="dxa" w:w="120"/>
            </w:tcMar>
            <w:vAlign w:val="center"/>
          </w:tcPr>
          <w:p>
            <w:pPr>
              <w:pStyle w:val="MdTableCell"/>
              <w:jc w:val="right"/>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CRM or HubSpot hygiene review if applicable</w:t>
            </w:r>
          </w:p>
        </w:tc>
        <w:tc>
          <w:tcPr>
            <w:tcMar>
              <w:top w:type="dxa" w:w="80"/>
              <w:left w:type="dxa" w:w="120"/>
              <w:bottom w:type="dxa" w:w="80"/>
              <w:right w:type="dxa" w:w="120"/>
            </w:tcMar>
            <w:vAlign w:val="center"/>
          </w:tcPr>
          <w:p>
            <w:pPr>
              <w:pStyle w:val="MdTableCell"/>
            </w:pPr>
            <w:r>
              <w:t xml:space="preserve">HubSpot / CRM</w:t>
            </w:r>
          </w:p>
        </w:tc>
        <w:tc>
          <w:tcPr>
            <w:tcBorders>
              <w:right w:val="none"/>
            </w:tcBorders>
            <w:tcMar>
              <w:top w:type="dxa" w:w="80"/>
              <w:left w:type="dxa" w:w="120"/>
              <w:bottom w:type="dxa" w:w="80"/>
              <w:right w:type="dxa" w:w="120"/>
            </w:tcMar>
            <w:vAlign w:val="center"/>
          </w:tcPr>
          <w:p>
            <w:pPr>
              <w:pStyle w:val="MdTableCell"/>
              <w:jc w:val="right"/>
            </w:pPr>
            <w:r>
              <w:t xml:space="preserve">1–2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Quarterly</w:t>
            </w:r>
          </w:p>
        </w:tc>
        <w:tc>
          <w:tcPr>
            <w:tcBorders>
              <w:bottom w:val="single" w:color="E1E4E8" w:sz="4"/>
            </w:tcBorders>
            <w:tcMar>
              <w:top w:type="dxa" w:w="80"/>
              <w:left w:type="dxa" w:w="120"/>
              <w:bottom w:type="dxa" w:w="80"/>
              <w:right w:type="dxa" w:w="120"/>
            </w:tcMar>
            <w:vAlign w:val="center"/>
          </w:tcPr>
          <w:p>
            <w:pPr>
              <w:pStyle w:val="MdTableCell"/>
            </w:pPr>
            <w:r>
              <w:t xml:space="preserve">Quarterly planning mini-review</w:t>
            </w:r>
          </w:p>
        </w:tc>
        <w:tc>
          <w:tcPr>
            <w:tcBorders>
              <w:bottom w:val="single" w:color="E1E4E8" w:sz="4"/>
            </w:tcBorders>
            <w:tcMar>
              <w:top w:type="dxa" w:w="80"/>
              <w:left w:type="dxa" w:w="120"/>
              <w:bottom w:type="dxa" w:w="80"/>
              <w:right w:type="dxa" w:w="120"/>
            </w:tcMar>
            <w:vAlign w:val="center"/>
          </w:tcPr>
          <w:p>
            <w:pPr>
              <w:pStyle w:val="MdTableCell"/>
            </w:pPr>
            <w:r>
              <w:t xml:space="preserve">Strategy</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3–4</w:t>
            </w:r>
          </w:p>
        </w:tc>
      </w:tr>
    </w:tbl>
    <w:p>
      <w:pPr>
        <w:pStyle w:val="MdParagraph"/>
      </w:pPr>
      <w:r>
        <w:t xml:space="preserve">This plan should be deliberately limited. It should not include custom landing pages, full campaigns, major automation, ongoing blog production, or heavy creative work unless credits are available and work is approved.</w:t>
      </w:r>
    </w:p>
    <w:p>
      <w:pPr>
        <w:pStyle w:val="MdSpace"/>
        <w:spacing w:before="0" w:after="60"/>
      </w:pPr>
    </w:p>
    <w:p>
      <w:pPr>
        <w:pStyle w:val="Heading3"/>
        <w:pStyle w:val="MdHeading3"/>
      </w:pPr>
      <w:r>
        <w:t xml:space="preserve">Growth Package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Cadence</w:t>
            </w:r>
          </w:p>
        </w:tc>
        <w:tc>
          <w:tcPr>
            <w:tcMar>
              <w:top w:type="dxa" w:w="100"/>
              <w:left w:type="dxa" w:w="120"/>
              <w:bottom w:type="dxa" w:w="100"/>
              <w:right w:type="dxa" w:w="120"/>
            </w:tcMar>
            <w:vAlign w:val="center"/>
          </w:tcPr>
          <w:p>
            <w:pPr>
              <w:pStyle w:val="MdTableHeader"/>
            </w:pPr>
            <w:r>
              <w:t xml:space="preserve">Template Task</w:t>
            </w:r>
          </w:p>
        </w:tc>
        <w:tc>
          <w:tcPr>
            <w:tcMar>
              <w:top w:type="dxa" w:w="100"/>
              <w:left w:type="dxa" w:w="120"/>
              <w:bottom w:type="dxa" w:w="100"/>
              <w:right w:type="dxa" w:w="120"/>
            </w:tcMar>
            <w:vAlign w:val="center"/>
          </w:tcPr>
          <w:p>
            <w:pPr>
              <w:pStyle w:val="MdTableHeader"/>
            </w:pPr>
            <w:r>
              <w:t xml:space="preserve">Service Track</w:t>
            </w:r>
          </w:p>
        </w:tc>
        <w:tc>
          <w:tcPr>
            <w:tcBorders>
              <w:right w:val="none"/>
            </w:tcBorders>
            <w:tcMar>
              <w:top w:type="dxa" w:w="100"/>
              <w:left w:type="dxa" w:w="120"/>
              <w:bottom w:type="dxa" w:w="100"/>
              <w:right w:type="dxa" w:w="120"/>
            </w:tcMar>
            <w:vAlign w:val="center"/>
          </w:tcPr>
          <w:p>
            <w:pPr>
              <w:pStyle w:val="MdTableHeader"/>
              <w:jc w:val="right"/>
            </w:pPr>
            <w:r>
              <w:t xml:space="preserve">Suggested Credit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strategy and priority call</w:t>
            </w:r>
          </w:p>
        </w:tc>
        <w:tc>
          <w:tcPr>
            <w:tcMar>
              <w:top w:type="dxa" w:w="80"/>
              <w:left w:type="dxa" w:w="120"/>
              <w:bottom w:type="dxa" w:w="80"/>
              <w:right w:type="dxa" w:w="120"/>
            </w:tcMar>
            <w:vAlign w:val="center"/>
          </w:tcPr>
          <w:p>
            <w:pPr>
              <w:pStyle w:val="MdTableCell"/>
            </w:pPr>
            <w:r>
              <w:t xml:space="preserve">Account Management</w:t>
            </w:r>
          </w:p>
        </w:tc>
        <w:tc>
          <w:tcPr>
            <w:tcBorders>
              <w:right w:val="none"/>
            </w:tcBorders>
            <w:tcMar>
              <w:top w:type="dxa" w:w="80"/>
              <w:left w:type="dxa" w:w="120"/>
              <w:bottom w:type="dxa" w:w="80"/>
              <w:right w:type="dxa" w:w="120"/>
            </w:tcMar>
            <w:vAlign w:val="center"/>
          </w:tcPr>
          <w:p>
            <w:pPr>
              <w:pStyle w:val="MdTableCell"/>
              <w:jc w:val="right"/>
            </w:pPr>
            <w:r>
              <w:t xml:space="preserve">2–3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performance report</w:t>
            </w:r>
          </w:p>
        </w:tc>
        <w:tc>
          <w:tcPr>
            <w:tcMar>
              <w:top w:type="dxa" w:w="80"/>
              <w:left w:type="dxa" w:w="120"/>
              <w:bottom w:type="dxa" w:w="80"/>
              <w:right w:type="dxa" w:w="120"/>
            </w:tcMar>
            <w:vAlign w:val="center"/>
          </w:tcPr>
          <w:p>
            <w:pPr>
              <w:pStyle w:val="MdTableCell"/>
            </w:pPr>
            <w:r>
              <w:t xml:space="preserve">Reporting</w:t>
            </w:r>
          </w:p>
        </w:tc>
        <w:tc>
          <w:tcPr>
            <w:tcBorders>
              <w:right w:val="none"/>
            </w:tcBorders>
            <w:tcMar>
              <w:top w:type="dxa" w:w="80"/>
              <w:left w:type="dxa" w:w="120"/>
              <w:bottom w:type="dxa" w:w="80"/>
              <w:right w:type="dxa" w:w="120"/>
            </w:tcMar>
            <w:vAlign w:val="center"/>
          </w:tcPr>
          <w:p>
            <w:pPr>
              <w:pStyle w:val="MdTableCell"/>
              <w:jc w:val="right"/>
            </w:pPr>
            <w:r>
              <w:t xml:space="preserve">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Content calendar planning for next 30–60 days</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Two blog/content pieces or equivalent</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6–8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Four social posts with graphics/captions/publishing</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newsletter or email update</w:t>
            </w:r>
          </w:p>
        </w:tc>
        <w:tc>
          <w:tcPr>
            <w:tcMar>
              <w:top w:type="dxa" w:w="80"/>
              <w:left w:type="dxa" w:w="120"/>
              <w:bottom w:type="dxa" w:w="80"/>
              <w:right w:type="dxa" w:w="120"/>
            </w:tcMar>
            <w:vAlign w:val="center"/>
          </w:tcPr>
          <w:p>
            <w:pPr>
              <w:pStyle w:val="MdTableCell"/>
            </w:pPr>
            <w:r>
              <w:t xml:space="preserve">Email / Content</w:t>
            </w:r>
          </w:p>
        </w:tc>
        <w:tc>
          <w:tcPr>
            <w:tcBorders>
              <w:right w:val="none"/>
            </w:tcBorders>
            <w:tcMar>
              <w:top w:type="dxa" w:w="80"/>
              <w:left w:type="dxa" w:w="120"/>
              <w:bottom w:type="dxa" w:w="80"/>
              <w:right w:type="dxa" w:w="120"/>
            </w:tcMar>
            <w:vAlign w:val="center"/>
          </w:tcPr>
          <w:p>
            <w:pPr>
              <w:pStyle w:val="MdTableCell"/>
              <w:jc w:val="right"/>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Local SEO/GBP updates</w:t>
            </w:r>
          </w:p>
        </w:tc>
        <w:tc>
          <w:tcPr>
            <w:tcMar>
              <w:top w:type="dxa" w:w="80"/>
              <w:left w:type="dxa" w:w="120"/>
              <w:bottom w:type="dxa" w:w="80"/>
              <w:right w:type="dxa" w:w="120"/>
            </w:tcMar>
            <w:vAlign w:val="center"/>
          </w:tcPr>
          <w:p>
            <w:pPr>
              <w:pStyle w:val="MdTableCell"/>
            </w:pPr>
            <w:r>
              <w:t xml:space="preserve">Local SEO and GBP</w:t>
            </w:r>
          </w:p>
        </w:tc>
        <w:tc>
          <w:tcPr>
            <w:tcBorders>
              <w:right w:val="none"/>
            </w:tcBorders>
            <w:tcMar>
              <w:top w:type="dxa" w:w="80"/>
              <w:left w:type="dxa" w:w="120"/>
              <w:bottom w:type="dxa" w:w="80"/>
              <w:right w:type="dxa" w:w="120"/>
            </w:tcMar>
            <w:vAlign w:val="center"/>
          </w:tcPr>
          <w:p>
            <w:pPr>
              <w:pStyle w:val="MdTableCell"/>
              <w:jc w:val="right"/>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Directory/link tracker update</w:t>
            </w:r>
          </w:p>
        </w:tc>
        <w:tc>
          <w:tcPr>
            <w:tcMar>
              <w:top w:type="dxa" w:w="80"/>
              <w:left w:type="dxa" w:w="120"/>
              <w:bottom w:type="dxa" w:w="80"/>
              <w:right w:type="dxa" w:w="120"/>
            </w:tcMar>
            <w:vAlign w:val="center"/>
          </w:tcPr>
          <w:p>
            <w:pPr>
              <w:pStyle w:val="MdTableCell"/>
            </w:pPr>
            <w:r>
              <w:t xml:space="preserve">Local SEO and GBP</w:t>
            </w:r>
          </w:p>
        </w:tc>
        <w:tc>
          <w:tcPr>
            <w:tcBorders>
              <w:right w:val="none"/>
            </w:tcBorders>
            <w:tcMar>
              <w:top w:type="dxa" w:w="80"/>
              <w:left w:type="dxa" w:w="120"/>
              <w:bottom w:type="dxa" w:w="80"/>
              <w:right w:type="dxa" w:w="120"/>
            </w:tcMar>
            <w:vAlign w:val="center"/>
          </w:tcPr>
          <w:p>
            <w:pPr>
              <w:pStyle w:val="MdTableCell"/>
              <w:jc w:val="right"/>
            </w:pPr>
            <w:r>
              <w:t xml:space="preserve">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Light HubSpot list/workflow/CRM maintenance</w:t>
            </w:r>
          </w:p>
        </w:tc>
        <w:tc>
          <w:tcPr>
            <w:tcMar>
              <w:top w:type="dxa" w:w="80"/>
              <w:left w:type="dxa" w:w="120"/>
              <w:bottom w:type="dxa" w:w="80"/>
              <w:right w:type="dxa" w:w="120"/>
            </w:tcMar>
            <w:vAlign w:val="center"/>
          </w:tcPr>
          <w:p>
            <w:pPr>
              <w:pStyle w:val="MdTableCell"/>
            </w:pPr>
            <w:r>
              <w:t xml:space="preserve">HubSpot / CRM</w:t>
            </w:r>
          </w:p>
        </w:tc>
        <w:tc>
          <w:tcPr>
            <w:tcBorders>
              <w:right w:val="none"/>
            </w:tcBorders>
            <w:tcMar>
              <w:top w:type="dxa" w:w="80"/>
              <w:left w:type="dxa" w:w="120"/>
              <w:bottom w:type="dxa" w:w="80"/>
              <w:right w:type="dxa" w:w="120"/>
            </w:tcMar>
            <w:vAlign w:val="center"/>
          </w:tcPr>
          <w:p>
            <w:pPr>
              <w:pStyle w:val="MdTableCell"/>
              <w:jc w:val="right"/>
            </w:pPr>
            <w:r>
              <w:t xml:space="preserve">2–4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Quarterly</w:t>
            </w:r>
          </w:p>
        </w:tc>
        <w:tc>
          <w:tcPr>
            <w:tcMar>
              <w:top w:type="dxa" w:w="80"/>
              <w:left w:type="dxa" w:w="120"/>
              <w:bottom w:type="dxa" w:w="80"/>
              <w:right w:type="dxa" w:w="120"/>
            </w:tcMar>
            <w:vAlign w:val="center"/>
          </w:tcPr>
          <w:p>
            <w:pPr>
              <w:pStyle w:val="MdTableCell"/>
            </w:pPr>
            <w:r>
              <w:t xml:space="preserve">Quarterly roadmap and campaign planning</w:t>
            </w:r>
          </w:p>
        </w:tc>
        <w:tc>
          <w:tcPr>
            <w:tcMar>
              <w:top w:type="dxa" w:w="80"/>
              <w:left w:type="dxa" w:w="120"/>
              <w:bottom w:type="dxa" w:w="80"/>
              <w:right w:type="dxa" w:w="120"/>
            </w:tcMar>
            <w:vAlign w:val="center"/>
          </w:tcPr>
          <w:p>
            <w:pPr>
              <w:pStyle w:val="MdTableCell"/>
            </w:pPr>
            <w:r>
              <w:t xml:space="preserve">Strategy</w:t>
            </w:r>
          </w:p>
        </w:tc>
        <w:tc>
          <w:tcPr>
            <w:tcBorders>
              <w:right w:val="none"/>
            </w:tcBorders>
            <w:tcMar>
              <w:top w:type="dxa" w:w="80"/>
              <w:left w:type="dxa" w:w="120"/>
              <w:bottom w:type="dxa" w:w="80"/>
              <w:right w:type="dxa" w:w="120"/>
            </w:tcMar>
            <w:vAlign w:val="center"/>
          </w:tcPr>
          <w:p>
            <w:pPr>
              <w:pStyle w:val="MdTableCell"/>
              <w:jc w:val="right"/>
            </w:pPr>
            <w:r>
              <w:t xml:space="preserve">6–8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Quarterly</w:t>
            </w:r>
          </w:p>
        </w:tc>
        <w:tc>
          <w:tcPr>
            <w:tcBorders>
              <w:bottom w:val="single" w:color="E1E4E8" w:sz="4"/>
            </w:tcBorders>
            <w:tcMar>
              <w:top w:type="dxa" w:w="80"/>
              <w:left w:type="dxa" w:w="120"/>
              <w:bottom w:type="dxa" w:w="80"/>
              <w:right w:type="dxa" w:w="120"/>
            </w:tcMar>
            <w:vAlign w:val="center"/>
          </w:tcPr>
          <w:p>
            <w:pPr>
              <w:pStyle w:val="MdTableCell"/>
            </w:pPr>
            <w:r>
              <w:t xml:space="preserve">One campaign refresh or small campaign build</w:t>
            </w:r>
          </w:p>
        </w:tc>
        <w:tc>
          <w:tcPr>
            <w:tcBorders>
              <w:bottom w:val="single" w:color="E1E4E8" w:sz="4"/>
            </w:tcBorders>
            <w:tcMar>
              <w:top w:type="dxa" w:w="80"/>
              <w:left w:type="dxa" w:w="120"/>
              <w:bottom w:type="dxa" w:w="80"/>
              <w:right w:type="dxa" w:w="120"/>
            </w:tcMar>
            <w:vAlign w:val="center"/>
          </w:tcPr>
          <w:p>
            <w:pPr>
              <w:pStyle w:val="MdTableCell"/>
            </w:pPr>
            <w:r>
              <w:t xml:space="preserve">Campaigns</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8–12</w:t>
            </w:r>
          </w:p>
        </w:tc>
      </w:tr>
    </w:tbl>
    <w:p>
      <w:pPr>
        <w:pStyle w:val="MdParagraph"/>
      </w:pPr>
      <w:r>
        <w:t xml:space="preserve">This plan should become the standard meaningful growth retainer. It supports predictable monthly execution but should still require separate approval for full landing page builds, complex automation, large video projects, and paid ad launches.</w:t>
      </w:r>
    </w:p>
    <w:p>
      <w:pPr>
        <w:pStyle w:val="MdSpace"/>
        <w:spacing w:before="0" w:after="60"/>
      </w:pPr>
    </w:p>
    <w:p>
      <w:pPr>
        <w:pStyle w:val="Heading3"/>
        <w:pStyle w:val="MdHeading3"/>
      </w:pPr>
      <w:r>
        <w:t xml:space="preserve">Scale Package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Cadence</w:t>
            </w:r>
          </w:p>
        </w:tc>
        <w:tc>
          <w:tcPr>
            <w:tcMar>
              <w:top w:type="dxa" w:w="100"/>
              <w:left w:type="dxa" w:w="120"/>
              <w:bottom w:type="dxa" w:w="100"/>
              <w:right w:type="dxa" w:w="120"/>
            </w:tcMar>
            <w:vAlign w:val="center"/>
          </w:tcPr>
          <w:p>
            <w:pPr>
              <w:pStyle w:val="MdTableHeader"/>
            </w:pPr>
            <w:r>
              <w:t xml:space="preserve">Template Task</w:t>
            </w:r>
          </w:p>
        </w:tc>
        <w:tc>
          <w:tcPr>
            <w:tcMar>
              <w:top w:type="dxa" w:w="100"/>
              <w:left w:type="dxa" w:w="120"/>
              <w:bottom w:type="dxa" w:w="100"/>
              <w:right w:type="dxa" w:w="120"/>
            </w:tcMar>
            <w:vAlign w:val="center"/>
          </w:tcPr>
          <w:p>
            <w:pPr>
              <w:pStyle w:val="MdTableHeader"/>
            </w:pPr>
            <w:r>
              <w:t xml:space="preserve">Service Track</w:t>
            </w:r>
          </w:p>
        </w:tc>
        <w:tc>
          <w:tcPr>
            <w:tcBorders>
              <w:right w:val="none"/>
            </w:tcBorders>
            <w:tcMar>
              <w:top w:type="dxa" w:w="100"/>
              <w:left w:type="dxa" w:w="120"/>
              <w:bottom w:type="dxa" w:w="100"/>
              <w:right w:type="dxa" w:w="120"/>
            </w:tcMar>
            <w:vAlign w:val="center"/>
          </w:tcPr>
          <w:p>
            <w:pPr>
              <w:pStyle w:val="MdTableHeader"/>
              <w:jc w:val="right"/>
            </w:pPr>
            <w:r>
              <w:t xml:space="preserve">Suggested Credit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strategy and project management call</w:t>
            </w:r>
          </w:p>
        </w:tc>
        <w:tc>
          <w:tcPr>
            <w:tcMar>
              <w:top w:type="dxa" w:w="80"/>
              <w:left w:type="dxa" w:w="120"/>
              <w:bottom w:type="dxa" w:w="80"/>
              <w:right w:type="dxa" w:w="120"/>
            </w:tcMar>
            <w:vAlign w:val="center"/>
          </w:tcPr>
          <w:p>
            <w:pPr>
              <w:pStyle w:val="MdTableCell"/>
            </w:pPr>
            <w:r>
              <w:t xml:space="preserve">Account Management</w:t>
            </w:r>
          </w:p>
        </w:tc>
        <w:tc>
          <w:tcPr>
            <w:tcBorders>
              <w:right w:val="none"/>
            </w:tcBorders>
            <w:tcMar>
              <w:top w:type="dxa" w:w="80"/>
              <w:left w:type="dxa" w:w="120"/>
              <w:bottom w:type="dxa" w:w="80"/>
              <w:right w:type="dxa" w:w="120"/>
            </w:tcMar>
            <w:vAlign w:val="center"/>
          </w:tcPr>
          <w:p>
            <w:pPr>
              <w:pStyle w:val="MdTableCell"/>
              <w:jc w:val="right"/>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performance report and action summary</w:t>
            </w:r>
          </w:p>
        </w:tc>
        <w:tc>
          <w:tcPr>
            <w:tcMar>
              <w:top w:type="dxa" w:w="80"/>
              <w:left w:type="dxa" w:w="120"/>
              <w:bottom w:type="dxa" w:w="80"/>
              <w:right w:type="dxa" w:w="120"/>
            </w:tcMar>
            <w:vAlign w:val="center"/>
          </w:tcPr>
          <w:p>
            <w:pPr>
              <w:pStyle w:val="MdTableCell"/>
            </w:pPr>
            <w:r>
              <w:t xml:space="preserve">Reporting</w:t>
            </w:r>
          </w:p>
        </w:tc>
        <w:tc>
          <w:tcPr>
            <w:tcBorders>
              <w:right w:val="none"/>
            </w:tcBorders>
            <w:tcMar>
              <w:top w:type="dxa" w:w="80"/>
              <w:left w:type="dxa" w:w="120"/>
              <w:bottom w:type="dxa" w:w="80"/>
              <w:right w:type="dxa" w:w="120"/>
            </w:tcMar>
            <w:vAlign w:val="center"/>
          </w:tcPr>
          <w:p>
            <w:pPr>
              <w:pStyle w:val="MdTableCell"/>
              <w:jc w:val="right"/>
            </w:pPr>
            <w:r>
              <w:t xml:space="preserve">4–5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60-day content calendar planning</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Four blog/content pieces or equivalent</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12–16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Eight social posts with graphics/captions/publishing</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4–8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Monthly newsletter plus nurture/email touchpoint</w:t>
            </w:r>
          </w:p>
        </w:tc>
        <w:tc>
          <w:tcPr>
            <w:tcMar>
              <w:top w:type="dxa" w:w="80"/>
              <w:left w:type="dxa" w:w="120"/>
              <w:bottom w:type="dxa" w:w="80"/>
              <w:right w:type="dxa" w:w="120"/>
            </w:tcMar>
            <w:vAlign w:val="center"/>
          </w:tcPr>
          <w:p>
            <w:pPr>
              <w:pStyle w:val="MdTableCell"/>
            </w:pPr>
            <w:r>
              <w:t xml:space="preserve">Email / HubSpot</w:t>
            </w:r>
          </w:p>
        </w:tc>
        <w:tc>
          <w:tcPr>
            <w:tcBorders>
              <w:right w:val="none"/>
            </w:tcBorders>
            <w:tcMar>
              <w:top w:type="dxa" w:w="80"/>
              <w:left w:type="dxa" w:w="120"/>
              <w:bottom w:type="dxa" w:w="80"/>
              <w:right w:type="dxa" w:w="120"/>
            </w:tcMar>
            <w:vAlign w:val="center"/>
          </w:tcPr>
          <w:p>
            <w:pPr>
              <w:pStyle w:val="MdTableCell"/>
              <w:jc w:val="right"/>
            </w:pPr>
            <w:r>
              <w:t xml:space="preserve">4–6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Local SEO/GBP posting and optimization</w:t>
            </w:r>
          </w:p>
        </w:tc>
        <w:tc>
          <w:tcPr>
            <w:tcMar>
              <w:top w:type="dxa" w:w="80"/>
              <w:left w:type="dxa" w:w="120"/>
              <w:bottom w:type="dxa" w:w="80"/>
              <w:right w:type="dxa" w:w="120"/>
            </w:tcMar>
            <w:vAlign w:val="center"/>
          </w:tcPr>
          <w:p>
            <w:pPr>
              <w:pStyle w:val="MdTableCell"/>
            </w:pPr>
            <w:r>
              <w:t xml:space="preserve">Local SEO and GBP</w:t>
            </w:r>
          </w:p>
        </w:tc>
        <w:tc>
          <w:tcPr>
            <w:tcBorders>
              <w:right w:val="none"/>
            </w:tcBorders>
            <w:tcMar>
              <w:top w:type="dxa" w:w="80"/>
              <w:left w:type="dxa" w:w="120"/>
              <w:bottom w:type="dxa" w:w="80"/>
              <w:right w:type="dxa" w:w="120"/>
            </w:tcMar>
            <w:vAlign w:val="center"/>
          </w:tcPr>
          <w:p>
            <w:pPr>
              <w:pStyle w:val="MdTableCell"/>
              <w:jc w:val="right"/>
            </w:pPr>
            <w:r>
              <w:t xml:space="preserve">4–6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SEO optimization and directory progress review</w:t>
            </w:r>
          </w:p>
        </w:tc>
        <w:tc>
          <w:tcPr>
            <w:tcMar>
              <w:top w:type="dxa" w:w="80"/>
              <w:left w:type="dxa" w:w="120"/>
              <w:bottom w:type="dxa" w:w="80"/>
              <w:right w:type="dxa" w:w="120"/>
            </w:tcMar>
            <w:vAlign w:val="center"/>
          </w:tcPr>
          <w:p>
            <w:pPr>
              <w:pStyle w:val="MdTableCell"/>
            </w:pPr>
            <w:r>
              <w:t xml:space="preserve">Local SEO and GBP</w:t>
            </w:r>
          </w:p>
        </w:tc>
        <w:tc>
          <w:tcPr>
            <w:tcBorders>
              <w:right w:val="none"/>
            </w:tcBorders>
            <w:tcMar>
              <w:top w:type="dxa" w:w="80"/>
              <w:left w:type="dxa" w:w="120"/>
              <w:bottom w:type="dxa" w:w="80"/>
              <w:right w:type="dxa" w:w="120"/>
            </w:tcMar>
            <w:vAlign w:val="center"/>
          </w:tcPr>
          <w:p>
            <w:pPr>
              <w:pStyle w:val="MdTableCell"/>
              <w:jc w:val="right"/>
            </w:pPr>
            <w:r>
              <w:t xml:space="preserve">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HubSpot CRM/workflow hygiene and improvement</w:t>
            </w:r>
          </w:p>
        </w:tc>
        <w:tc>
          <w:tcPr>
            <w:tcMar>
              <w:top w:type="dxa" w:w="80"/>
              <w:left w:type="dxa" w:w="120"/>
              <w:bottom w:type="dxa" w:w="80"/>
              <w:right w:type="dxa" w:w="120"/>
            </w:tcMar>
            <w:vAlign w:val="center"/>
          </w:tcPr>
          <w:p>
            <w:pPr>
              <w:pStyle w:val="MdTableCell"/>
            </w:pPr>
            <w:r>
              <w:t xml:space="preserve">HubSpot / CRM</w:t>
            </w:r>
          </w:p>
        </w:tc>
        <w:tc>
          <w:tcPr>
            <w:tcBorders>
              <w:right w:val="none"/>
            </w:tcBorders>
            <w:tcMar>
              <w:top w:type="dxa" w:w="80"/>
              <w:left w:type="dxa" w:w="120"/>
              <w:bottom w:type="dxa" w:w="80"/>
              <w:right w:type="dxa" w:w="120"/>
            </w:tcMar>
            <w:vAlign w:val="center"/>
          </w:tcPr>
          <w:p>
            <w:pPr>
              <w:pStyle w:val="MdTableCell"/>
              <w:jc w:val="right"/>
            </w:pPr>
            <w:r>
              <w:t xml:space="preserve">4–8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Campaign asset production or optimization block</w:t>
            </w:r>
          </w:p>
        </w:tc>
        <w:tc>
          <w:tcPr>
            <w:tcMar>
              <w:top w:type="dxa" w:w="80"/>
              <w:left w:type="dxa" w:w="120"/>
              <w:bottom w:type="dxa" w:w="80"/>
              <w:right w:type="dxa" w:w="120"/>
            </w:tcMar>
            <w:vAlign w:val="center"/>
          </w:tcPr>
          <w:p>
            <w:pPr>
              <w:pStyle w:val="MdTableCell"/>
            </w:pPr>
            <w:r>
              <w:t xml:space="preserve">Campaigns</w:t>
            </w:r>
          </w:p>
        </w:tc>
        <w:tc>
          <w:tcPr>
            <w:tcBorders>
              <w:right w:val="none"/>
            </w:tcBorders>
            <w:tcMar>
              <w:top w:type="dxa" w:w="80"/>
              <w:left w:type="dxa" w:w="120"/>
              <w:bottom w:type="dxa" w:w="80"/>
              <w:right w:type="dxa" w:w="120"/>
            </w:tcMar>
            <w:vAlign w:val="center"/>
          </w:tcPr>
          <w:p>
            <w:pPr>
              <w:pStyle w:val="MdTableCell"/>
              <w:jc w:val="right"/>
            </w:pPr>
            <w:r>
              <w:t xml:space="preserve">8–12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Website/landing page update block</w:t>
            </w:r>
          </w:p>
        </w:tc>
        <w:tc>
          <w:tcPr>
            <w:tcMar>
              <w:top w:type="dxa" w:w="80"/>
              <w:left w:type="dxa" w:w="120"/>
              <w:bottom w:type="dxa" w:w="80"/>
              <w:right w:type="dxa" w:w="120"/>
            </w:tcMar>
            <w:vAlign w:val="center"/>
          </w:tcPr>
          <w:p>
            <w:pPr>
              <w:pStyle w:val="MdTableCell"/>
            </w:pPr>
            <w:r>
              <w:t xml:space="preserve">Website and Technical</w:t>
            </w:r>
          </w:p>
        </w:tc>
        <w:tc>
          <w:tcPr>
            <w:tcBorders>
              <w:right w:val="none"/>
            </w:tcBorders>
            <w:tcMar>
              <w:top w:type="dxa" w:w="80"/>
              <w:left w:type="dxa" w:w="120"/>
              <w:bottom w:type="dxa" w:w="80"/>
              <w:right w:type="dxa" w:w="120"/>
            </w:tcMar>
            <w:vAlign w:val="center"/>
          </w:tcPr>
          <w:p>
            <w:pPr>
              <w:pStyle w:val="MdTableCell"/>
              <w:jc w:val="right"/>
            </w:pPr>
            <w:r>
              <w:t xml:space="preserve">3–6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Quarterly</w:t>
            </w:r>
          </w:p>
        </w:tc>
        <w:tc>
          <w:tcPr>
            <w:tcMar>
              <w:top w:type="dxa" w:w="80"/>
              <w:left w:type="dxa" w:w="120"/>
              <w:bottom w:type="dxa" w:w="80"/>
              <w:right w:type="dxa" w:w="120"/>
            </w:tcMar>
            <w:vAlign w:val="center"/>
          </w:tcPr>
          <w:p>
            <w:pPr>
              <w:pStyle w:val="MdTableCell"/>
            </w:pPr>
            <w:r>
              <w:t xml:space="preserve">Quarterly deep dive and roadmap refresh</w:t>
            </w:r>
          </w:p>
        </w:tc>
        <w:tc>
          <w:tcPr>
            <w:tcMar>
              <w:top w:type="dxa" w:w="80"/>
              <w:left w:type="dxa" w:w="120"/>
              <w:bottom w:type="dxa" w:w="80"/>
              <w:right w:type="dxa" w:w="120"/>
            </w:tcMar>
            <w:vAlign w:val="center"/>
          </w:tcPr>
          <w:p>
            <w:pPr>
              <w:pStyle w:val="MdTableCell"/>
            </w:pPr>
            <w:r>
              <w:t xml:space="preserve">Strategy / Reporting</w:t>
            </w:r>
          </w:p>
        </w:tc>
        <w:tc>
          <w:tcPr>
            <w:tcBorders>
              <w:right w:val="none"/>
            </w:tcBorders>
            <w:tcMar>
              <w:top w:type="dxa" w:w="80"/>
              <w:left w:type="dxa" w:w="120"/>
              <w:bottom w:type="dxa" w:w="80"/>
              <w:right w:type="dxa" w:w="120"/>
            </w:tcMar>
            <w:vAlign w:val="center"/>
          </w:tcPr>
          <w:p>
            <w:pPr>
              <w:pStyle w:val="MdTableCell"/>
              <w:jc w:val="right"/>
            </w:pPr>
            <w:r>
              <w:t xml:space="preserve">8</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Quarterly</w:t>
            </w:r>
          </w:p>
        </w:tc>
        <w:tc>
          <w:tcPr>
            <w:tcBorders>
              <w:bottom w:val="single" w:color="E1E4E8" w:sz="4"/>
            </w:tcBorders>
            <w:tcMar>
              <w:top w:type="dxa" w:w="80"/>
              <w:left w:type="dxa" w:w="120"/>
              <w:bottom w:type="dxa" w:w="80"/>
              <w:right w:type="dxa" w:w="120"/>
            </w:tcMar>
            <w:vAlign w:val="center"/>
          </w:tcPr>
          <w:p>
            <w:pPr>
              <w:pStyle w:val="MdTableCell"/>
            </w:pPr>
            <w:r>
              <w:t xml:space="preserve">One major campaign build or funnel refresh</w:t>
            </w:r>
          </w:p>
        </w:tc>
        <w:tc>
          <w:tcPr>
            <w:tcBorders>
              <w:bottom w:val="single" w:color="E1E4E8" w:sz="4"/>
            </w:tcBorders>
            <w:tcMar>
              <w:top w:type="dxa" w:w="80"/>
              <w:left w:type="dxa" w:w="120"/>
              <w:bottom w:type="dxa" w:w="80"/>
              <w:right w:type="dxa" w:w="120"/>
            </w:tcMar>
            <w:vAlign w:val="center"/>
          </w:tcPr>
          <w:p>
            <w:pPr>
              <w:pStyle w:val="MdTableCell"/>
            </w:pPr>
            <w:r>
              <w:t xml:space="preserve">Campaigns</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15–25</w:t>
            </w:r>
          </w:p>
        </w:tc>
      </w:tr>
    </w:tbl>
    <w:p>
      <w:pPr>
        <w:pStyle w:val="MdParagraph"/>
      </w:pPr>
      <w:r>
        <w:t xml:space="preserve">This plan should support a serious multi-channel client. It should include a visible roadmap and campaign workspace so the client and team can see what is planned 30–60 days ahead.</w:t>
      </w:r>
    </w:p>
    <w:p>
      <w:pPr>
        <w:pStyle w:val="MdSpace"/>
        <w:spacing w:before="0" w:after="60"/>
      </w:pPr>
    </w:p>
    <w:p>
      <w:pPr>
        <w:pStyle w:val="Heading3"/>
        <w:pStyle w:val="MdHeading3"/>
      </w:pPr>
      <w:r>
        <w:t xml:space="preserve">Accelerator Package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Cadence</w:t>
            </w:r>
          </w:p>
        </w:tc>
        <w:tc>
          <w:tcPr>
            <w:tcMar>
              <w:top w:type="dxa" w:w="100"/>
              <w:left w:type="dxa" w:w="120"/>
              <w:bottom w:type="dxa" w:w="100"/>
              <w:right w:type="dxa" w:w="120"/>
            </w:tcMar>
            <w:vAlign w:val="center"/>
          </w:tcPr>
          <w:p>
            <w:pPr>
              <w:pStyle w:val="MdTableHeader"/>
            </w:pPr>
            <w:r>
              <w:t xml:space="preserve">Template Task</w:t>
            </w:r>
          </w:p>
        </w:tc>
        <w:tc>
          <w:tcPr>
            <w:tcMar>
              <w:top w:type="dxa" w:w="100"/>
              <w:left w:type="dxa" w:w="120"/>
              <w:bottom w:type="dxa" w:w="100"/>
              <w:right w:type="dxa" w:w="120"/>
            </w:tcMar>
            <w:vAlign w:val="center"/>
          </w:tcPr>
          <w:p>
            <w:pPr>
              <w:pStyle w:val="MdTableHeader"/>
            </w:pPr>
            <w:r>
              <w:t xml:space="preserve">Service Track</w:t>
            </w:r>
          </w:p>
        </w:tc>
        <w:tc>
          <w:tcPr>
            <w:tcBorders>
              <w:right w:val="none"/>
            </w:tcBorders>
            <w:tcMar>
              <w:top w:type="dxa" w:w="100"/>
              <w:left w:type="dxa" w:w="120"/>
              <w:bottom w:type="dxa" w:w="100"/>
              <w:right w:type="dxa" w:w="120"/>
            </w:tcMar>
            <w:vAlign w:val="center"/>
          </w:tcPr>
          <w:p>
            <w:pPr>
              <w:pStyle w:val="MdTableHeader"/>
              <w:jc w:val="right"/>
            </w:pPr>
            <w:r>
              <w:t xml:space="preserve">Suggested Credit Impact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Weekly</w:t>
            </w:r>
          </w:p>
        </w:tc>
        <w:tc>
          <w:tcPr>
            <w:tcMar>
              <w:top w:type="dxa" w:w="80"/>
              <w:left w:type="dxa" w:w="120"/>
              <w:bottom w:type="dxa" w:w="80"/>
              <w:right w:type="dxa" w:w="120"/>
            </w:tcMar>
            <w:vAlign w:val="center"/>
          </w:tcPr>
          <w:p>
            <w:pPr>
              <w:pStyle w:val="MdTableCell"/>
            </w:pPr>
            <w:r>
              <w:t xml:space="preserve">Weekly account/project leadership touchpoint</w:t>
            </w:r>
          </w:p>
        </w:tc>
        <w:tc>
          <w:tcPr>
            <w:tcMar>
              <w:top w:type="dxa" w:w="80"/>
              <w:left w:type="dxa" w:w="120"/>
              <w:bottom w:type="dxa" w:w="80"/>
              <w:right w:type="dxa" w:w="120"/>
            </w:tcMar>
            <w:vAlign w:val="center"/>
          </w:tcPr>
          <w:p>
            <w:pPr>
              <w:pStyle w:val="MdTableCell"/>
            </w:pPr>
            <w:r>
              <w:t xml:space="preserve">Account Management</w:t>
            </w:r>
          </w:p>
        </w:tc>
        <w:tc>
          <w:tcPr>
            <w:tcBorders>
              <w:right w:val="none"/>
            </w:tcBorders>
            <w:tcMar>
              <w:top w:type="dxa" w:w="80"/>
              <w:left w:type="dxa" w:w="120"/>
              <w:bottom w:type="dxa" w:w="80"/>
              <w:right w:type="dxa" w:w="120"/>
            </w:tcMar>
            <w:vAlign w:val="center"/>
          </w:tcPr>
          <w:p>
            <w:pPr>
              <w:pStyle w:val="MdTableCell"/>
              <w:jc w:val="right"/>
            </w:pPr>
            <w:r>
              <w:t xml:space="preserve">2–3/week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Executive performance report and recommendations</w:t>
            </w:r>
          </w:p>
        </w:tc>
        <w:tc>
          <w:tcPr>
            <w:tcMar>
              <w:top w:type="dxa" w:w="80"/>
              <w:left w:type="dxa" w:w="120"/>
              <w:bottom w:type="dxa" w:w="80"/>
              <w:right w:type="dxa" w:w="120"/>
            </w:tcMar>
            <w:vAlign w:val="center"/>
          </w:tcPr>
          <w:p>
            <w:pPr>
              <w:pStyle w:val="MdTableCell"/>
            </w:pPr>
            <w:r>
              <w:t xml:space="preserve">Reporting</w:t>
            </w:r>
          </w:p>
        </w:tc>
        <w:tc>
          <w:tcPr>
            <w:tcBorders>
              <w:right w:val="none"/>
            </w:tcBorders>
            <w:tcMar>
              <w:top w:type="dxa" w:w="80"/>
              <w:left w:type="dxa" w:w="120"/>
              <w:bottom w:type="dxa" w:w="80"/>
              <w:right w:type="dxa" w:w="120"/>
            </w:tcMar>
            <w:vAlign w:val="center"/>
          </w:tcPr>
          <w:p>
            <w:pPr>
              <w:pStyle w:val="MdTableCell"/>
              <w:jc w:val="right"/>
            </w:pPr>
            <w:r>
              <w:t xml:space="preserve">5–6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60-day and 90-day roadmap management</w:t>
            </w:r>
          </w:p>
        </w:tc>
        <w:tc>
          <w:tcPr>
            <w:tcMar>
              <w:top w:type="dxa" w:w="80"/>
              <w:left w:type="dxa" w:w="120"/>
              <w:bottom w:type="dxa" w:w="80"/>
              <w:right w:type="dxa" w:w="120"/>
            </w:tcMar>
            <w:vAlign w:val="center"/>
          </w:tcPr>
          <w:p>
            <w:pPr>
              <w:pStyle w:val="MdTableCell"/>
            </w:pPr>
            <w:r>
              <w:t xml:space="preserve">Strategy</w:t>
            </w:r>
          </w:p>
        </w:tc>
        <w:tc>
          <w:tcPr>
            <w:tcBorders>
              <w:right w:val="none"/>
            </w:tcBorders>
            <w:tcMar>
              <w:top w:type="dxa" w:w="80"/>
              <w:left w:type="dxa" w:w="120"/>
              <w:bottom w:type="dxa" w:w="80"/>
              <w:right w:type="dxa" w:w="120"/>
            </w:tcMar>
            <w:vAlign w:val="center"/>
          </w:tcPr>
          <w:p>
            <w:pPr>
              <w:pStyle w:val="MdTableCell"/>
              <w:jc w:val="right"/>
            </w:pPr>
            <w:r>
              <w:t xml:space="preserve">4–6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Six to eight content pieces or equivalent</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18–30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Twelve or more social posts and publishing tasks</w:t>
            </w:r>
          </w:p>
        </w:tc>
        <w:tc>
          <w:tcPr>
            <w:tcMar>
              <w:top w:type="dxa" w:w="80"/>
              <w:left w:type="dxa" w:w="120"/>
              <w:bottom w:type="dxa" w:w="80"/>
              <w:right w:type="dxa" w:w="120"/>
            </w:tcMar>
            <w:vAlign w:val="center"/>
          </w:tcPr>
          <w:p>
            <w:pPr>
              <w:pStyle w:val="MdTableCell"/>
            </w:pPr>
            <w:r>
              <w:t xml:space="preserve">Content Engine</w:t>
            </w:r>
          </w:p>
        </w:tc>
        <w:tc>
          <w:tcPr>
            <w:tcBorders>
              <w:right w:val="none"/>
            </w:tcBorders>
            <w:tcMar>
              <w:top w:type="dxa" w:w="80"/>
              <w:left w:type="dxa" w:w="120"/>
              <w:bottom w:type="dxa" w:w="80"/>
              <w:right w:type="dxa" w:w="120"/>
            </w:tcMar>
            <w:vAlign w:val="center"/>
          </w:tcPr>
          <w:p>
            <w:pPr>
              <w:pStyle w:val="MdTableCell"/>
              <w:jc w:val="right"/>
            </w:pPr>
            <w:r>
              <w:t xml:space="preserve">6–12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Newsletter plus segmented email/nurture campaign work</w:t>
            </w:r>
          </w:p>
        </w:tc>
        <w:tc>
          <w:tcPr>
            <w:tcMar>
              <w:top w:type="dxa" w:w="80"/>
              <w:left w:type="dxa" w:w="120"/>
              <w:bottom w:type="dxa" w:w="80"/>
              <w:right w:type="dxa" w:w="120"/>
            </w:tcMar>
            <w:vAlign w:val="center"/>
          </w:tcPr>
          <w:p>
            <w:pPr>
              <w:pStyle w:val="MdTableCell"/>
            </w:pPr>
            <w:r>
              <w:t xml:space="preserve">Email / HubSpot</w:t>
            </w:r>
          </w:p>
        </w:tc>
        <w:tc>
          <w:tcPr>
            <w:tcBorders>
              <w:right w:val="none"/>
            </w:tcBorders>
            <w:tcMar>
              <w:top w:type="dxa" w:w="80"/>
              <w:left w:type="dxa" w:w="120"/>
              <w:bottom w:type="dxa" w:w="80"/>
              <w:right w:type="dxa" w:w="120"/>
            </w:tcMar>
            <w:vAlign w:val="center"/>
          </w:tcPr>
          <w:p>
            <w:pPr>
              <w:pStyle w:val="MdTableCell"/>
              <w:jc w:val="right"/>
            </w:pPr>
            <w:r>
              <w:t xml:space="preserve">6–12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GBP/local SEO/content distribution system</w:t>
            </w:r>
          </w:p>
        </w:tc>
        <w:tc>
          <w:tcPr>
            <w:tcMar>
              <w:top w:type="dxa" w:w="80"/>
              <w:left w:type="dxa" w:w="120"/>
              <w:bottom w:type="dxa" w:w="80"/>
              <w:right w:type="dxa" w:w="120"/>
            </w:tcMar>
            <w:vAlign w:val="center"/>
          </w:tcPr>
          <w:p>
            <w:pPr>
              <w:pStyle w:val="MdTableCell"/>
            </w:pPr>
            <w:r>
              <w:t xml:space="preserve">Local SEO and GBP</w:t>
            </w:r>
          </w:p>
        </w:tc>
        <w:tc>
          <w:tcPr>
            <w:tcBorders>
              <w:right w:val="none"/>
            </w:tcBorders>
            <w:tcMar>
              <w:top w:type="dxa" w:w="80"/>
              <w:left w:type="dxa" w:w="120"/>
              <w:bottom w:type="dxa" w:w="80"/>
              <w:right w:type="dxa" w:w="120"/>
            </w:tcMar>
            <w:vAlign w:val="center"/>
          </w:tcPr>
          <w:p>
            <w:pPr>
              <w:pStyle w:val="MdTableCell"/>
              <w:jc w:val="right"/>
            </w:pPr>
            <w:r>
              <w:t xml:space="preserve">6–10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HubSpot workflows, CRM hygiene, dashboards, and optimization</w:t>
            </w:r>
          </w:p>
        </w:tc>
        <w:tc>
          <w:tcPr>
            <w:tcMar>
              <w:top w:type="dxa" w:w="80"/>
              <w:left w:type="dxa" w:w="120"/>
              <w:bottom w:type="dxa" w:w="80"/>
              <w:right w:type="dxa" w:w="120"/>
            </w:tcMar>
            <w:vAlign w:val="center"/>
          </w:tcPr>
          <w:p>
            <w:pPr>
              <w:pStyle w:val="MdTableCell"/>
            </w:pPr>
            <w:r>
              <w:t xml:space="preserve">HubSpot / CRM</w:t>
            </w:r>
          </w:p>
        </w:tc>
        <w:tc>
          <w:tcPr>
            <w:tcBorders>
              <w:right w:val="none"/>
            </w:tcBorders>
            <w:tcMar>
              <w:top w:type="dxa" w:w="80"/>
              <w:left w:type="dxa" w:w="120"/>
              <w:bottom w:type="dxa" w:w="80"/>
              <w:right w:type="dxa" w:w="120"/>
            </w:tcMar>
            <w:vAlign w:val="center"/>
          </w:tcPr>
          <w:p>
            <w:pPr>
              <w:pStyle w:val="MdTableCell"/>
              <w:jc w:val="right"/>
            </w:pPr>
            <w:r>
              <w:t xml:space="preserve">8–15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Campaign/funnel build or optimization sprint</w:t>
            </w:r>
          </w:p>
        </w:tc>
        <w:tc>
          <w:tcPr>
            <w:tcMar>
              <w:top w:type="dxa" w:w="80"/>
              <w:left w:type="dxa" w:w="120"/>
              <w:bottom w:type="dxa" w:w="80"/>
              <w:right w:type="dxa" w:w="120"/>
            </w:tcMar>
            <w:vAlign w:val="center"/>
          </w:tcPr>
          <w:p>
            <w:pPr>
              <w:pStyle w:val="MdTableCell"/>
            </w:pPr>
            <w:r>
              <w:t xml:space="preserve">Campaigns</w:t>
            </w:r>
          </w:p>
        </w:tc>
        <w:tc>
          <w:tcPr>
            <w:tcBorders>
              <w:right w:val="none"/>
            </w:tcBorders>
            <w:tcMar>
              <w:top w:type="dxa" w:w="80"/>
              <w:left w:type="dxa" w:w="120"/>
              <w:bottom w:type="dxa" w:w="80"/>
              <w:right w:type="dxa" w:w="120"/>
            </w:tcMar>
            <w:vAlign w:val="center"/>
          </w:tcPr>
          <w:p>
            <w:pPr>
              <w:pStyle w:val="MdTableCell"/>
              <w:jc w:val="right"/>
            </w:pPr>
            <w:r>
              <w:t xml:space="preserve">15–25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Website/landing page/CRO improvement block</w:t>
            </w:r>
          </w:p>
        </w:tc>
        <w:tc>
          <w:tcPr>
            <w:tcMar>
              <w:top w:type="dxa" w:w="80"/>
              <w:left w:type="dxa" w:w="120"/>
              <w:bottom w:type="dxa" w:w="80"/>
              <w:right w:type="dxa" w:w="120"/>
            </w:tcMar>
            <w:vAlign w:val="center"/>
          </w:tcPr>
          <w:p>
            <w:pPr>
              <w:pStyle w:val="MdTableCell"/>
            </w:pPr>
            <w:r>
              <w:t xml:space="preserve">Website and Technical</w:t>
            </w:r>
          </w:p>
        </w:tc>
        <w:tc>
          <w:tcPr>
            <w:tcBorders>
              <w:right w:val="none"/>
            </w:tcBorders>
            <w:tcMar>
              <w:top w:type="dxa" w:w="80"/>
              <w:left w:type="dxa" w:w="120"/>
              <w:bottom w:type="dxa" w:w="80"/>
              <w:right w:type="dxa" w:w="120"/>
            </w:tcMar>
            <w:vAlign w:val="center"/>
          </w:tcPr>
          <w:p>
            <w:pPr>
              <w:pStyle w:val="MdTableCell"/>
              <w:jc w:val="right"/>
            </w:pPr>
            <w:r>
              <w:t xml:space="preserve">6–12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Paid ads creative/optimization/reporting if included</w:t>
            </w:r>
          </w:p>
        </w:tc>
        <w:tc>
          <w:tcPr>
            <w:tcMar>
              <w:top w:type="dxa" w:w="80"/>
              <w:left w:type="dxa" w:w="120"/>
              <w:bottom w:type="dxa" w:w="80"/>
              <w:right w:type="dxa" w:w="120"/>
            </w:tcMar>
            <w:vAlign w:val="center"/>
          </w:tcPr>
          <w:p>
            <w:pPr>
              <w:pStyle w:val="MdTableCell"/>
            </w:pPr>
            <w:r>
              <w:t xml:space="preserve">Paid Ads</w:t>
            </w:r>
          </w:p>
        </w:tc>
        <w:tc>
          <w:tcPr>
            <w:tcBorders>
              <w:right w:val="none"/>
            </w:tcBorders>
            <w:tcMar>
              <w:top w:type="dxa" w:w="80"/>
              <w:left w:type="dxa" w:w="120"/>
              <w:bottom w:type="dxa" w:w="80"/>
              <w:right w:type="dxa" w:w="120"/>
            </w:tcMar>
            <w:vAlign w:val="center"/>
          </w:tcPr>
          <w:p>
            <w:pPr>
              <w:pStyle w:val="MdTableCell"/>
              <w:jc w:val="right"/>
            </w:pPr>
            <w:r>
              <w:t xml:space="preserve">8–15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Quarterly</w:t>
            </w:r>
          </w:p>
        </w:tc>
        <w:tc>
          <w:tcPr>
            <w:tcMar>
              <w:top w:type="dxa" w:w="80"/>
              <w:left w:type="dxa" w:w="120"/>
              <w:bottom w:type="dxa" w:w="80"/>
              <w:right w:type="dxa" w:w="120"/>
            </w:tcMar>
            <w:vAlign w:val="center"/>
          </w:tcPr>
          <w:p>
            <w:pPr>
              <w:pStyle w:val="MdTableCell"/>
            </w:pPr>
            <w:r>
              <w:t xml:space="preserve">Quarterly strategic deep dive and executive roadmap</w:t>
            </w:r>
          </w:p>
        </w:tc>
        <w:tc>
          <w:tcPr>
            <w:tcMar>
              <w:top w:type="dxa" w:w="80"/>
              <w:left w:type="dxa" w:w="120"/>
              <w:bottom w:type="dxa" w:w="80"/>
              <w:right w:type="dxa" w:w="120"/>
            </w:tcMar>
            <w:vAlign w:val="center"/>
          </w:tcPr>
          <w:p>
            <w:pPr>
              <w:pStyle w:val="MdTableCell"/>
            </w:pPr>
            <w:r>
              <w:t xml:space="preserve">Strategy / Reporting</w:t>
            </w:r>
          </w:p>
        </w:tc>
        <w:tc>
          <w:tcPr>
            <w:tcBorders>
              <w:right w:val="none"/>
            </w:tcBorders>
            <w:tcMar>
              <w:top w:type="dxa" w:w="80"/>
              <w:left w:type="dxa" w:w="120"/>
              <w:bottom w:type="dxa" w:w="80"/>
              <w:right w:type="dxa" w:w="120"/>
            </w:tcMar>
            <w:vAlign w:val="center"/>
          </w:tcPr>
          <w:p>
            <w:pPr>
              <w:pStyle w:val="MdTableCell"/>
              <w:jc w:val="right"/>
            </w:pPr>
            <w:r>
              <w:t xml:space="preserve">8–12</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Annual</w:t>
            </w:r>
          </w:p>
        </w:tc>
        <w:tc>
          <w:tcPr>
            <w:tcBorders>
              <w:bottom w:val="single" w:color="E1E4E8" w:sz="4"/>
            </w:tcBorders>
            <w:tcMar>
              <w:top w:type="dxa" w:w="80"/>
              <w:left w:type="dxa" w:w="120"/>
              <w:bottom w:type="dxa" w:w="80"/>
              <w:right w:type="dxa" w:w="120"/>
            </w:tcMar>
            <w:vAlign w:val="center"/>
          </w:tcPr>
          <w:p>
            <w:pPr>
              <w:pStyle w:val="MdTableCell"/>
            </w:pPr>
            <w:r>
              <w:t xml:space="preserve">Year-end report and next-year growth plan</w:t>
            </w:r>
          </w:p>
        </w:tc>
        <w:tc>
          <w:tcPr>
            <w:tcBorders>
              <w:bottom w:val="single" w:color="E1E4E8" w:sz="4"/>
            </w:tcBorders>
            <w:tcMar>
              <w:top w:type="dxa" w:w="80"/>
              <w:left w:type="dxa" w:w="120"/>
              <w:bottom w:type="dxa" w:w="80"/>
              <w:right w:type="dxa" w:w="120"/>
            </w:tcMar>
            <w:vAlign w:val="center"/>
          </w:tcPr>
          <w:p>
            <w:pPr>
              <w:pStyle w:val="MdTableCell"/>
            </w:pPr>
            <w:r>
              <w:t xml:space="preserve">Strategy / Reporting</w:t>
            </w:r>
          </w:p>
        </w:tc>
        <w:tc>
          <w:tcPr>
            <w:tcBorders>
              <w:bottom w:val="single" w:color="E1E4E8" w:sz="4"/>
              <w:right w:val="none"/>
            </w:tcBorders>
            <w:tcMar>
              <w:top w:type="dxa" w:w="80"/>
              <w:left w:type="dxa" w:w="120"/>
              <w:bottom w:type="dxa" w:w="80"/>
              <w:right w:type="dxa" w:w="120"/>
            </w:tcMar>
            <w:vAlign w:val="center"/>
          </w:tcPr>
          <w:p>
            <w:pPr>
              <w:pStyle w:val="MdTableCell"/>
              <w:jc w:val="right"/>
            </w:pPr>
            <w:r>
              <w:t xml:space="preserve">10–15</w:t>
            </w:r>
          </w:p>
        </w:tc>
      </w:tr>
    </w:tbl>
    <w:p>
      <w:pPr>
        <w:pStyle w:val="MdParagraph"/>
      </w:pPr>
      <w:r>
        <w:t xml:space="preserve">This plan should be positioned as an outsourced growth department, not simply “more credits.” It needs the strongest project-management experience in the portal, including dependencies, owners, due dates, approvals, content calendar, campaign workspaces, client resources, and executive reporting.</w:t>
      </w:r>
    </w:p>
    <w:p>
      <w:pPr>
        <w:pStyle w:val="MdSpace"/>
        <w:spacing w:before="0" w:after="60"/>
      </w:pPr>
    </w:p>
    <w:p>
      <w:pPr>
        <w:pStyle w:val="Heading2"/>
        <w:pStyle w:val="MdHeading2"/>
      </w:pPr>
      <w:r>
        <w:t xml:space="preserve">Add-On Modules</w:t>
      </w:r>
    </w:p>
    <w:p>
      <w:pPr>
        <w:pStyle w:val="MdParagraph"/>
      </w:pPr>
      <w:r>
        <w:t xml:space="preserve">Near Me Connect should allow add-on modules to be attached to any retainer. This prevents the main plans from becoming confusing and gives the team a clean way to increase price when scope grows.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Add-On</w:t>
            </w:r>
          </w:p>
        </w:tc>
        <w:tc>
          <w:tcPr>
            <w:tcMar>
              <w:top w:type="dxa" w:w="100"/>
              <w:left w:type="dxa" w:w="120"/>
              <w:bottom w:type="dxa" w:w="100"/>
              <w:right w:type="dxa" w:w="120"/>
            </w:tcMar>
            <w:vAlign w:val="center"/>
          </w:tcPr>
          <w:p>
            <w:pPr>
              <w:pStyle w:val="MdTableHeader"/>
              <w:jc w:val="right"/>
            </w:pPr>
            <w:r>
              <w:t xml:space="preserve">Suggested Price</w:t>
            </w:r>
          </w:p>
        </w:tc>
        <w:tc>
          <w:tcPr>
            <w:tcBorders>
              <w:right w:val="none"/>
            </w:tcBorders>
            <w:tcMar>
              <w:top w:type="dxa" w:w="100"/>
              <w:left w:type="dxa" w:w="120"/>
              <w:bottom w:type="dxa" w:w="100"/>
              <w:right w:type="dxa" w:w="120"/>
            </w:tcMar>
            <w:vAlign w:val="center"/>
          </w:tcPr>
          <w:p>
            <w:pPr>
              <w:pStyle w:val="MdTableHeader"/>
            </w:pPr>
            <w:r>
              <w:t xml:space="preserve">Default Task Template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 Admin</w:t>
            </w:r>
          </w:p>
        </w:tc>
        <w:tc>
          <w:tcPr>
            <w:tcMar>
              <w:top w:type="dxa" w:w="80"/>
              <w:left w:type="dxa" w:w="120"/>
              <w:bottom w:type="dxa" w:w="80"/>
              <w:right w:type="dxa" w:w="120"/>
            </w:tcMar>
            <w:vAlign w:val="center"/>
          </w:tcPr>
          <w:p>
            <w:pPr>
              <w:pStyle w:val="MdTableCell"/>
              <w:jc w:val="right"/>
            </w:pPr>
            <w:r>
              <w:t xml:space="preserve">$2,500–$5,000/month</w:t>
            </w:r>
          </w:p>
        </w:tc>
        <w:tc>
          <w:tcPr>
            <w:tcBorders>
              <w:right w:val="none"/>
            </w:tcBorders>
            <w:tcMar>
              <w:top w:type="dxa" w:w="80"/>
              <w:left w:type="dxa" w:w="120"/>
              <w:bottom w:type="dxa" w:w="80"/>
              <w:right w:type="dxa" w:w="120"/>
            </w:tcMar>
            <w:vAlign w:val="center"/>
          </w:tcPr>
          <w:p>
            <w:pPr>
              <w:pStyle w:val="MdTableCell"/>
            </w:pPr>
            <w:r>
              <w:t xml:space="preserve">Monthly CRM health check, property/list review, workflow monitoring, dashboard review, user/support queue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RevOps Support</w:t>
            </w:r>
          </w:p>
        </w:tc>
        <w:tc>
          <w:tcPr>
            <w:tcMar>
              <w:top w:type="dxa" w:w="80"/>
              <w:left w:type="dxa" w:w="120"/>
              <w:bottom w:type="dxa" w:w="80"/>
              <w:right w:type="dxa" w:w="120"/>
            </w:tcMar>
            <w:vAlign w:val="center"/>
          </w:tcPr>
          <w:p>
            <w:pPr>
              <w:pStyle w:val="MdTableCell"/>
              <w:jc w:val="right"/>
            </w:pPr>
            <w:r>
              <w:t xml:space="preserve">$5,000–$10,000/month</w:t>
            </w:r>
          </w:p>
        </w:tc>
        <w:tc>
          <w:tcPr>
            <w:tcBorders>
              <w:right w:val="none"/>
            </w:tcBorders>
            <w:tcMar>
              <w:top w:type="dxa" w:w="80"/>
              <w:left w:type="dxa" w:w="120"/>
              <w:bottom w:type="dxa" w:w="80"/>
              <w:right w:type="dxa" w:w="120"/>
            </w:tcMar>
            <w:vAlign w:val="center"/>
          </w:tcPr>
          <w:p>
            <w:pPr>
              <w:pStyle w:val="MdTableCell"/>
            </w:pPr>
            <w:r>
              <w:t xml:space="preserve">Pipeline/process review, lifecycle reporting, sales enablement tasks, quarterly process optimization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Paid Ads Management</w:t>
            </w:r>
          </w:p>
        </w:tc>
        <w:tc>
          <w:tcPr>
            <w:tcMar>
              <w:top w:type="dxa" w:w="80"/>
              <w:left w:type="dxa" w:w="120"/>
              <w:bottom w:type="dxa" w:w="80"/>
              <w:right w:type="dxa" w:w="120"/>
            </w:tcMar>
            <w:vAlign w:val="center"/>
          </w:tcPr>
          <w:p>
            <w:pPr>
              <w:pStyle w:val="MdTableCell"/>
              <w:jc w:val="right"/>
            </w:pPr>
            <w:r>
              <w:t xml:space="preserve">$1,500–$5,000/month plus ad spend</w:t>
            </w:r>
          </w:p>
        </w:tc>
        <w:tc>
          <w:tcPr>
            <w:tcBorders>
              <w:right w:val="none"/>
            </w:tcBorders>
            <w:tcMar>
              <w:top w:type="dxa" w:w="80"/>
              <w:left w:type="dxa" w:w="120"/>
              <w:bottom w:type="dxa" w:w="80"/>
              <w:right w:type="dxa" w:w="120"/>
            </w:tcMar>
            <w:vAlign w:val="center"/>
          </w:tcPr>
          <w:p>
            <w:pPr>
              <w:pStyle w:val="MdTableCell"/>
            </w:pPr>
            <w:r>
              <w:t xml:space="preserve">Weekly optimization, monthly ads report, creative refresh, audience review, tracking QA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SEO/GBP Growth</w:t>
            </w:r>
          </w:p>
        </w:tc>
        <w:tc>
          <w:tcPr>
            <w:tcMar>
              <w:top w:type="dxa" w:w="80"/>
              <w:left w:type="dxa" w:w="120"/>
              <w:bottom w:type="dxa" w:w="80"/>
              <w:right w:type="dxa" w:w="120"/>
            </w:tcMar>
            <w:vAlign w:val="center"/>
          </w:tcPr>
          <w:p>
            <w:pPr>
              <w:pStyle w:val="MdTableCell"/>
              <w:jc w:val="right"/>
            </w:pPr>
            <w:r>
              <w:t xml:space="preserve">$1,500–$4,000/month</w:t>
            </w:r>
          </w:p>
        </w:tc>
        <w:tc>
          <w:tcPr>
            <w:tcBorders>
              <w:right w:val="none"/>
            </w:tcBorders>
            <w:tcMar>
              <w:top w:type="dxa" w:w="80"/>
              <w:left w:type="dxa" w:w="120"/>
              <w:bottom w:type="dxa" w:w="80"/>
              <w:right w:type="dxa" w:w="120"/>
            </w:tcMar>
            <w:vAlign w:val="center"/>
          </w:tcPr>
          <w:p>
            <w:pPr>
              <w:pStyle w:val="MdTableCell"/>
            </w:pPr>
            <w:r>
              <w:t xml:space="preserve">GBP posts, category/service checks, citation tracker, local landing page priorities, review prompts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Content Distribution</w:t>
            </w:r>
          </w:p>
        </w:tc>
        <w:tc>
          <w:tcPr>
            <w:tcMar>
              <w:top w:type="dxa" w:w="80"/>
              <w:left w:type="dxa" w:w="120"/>
              <w:bottom w:type="dxa" w:w="80"/>
              <w:right w:type="dxa" w:w="120"/>
            </w:tcMar>
            <w:vAlign w:val="center"/>
          </w:tcPr>
          <w:p>
            <w:pPr>
              <w:pStyle w:val="MdTableCell"/>
              <w:jc w:val="right"/>
            </w:pPr>
            <w:r>
              <w:t xml:space="preserve">$1,000–$3,000/month</w:t>
            </w:r>
          </w:p>
        </w:tc>
        <w:tc>
          <w:tcPr>
            <w:tcBorders>
              <w:right w:val="none"/>
            </w:tcBorders>
            <w:tcMar>
              <w:top w:type="dxa" w:w="80"/>
              <w:left w:type="dxa" w:w="120"/>
              <w:bottom w:type="dxa" w:w="80"/>
              <w:right w:type="dxa" w:w="120"/>
            </w:tcMar>
            <w:vAlign w:val="center"/>
          </w:tcPr>
          <w:p>
            <w:pPr>
              <w:pStyle w:val="MdTableCell"/>
            </w:pPr>
            <w:r>
              <w:t xml:space="preserve">Repurpose content to Medium/blog/resource posts, directory/resource link updates, tracking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Website Support</w:t>
            </w:r>
          </w:p>
        </w:tc>
        <w:tc>
          <w:tcPr>
            <w:tcBorders>
              <w:bottom w:val="single" w:color="E1E4E8" w:sz="4"/>
            </w:tcBorders>
            <w:tcMar>
              <w:top w:type="dxa" w:w="80"/>
              <w:left w:type="dxa" w:w="120"/>
              <w:bottom w:type="dxa" w:w="80"/>
              <w:right w:type="dxa" w:w="120"/>
            </w:tcMar>
            <w:vAlign w:val="center"/>
          </w:tcPr>
          <w:p>
            <w:pPr>
              <w:pStyle w:val="MdTableCell"/>
              <w:jc w:val="right"/>
            </w:pPr>
            <w:r>
              <w:t xml:space="preserve">$1,500–$4,000/month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Copy updates, technical fixes, landing page edits, conversion tracking, monthly QA</w:t>
            </w:r>
          </w:p>
        </w:tc>
      </w:tr>
    </w:tbl>
    <w:p>
      <w:pPr>
        <w:pStyle w:val="Heading2"/>
        <w:pStyle w:val="MdHeading2"/>
      </w:pPr>
      <w:r>
        <w:t xml:space="preserve">Automatic Task-Generation Rules</w:t>
      </w:r>
    </w:p>
    <w:p>
      <w:pPr>
        <w:pStyle w:val="MdParagraph"/>
      </w:pPr>
      <w:r>
        <w:t xml:space="preserve">The portal should support predictable recurring work without requiring the team to recreate the same task list every month. A </w:t>
      </w:r>
      <w:r>
        <w:rPr>
          <w:rStyle w:val="MdStrong"/>
          <w:b/>
          <w:bCs/>
        </w:rPr>
        <w:t xml:space="preserve">Retainer Assignment</w:t>
      </w:r>
      <w:r>
        <w:t xml:space="preserve"> should connect a client to a retainer template and selected service tracks.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Rule</w:t>
            </w:r>
          </w:p>
        </w:tc>
        <w:tc>
          <w:tcPr>
            <w:tcBorders>
              <w:right w:val="none"/>
            </w:tcBorders>
            <w:tcMar>
              <w:top w:type="dxa" w:w="100"/>
              <w:left w:type="dxa" w:w="120"/>
              <w:bottom w:type="dxa" w:w="100"/>
              <w:right w:type="dxa" w:w="120"/>
            </w:tcMar>
            <w:vAlign w:val="center"/>
          </w:tcPr>
          <w:p>
            <w:pPr>
              <w:pStyle w:val="MdTableHeader"/>
            </w:pPr>
            <w:r>
              <w:t xml:space="preserve">Recommended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Generation window</w:t>
            </w:r>
          </w:p>
        </w:tc>
        <w:tc>
          <w:tcPr>
            <w:tcBorders>
              <w:right w:val="none"/>
            </w:tcBorders>
            <w:tcMar>
              <w:top w:type="dxa" w:w="80"/>
              <w:left w:type="dxa" w:w="120"/>
              <w:bottom w:type="dxa" w:w="80"/>
              <w:right w:type="dxa" w:w="120"/>
            </w:tcMar>
            <w:vAlign w:val="center"/>
          </w:tcPr>
          <w:p>
            <w:pPr>
              <w:pStyle w:val="MdTableCell"/>
            </w:pPr>
            <w:r>
              <w:t xml:space="preserve">Generate tasks at least 60 days ahead, with an option for 30, 60, or 90 days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Billing cycle anchor</w:t>
            </w:r>
          </w:p>
        </w:tc>
        <w:tc>
          <w:tcPr>
            <w:tcBorders>
              <w:right w:val="none"/>
            </w:tcBorders>
            <w:tcMar>
              <w:top w:type="dxa" w:w="80"/>
              <w:left w:type="dxa" w:w="120"/>
              <w:bottom w:type="dxa" w:w="80"/>
              <w:right w:type="dxa" w:w="120"/>
            </w:tcMar>
            <w:vAlign w:val="center"/>
          </w:tcPr>
          <w:p>
            <w:pPr>
              <w:pStyle w:val="MdTableCell"/>
            </w:pPr>
            <w:r>
              <w:t xml:space="preserve">Use the client’s retainer start date or billing day to schedule monthly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 tracks</w:t>
            </w:r>
          </w:p>
        </w:tc>
        <w:tc>
          <w:tcPr>
            <w:tcBorders>
              <w:right w:val="none"/>
            </w:tcBorders>
            <w:tcMar>
              <w:top w:type="dxa" w:w="80"/>
              <w:left w:type="dxa" w:w="120"/>
              <w:bottom w:type="dxa" w:w="80"/>
              <w:right w:type="dxa" w:w="120"/>
            </w:tcMar>
            <w:vAlign w:val="center"/>
          </w:tcPr>
          <w:p>
            <w:pPr>
              <w:pStyle w:val="MdTableCell"/>
            </w:pPr>
            <w:r>
              <w:t xml:space="preserve">Only generate tasks for active service tracks attached to the 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dependencies</w:t>
            </w:r>
          </w:p>
        </w:tc>
        <w:tc>
          <w:tcPr>
            <w:tcBorders>
              <w:right w:val="none"/>
            </w:tcBorders>
            <w:tcMar>
              <w:top w:type="dxa" w:w="80"/>
              <w:left w:type="dxa" w:w="120"/>
              <w:bottom w:type="dxa" w:w="80"/>
              <w:right w:type="dxa" w:w="120"/>
            </w:tcMar>
            <w:vAlign w:val="center"/>
          </w:tcPr>
          <w:p>
            <w:pPr>
              <w:pStyle w:val="MdTableCell"/>
            </w:pPr>
            <w:r>
              <w:t xml:space="preserve">Campaign templates should create dependencies such as strategy before copy, copy before design, design before build, build before QA, QA before launch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Credit reservations</w:t>
            </w:r>
          </w:p>
        </w:tc>
        <w:tc>
          <w:tcPr>
            <w:tcBorders>
              <w:right w:val="none"/>
            </w:tcBorders>
            <w:tcMar>
              <w:top w:type="dxa" w:w="80"/>
              <w:left w:type="dxa" w:w="120"/>
              <w:bottom w:type="dxa" w:w="80"/>
              <w:right w:type="dxa" w:w="120"/>
            </w:tcMar>
            <w:vAlign w:val="center"/>
          </w:tcPr>
          <w:p>
            <w:pPr>
              <w:pStyle w:val="MdTableCell"/>
            </w:pPr>
            <w:r>
              <w:t xml:space="preserve">Future generated tasks should reserve projected credits so the command center shows upcoming capacity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Approval status</w:t>
            </w:r>
          </w:p>
        </w:tc>
        <w:tc>
          <w:tcPr>
            <w:tcBorders>
              <w:right w:val="none"/>
            </w:tcBorders>
            <w:tcMar>
              <w:top w:type="dxa" w:w="80"/>
              <w:left w:type="dxa" w:w="120"/>
              <w:bottom w:type="dxa" w:w="80"/>
              <w:right w:type="dxa" w:w="120"/>
            </w:tcMar>
            <w:vAlign w:val="center"/>
          </w:tcPr>
          <w:p>
            <w:pPr>
              <w:pStyle w:val="MdTableCell"/>
            </w:pPr>
            <w:r>
              <w:t xml:space="preserve">Client-facing tasks should have statuses such as internal draft, ready for approval, approved, scheduled, published, and reported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Owner defaults</w:t>
            </w:r>
          </w:p>
        </w:tc>
        <w:tc>
          <w:tcPr>
            <w:tcBorders>
              <w:right w:val="none"/>
            </w:tcBorders>
            <w:tcMar>
              <w:top w:type="dxa" w:w="80"/>
              <w:left w:type="dxa" w:w="120"/>
              <w:bottom w:type="dxa" w:w="80"/>
              <w:right w:type="dxa" w:w="120"/>
            </w:tcMar>
            <w:vAlign w:val="center"/>
          </w:tcPr>
          <w:p>
            <w:pPr>
              <w:pStyle w:val="MdTableCell"/>
            </w:pPr>
            <w:r>
              <w:t xml:space="preserve">Templates should define default role ownership, such as strategist, content lead, designer, developer, HubSpot specialist, or account manager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Skipping and rollover</w:t>
            </w:r>
          </w:p>
        </w:tc>
        <w:tc>
          <w:tcPr>
            <w:tcBorders>
              <w:right w:val="none"/>
            </w:tcBorders>
            <w:tcMar>
              <w:top w:type="dxa" w:w="80"/>
              <w:left w:type="dxa" w:w="120"/>
              <w:bottom w:type="dxa" w:w="80"/>
              <w:right w:type="dxa" w:w="120"/>
            </w:tcMar>
            <w:vAlign w:val="center"/>
          </w:tcPr>
          <w:p>
            <w:pPr>
              <w:pStyle w:val="MdTableCell"/>
            </w:pPr>
            <w:r>
              <w:t xml:space="preserve">Admins should be able to skip a generated task, move it to next month, or convert it to a one-time task with a note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Overage warning</w:t>
            </w:r>
          </w:p>
        </w:tc>
        <w:tc>
          <w:tcPr>
            <w:tcBorders>
              <w:right w:val="none"/>
            </w:tcBorders>
            <w:tcMar>
              <w:top w:type="dxa" w:w="80"/>
              <w:left w:type="dxa" w:w="120"/>
              <w:bottom w:type="dxa" w:w="80"/>
              <w:right w:type="dxa" w:w="120"/>
            </w:tcMar>
            <w:vAlign w:val="center"/>
          </w:tcPr>
          <w:p>
            <w:pPr>
              <w:pStyle w:val="MdTableCell"/>
            </w:pPr>
            <w:r>
              <w:t xml:space="preserve">If generated tasks exceed the monthly credit allowance, show a warning before creation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Task source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Each task should show whether it came from a retainer template, campaign template, manual task, or one-time project</w:t>
            </w:r>
          </w:p>
        </w:tc>
      </w:tr>
    </w:tbl>
    <w:p>
      <w:pPr>
        <w:pStyle w:val="Heading2"/>
        <w:pStyle w:val="MdHeading2"/>
      </w:pPr>
      <w:r>
        <w:t xml:space="preserve">Data Model Recommendation</w:t>
      </w:r>
    </w:p>
    <w:p>
      <w:pPr>
        <w:pStyle w:val="MdParagraph"/>
      </w:pPr>
      <w:r>
        <w:t xml:space="preserve">To support the retainer system cleanly, the portal should add or strengthen these entities.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Object</w:t>
            </w:r>
          </w:p>
        </w:tc>
        <w:tc>
          <w:tcPr>
            <w:tcMar>
              <w:top w:type="dxa" w:w="100"/>
              <w:left w:type="dxa" w:w="120"/>
              <w:bottom w:type="dxa" w:w="100"/>
              <w:right w:type="dxa" w:w="120"/>
            </w:tcMar>
            <w:vAlign w:val="center"/>
          </w:tcPr>
          <w:p>
            <w:pPr>
              <w:pStyle w:val="MdTableHeader"/>
            </w:pPr>
            <w:r>
              <w:t xml:space="preserve">Purpose</w:t>
            </w:r>
          </w:p>
        </w:tc>
        <w:tc>
          <w:tcPr>
            <w:tcBorders>
              <w:right w:val="none"/>
            </w:tcBorders>
            <w:tcMar>
              <w:top w:type="dxa" w:w="100"/>
              <w:left w:type="dxa" w:w="120"/>
              <w:bottom w:type="dxa" w:w="100"/>
              <w:right w:type="dxa" w:w="120"/>
            </w:tcMar>
            <w:vAlign w:val="center"/>
          </w:tcPr>
          <w:p>
            <w:pPr>
              <w:pStyle w:val="MdTableHeader"/>
            </w:pPr>
            <w:r>
              <w:t xml:space="preserve">Key Relationships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RetainerTemplate</w:t>
            </w:r>
          </w:p>
        </w:tc>
        <w:tc>
          <w:tcPr>
            <w:tcMar>
              <w:top w:type="dxa" w:w="80"/>
              <w:left w:type="dxa" w:w="120"/>
              <w:bottom w:type="dxa" w:w="80"/>
              <w:right w:type="dxa" w:w="120"/>
            </w:tcMar>
            <w:vAlign w:val="center"/>
          </w:tcPr>
          <w:p>
            <w:pPr>
              <w:pStyle w:val="MdTableCell"/>
            </w:pPr>
            <w:r>
              <w:t xml:space="preserve">Defines a reusable package</w:t>
            </w:r>
          </w:p>
        </w:tc>
        <w:tc>
          <w:tcPr>
            <w:tcBorders>
              <w:right w:val="none"/>
            </w:tcBorders>
            <w:tcMar>
              <w:top w:type="dxa" w:w="80"/>
              <w:left w:type="dxa" w:w="120"/>
              <w:bottom w:type="dxa" w:w="80"/>
              <w:right w:type="dxa" w:w="120"/>
            </w:tcMar>
            <w:vAlign w:val="center"/>
          </w:tcPr>
          <w:p>
            <w:pPr>
              <w:pStyle w:val="MdTableCell"/>
            </w:pPr>
            <w:r>
              <w:t xml:space="preserve">Has many service tracks, task templates, price/credit rules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ServiceTrack</w:t>
            </w:r>
          </w:p>
        </w:tc>
        <w:tc>
          <w:tcPr>
            <w:tcMar>
              <w:top w:type="dxa" w:w="80"/>
              <w:left w:type="dxa" w:w="120"/>
              <w:bottom w:type="dxa" w:w="80"/>
              <w:right w:type="dxa" w:w="120"/>
            </w:tcMar>
            <w:vAlign w:val="center"/>
          </w:tcPr>
          <w:p>
            <w:pPr>
              <w:pStyle w:val="MdTableCell"/>
            </w:pPr>
            <w:r>
              <w:t xml:space="preserve">Groups work by business function</w:t>
            </w:r>
          </w:p>
        </w:tc>
        <w:tc>
          <w:tcPr>
            <w:tcBorders>
              <w:right w:val="none"/>
            </w:tcBorders>
            <w:tcMar>
              <w:top w:type="dxa" w:w="80"/>
              <w:left w:type="dxa" w:w="120"/>
              <w:bottom w:type="dxa" w:w="80"/>
              <w:right w:type="dxa" w:w="120"/>
            </w:tcMar>
            <w:vAlign w:val="center"/>
          </w:tcPr>
          <w:p>
            <w:pPr>
              <w:pStyle w:val="MdTableCell"/>
            </w:pPr>
            <w:r>
              <w:t xml:space="preserve">Belongs to retainer templates and client assignments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TaskTemplate</w:t>
            </w:r>
          </w:p>
        </w:tc>
        <w:tc>
          <w:tcPr>
            <w:tcMar>
              <w:top w:type="dxa" w:w="80"/>
              <w:left w:type="dxa" w:w="120"/>
              <w:bottom w:type="dxa" w:w="80"/>
              <w:right w:type="dxa" w:w="120"/>
            </w:tcMar>
            <w:vAlign w:val="center"/>
          </w:tcPr>
          <w:p>
            <w:pPr>
              <w:pStyle w:val="MdTableCell"/>
            </w:pPr>
            <w:r>
              <w:t xml:space="preserve">Defines reusable task instructions</w:t>
            </w:r>
          </w:p>
        </w:tc>
        <w:tc>
          <w:tcPr>
            <w:tcBorders>
              <w:right w:val="none"/>
            </w:tcBorders>
            <w:tcMar>
              <w:top w:type="dxa" w:w="80"/>
              <w:left w:type="dxa" w:w="120"/>
              <w:bottom w:type="dxa" w:w="80"/>
              <w:right w:type="dxa" w:w="120"/>
            </w:tcMar>
            <w:vAlign w:val="center"/>
          </w:tcPr>
          <w:p>
            <w:pPr>
              <w:pStyle w:val="MdTableCell"/>
            </w:pPr>
            <w:r>
              <w:t xml:space="preserve">Belongs to retainer template, service track, campaign template, or onboarding package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RetainerAssignment</w:t>
            </w:r>
          </w:p>
        </w:tc>
        <w:tc>
          <w:tcPr>
            <w:tcMar>
              <w:top w:type="dxa" w:w="80"/>
              <w:left w:type="dxa" w:w="120"/>
              <w:bottom w:type="dxa" w:w="80"/>
              <w:right w:type="dxa" w:w="120"/>
            </w:tcMar>
            <w:vAlign w:val="center"/>
          </w:tcPr>
          <w:p>
            <w:pPr>
              <w:pStyle w:val="MdTableCell"/>
            </w:pPr>
            <w:r>
              <w:t xml:space="preserve">Connects a client to a retainer</w:t>
            </w:r>
          </w:p>
        </w:tc>
        <w:tc>
          <w:tcPr>
            <w:tcBorders>
              <w:right w:val="none"/>
            </w:tcBorders>
            <w:tcMar>
              <w:top w:type="dxa" w:w="80"/>
              <w:left w:type="dxa" w:w="120"/>
              <w:bottom w:type="dxa" w:w="80"/>
              <w:right w:type="dxa" w:w="120"/>
            </w:tcMar>
            <w:vAlign w:val="center"/>
          </w:tcPr>
          <w:p>
            <w:pPr>
              <w:pStyle w:val="MdTableCell"/>
            </w:pPr>
            <w:r>
              <w:t xml:space="preserve">Belongs to company/client and retainer template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GeneratedTask</w:t>
            </w:r>
          </w:p>
        </w:tc>
        <w:tc>
          <w:tcPr>
            <w:tcMar>
              <w:top w:type="dxa" w:w="80"/>
              <w:left w:type="dxa" w:w="120"/>
              <w:bottom w:type="dxa" w:w="80"/>
              <w:right w:type="dxa" w:w="120"/>
            </w:tcMar>
            <w:vAlign w:val="center"/>
          </w:tcPr>
          <w:p>
            <w:pPr>
              <w:pStyle w:val="MdTableCell"/>
            </w:pPr>
            <w:r>
              <w:t xml:space="preserve">Actual task created for a client</w:t>
            </w:r>
          </w:p>
        </w:tc>
        <w:tc>
          <w:tcPr>
            <w:tcBorders>
              <w:right w:val="none"/>
            </w:tcBorders>
            <w:tcMar>
              <w:top w:type="dxa" w:w="80"/>
              <w:left w:type="dxa" w:w="120"/>
              <w:bottom w:type="dxa" w:w="80"/>
              <w:right w:type="dxa" w:w="120"/>
            </w:tcMar>
            <w:vAlign w:val="center"/>
          </w:tcPr>
          <w:p>
            <w:pPr>
              <w:pStyle w:val="MdTableCell"/>
            </w:pPr>
            <w:r>
              <w:t xml:space="preserve">Links to client, task template, campaign, content item, owner, credits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CreditReservation</w:t>
            </w:r>
          </w:p>
        </w:tc>
        <w:tc>
          <w:tcPr>
            <w:tcMar>
              <w:top w:type="dxa" w:w="80"/>
              <w:left w:type="dxa" w:w="120"/>
              <w:bottom w:type="dxa" w:w="80"/>
              <w:right w:type="dxa" w:w="120"/>
            </w:tcMar>
            <w:vAlign w:val="center"/>
          </w:tcPr>
          <w:p>
            <w:pPr>
              <w:pStyle w:val="MdTableCell"/>
            </w:pPr>
            <w:r>
              <w:t xml:space="preserve">Projected future credit usage</w:t>
            </w:r>
          </w:p>
        </w:tc>
        <w:tc>
          <w:tcPr>
            <w:tcBorders>
              <w:right w:val="none"/>
            </w:tcBorders>
            <w:tcMar>
              <w:top w:type="dxa" w:w="80"/>
              <w:left w:type="dxa" w:w="120"/>
              <w:bottom w:type="dxa" w:w="80"/>
              <w:right w:type="dxa" w:w="120"/>
            </w:tcMar>
            <w:vAlign w:val="center"/>
          </w:tcPr>
          <w:p>
            <w:pPr>
              <w:pStyle w:val="MdTableCell"/>
            </w:pPr>
            <w:r>
              <w:t xml:space="preserve">Links to generated tasks and billing period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OnboardingTemplate</w:t>
            </w:r>
          </w:p>
        </w:tc>
        <w:tc>
          <w:tcPr>
            <w:tcMar>
              <w:top w:type="dxa" w:w="80"/>
              <w:left w:type="dxa" w:w="120"/>
              <w:bottom w:type="dxa" w:w="80"/>
              <w:right w:type="dxa" w:w="120"/>
            </w:tcMar>
            <w:vAlign w:val="center"/>
          </w:tcPr>
          <w:p>
            <w:pPr>
              <w:pStyle w:val="MdTableCell"/>
            </w:pPr>
            <w:r>
              <w:t xml:space="preserve">One-time launch/implementation plan</w:t>
            </w:r>
          </w:p>
        </w:tc>
        <w:tc>
          <w:tcPr>
            <w:tcBorders>
              <w:right w:val="none"/>
            </w:tcBorders>
            <w:tcMar>
              <w:top w:type="dxa" w:w="80"/>
              <w:left w:type="dxa" w:w="120"/>
              <w:bottom w:type="dxa" w:w="80"/>
              <w:right w:type="dxa" w:w="120"/>
            </w:tcMar>
            <w:vAlign w:val="center"/>
          </w:tcPr>
          <w:p>
            <w:pPr>
              <w:pStyle w:val="MdTableCell"/>
            </w:pPr>
            <w:r>
              <w:t xml:space="preserve">Generates setup tasks outside recurring monthly credits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OverageApproval</w:t>
            </w:r>
          </w:p>
        </w:tc>
        <w:tc>
          <w:tcPr>
            <w:tcBorders>
              <w:bottom w:val="single" w:color="E1E4E8" w:sz="4"/>
            </w:tcBorders>
            <w:tcMar>
              <w:top w:type="dxa" w:w="80"/>
              <w:left w:type="dxa" w:w="120"/>
              <w:bottom w:type="dxa" w:w="80"/>
              <w:right w:type="dxa" w:w="120"/>
            </w:tcMar>
            <w:vAlign w:val="center"/>
          </w:tcPr>
          <w:p>
            <w:pPr>
              <w:pStyle w:val="MdTableCell"/>
            </w:pPr>
            <w:r>
              <w:t xml:space="preserve">Tracks work that exceeds included scope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Links to task, client, billing period, approval status</w:t>
            </w:r>
          </w:p>
        </w:tc>
      </w:tr>
    </w:tbl>
    <w:p>
      <w:pPr>
        <w:pStyle w:val="Heading2"/>
        <w:pStyle w:val="MdHeading2"/>
      </w:pPr>
      <w:r>
        <w:t xml:space="preserve">Implementation Priority</w:t>
      </w:r>
    </w:p>
    <w:p>
      <w:pPr>
        <w:pStyle w:val="MdParagraph"/>
      </w:pPr>
      <w:r>
        <w:t xml:space="preserve">The first portal buildout should focus on the admin experience. Before trying to automate everything, the team needs a clean way to define retainers and task templates.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Priority</w:t>
            </w:r>
          </w:p>
        </w:tc>
        <w:tc>
          <w:tcPr>
            <w:tcMar>
              <w:top w:type="dxa" w:w="100"/>
              <w:left w:type="dxa" w:w="120"/>
              <w:bottom w:type="dxa" w:w="100"/>
              <w:right w:type="dxa" w:w="120"/>
            </w:tcMar>
            <w:vAlign w:val="center"/>
          </w:tcPr>
          <w:p>
            <w:pPr>
              <w:pStyle w:val="MdTableHeader"/>
            </w:pPr>
            <w:r>
              <w:t xml:space="preserve">Build Item</w:t>
            </w:r>
          </w:p>
        </w:tc>
        <w:tc>
          <w:tcPr>
            <w:tcBorders>
              <w:right w:val="none"/>
            </w:tcBorders>
            <w:tcMar>
              <w:top w:type="dxa" w:w="100"/>
              <w:left w:type="dxa" w:w="120"/>
              <w:bottom w:type="dxa" w:w="100"/>
              <w:right w:type="dxa" w:w="120"/>
            </w:tcMar>
            <w:vAlign w:val="center"/>
          </w:tcPr>
          <w:p>
            <w:pPr>
              <w:pStyle w:val="MdTableHeader"/>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Retainer Template Admin</w:t>
            </w:r>
          </w:p>
        </w:tc>
        <w:tc>
          <w:tcPr>
            <w:tcBorders>
              <w:right w:val="none"/>
            </w:tcBorders>
            <w:tcMar>
              <w:top w:type="dxa" w:w="80"/>
              <w:left w:type="dxa" w:w="120"/>
              <w:bottom w:type="dxa" w:w="80"/>
              <w:right w:type="dxa" w:w="120"/>
            </w:tcMar>
            <w:vAlign w:val="center"/>
          </w:tcPr>
          <w:p>
            <w:pPr>
              <w:pStyle w:val="MdTableCell"/>
            </w:pPr>
            <w:r>
              <w:t xml:space="preserve">Creates the source of truth for packages, prices, credits, and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Task Template Library</w:t>
            </w:r>
          </w:p>
        </w:tc>
        <w:tc>
          <w:tcPr>
            <w:tcBorders>
              <w:right w:val="none"/>
            </w:tcBorders>
            <w:tcMar>
              <w:top w:type="dxa" w:w="80"/>
              <w:left w:type="dxa" w:w="120"/>
              <w:bottom w:type="dxa" w:w="80"/>
              <w:right w:type="dxa" w:w="120"/>
            </w:tcMar>
            <w:vAlign w:val="center"/>
          </w:tcPr>
          <w:p>
            <w:pPr>
              <w:pStyle w:val="MdTableCell"/>
            </w:pPr>
            <w:r>
              <w:t xml:space="preserve">Turns deliverable types into reusable recurring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Client Retainer Assignment</w:t>
            </w:r>
          </w:p>
        </w:tc>
        <w:tc>
          <w:tcPr>
            <w:tcBorders>
              <w:right w:val="none"/>
            </w:tcBorders>
            <w:tcMar>
              <w:top w:type="dxa" w:w="80"/>
              <w:left w:type="dxa" w:w="120"/>
              <w:bottom w:type="dxa" w:w="80"/>
              <w:right w:type="dxa" w:w="120"/>
            </w:tcMar>
            <w:vAlign w:val="center"/>
          </w:tcPr>
          <w:p>
            <w:pPr>
              <w:pStyle w:val="MdTableCell"/>
            </w:pPr>
            <w:r>
              <w:t xml:space="preserve">Lets admins attach a retainer and service tracks to a 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Generate Preview</w:t>
            </w:r>
          </w:p>
        </w:tc>
        <w:tc>
          <w:tcPr>
            <w:tcBorders>
              <w:right w:val="none"/>
            </w:tcBorders>
            <w:tcMar>
              <w:top w:type="dxa" w:w="80"/>
              <w:left w:type="dxa" w:w="120"/>
              <w:bottom w:type="dxa" w:w="80"/>
              <w:right w:type="dxa" w:w="120"/>
            </w:tcMar>
            <w:vAlign w:val="center"/>
          </w:tcPr>
          <w:p>
            <w:pPr>
              <w:pStyle w:val="MdTableCell"/>
            </w:pPr>
            <w:r>
              <w:t xml:space="preserve">Shows the tasks and projected credits before creating them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Automatic Monthly Generation</w:t>
            </w:r>
          </w:p>
        </w:tc>
        <w:tc>
          <w:tcPr>
            <w:tcBorders>
              <w:right w:val="none"/>
            </w:tcBorders>
            <w:tcMar>
              <w:top w:type="dxa" w:w="80"/>
              <w:left w:type="dxa" w:w="120"/>
              <w:bottom w:type="dxa" w:w="80"/>
              <w:right w:type="dxa" w:w="120"/>
            </w:tcMar>
            <w:vAlign w:val="center"/>
          </w:tcPr>
          <w:p>
            <w:pPr>
              <w:pStyle w:val="MdTableCell"/>
            </w:pPr>
            <w:r>
              <w:t xml:space="preserve">Creates future tasks on schedule after the preview is trusted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6</w:t>
            </w:r>
          </w:p>
        </w:tc>
        <w:tc>
          <w:tcPr>
            <w:tcBorders>
              <w:bottom w:val="single" w:color="E1E4E8" w:sz="4"/>
            </w:tcBorders>
            <w:tcMar>
              <w:top w:type="dxa" w:w="80"/>
              <w:left w:type="dxa" w:w="120"/>
              <w:bottom w:type="dxa" w:w="80"/>
              <w:right w:type="dxa" w:w="120"/>
            </w:tcMar>
            <w:vAlign w:val="center"/>
          </w:tcPr>
          <w:p>
            <w:pPr>
              <w:pStyle w:val="MdTableCell"/>
            </w:pPr>
            <w:r>
              <w:t xml:space="preserve">Client Command Center Integration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Shows current plan, included scope, upcoming tasks, and credit forecast</w:t>
            </w:r>
          </w:p>
        </w:tc>
      </w:tr>
    </w:tbl>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8o2megm-spo_mxm07pkq" Type="http://schemas.openxmlformats.org/officeDocument/2006/relationships/hyperlink" Target="https://www.helloroketto.com/inbound-marketing-services#inbound-plans" TargetMode="External"/><Relationship Id="rIdecyj68__fn3fwmfc2pww1" Type="http://schemas.openxmlformats.org/officeDocument/2006/relationships/hyperlink" Target="https://www.hivestrategy.com/growth-marketing" TargetMode="External"/><Relationship Id="rId7x8s_rh_ew_y5vc9pqvxb" Type="http://schemas.openxmlformats.org/officeDocument/2006/relationships/hyperlink" Target="https://www.denamico.com/solutions/hubspot-performance-partnership" TargetMode="External"/><Relationship Id="rIdays2nbojadrqgfyac6kr1" Type="http://schemas.openxmlformats.org/officeDocument/2006/relationships/hyperlink" Target="https://newedgegrowth.com/pricing" TargetMode="External"/><Relationship Id="rIdxtiflvz89-nrvyrhzce5t" Type="http://schemas.openxmlformats.org/officeDocument/2006/relationships/hyperlink" Target="https://www.impactplus.com/blog/how-much-does-working-with-a-hubspot-partner-agency-cost"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2026-05-24T13:20:39.007Z</dcterms:created>
  <dcterms:modified xsi:type="dcterms:W3CDTF">2026-05-24T13:20:39.007Z</dcterms:modified>
</cp:coreProperties>
</file>

<file path=docProps/custom.xml><?xml version="1.0" encoding="utf-8"?>
<Properties xmlns="http://schemas.openxmlformats.org/officeDocument/2006/custom-properties" xmlns:vt="http://schemas.openxmlformats.org/officeDocument/2006/docPropsVTypes"/>
</file>