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LD20055 — Grades of Construction, Load Factors, and Strength Factors</w:t>
      </w:r>
    </w:p>
    <w:p>
      <w:pPr>
        <w:pStyle w:val="Heading2"/>
      </w:pPr>
      <w:r>
        <w:t>Purpose</w:t>
      </w:r>
    </w:p>
    <w:p>
      <w:r>
        <w:t>Portland General Electric (PGE) design standard LD20055 defines PGE-specific grades of construction, load factors, and strength factors that overlay base NESC requirements. This standard governs structural loading analysis for all PGE overhead facilities.</w:t>
      </w:r>
    </w:p>
    <w:p>
      <w:pPr>
        <w:pStyle w:val="Heading2"/>
      </w:pPr>
      <w:r>
        <w:t>References</w:t>
      </w:r>
    </w:p>
    <w:p>
      <w:r>
        <w:t>- NESC C2-2017, Rules 242, 243, 250B, 250C, 250D, 277 - LD20020 — General Loading Requirements for Overhead Lines - LD40600 — Pole Loading Analysis Guidelines (FITNES parameters)</w:t>
      </w:r>
    </w:p>
    <w:p>
      <w:pPr>
        <w:pStyle w:val="Heading2"/>
      </w:pPr>
      <w:r>
        <w:t>Grade of Construction (Rules 242/243)</w:t>
      </w:r>
    </w:p>
    <w:p>
      <w:pPr>
        <w:pStyle w:val="Heading3"/>
      </w:pPr>
      <w:r>
        <w:t>Grade B Criteria</w:t>
      </w:r>
    </w:p>
    <w:p>
      <w:r>
        <w:t>PGE requires Grade B construction for all base NESC criteria plus the following PGE-specific additions: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Base NESC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PGE Addition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Transmission lines (&gt;= 57 kV)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 B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Railroad crossings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 B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Limited-access highway crossings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 B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Navigable waterway crossings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Grade B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Same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Adjacent structural conflict with railroad or major highway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Grade B</w:t>
            </w:r>
            <w:r/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4-lane highway with speed limit &gt;= 55 mph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/>
            <w:r>
              <w:rPr>
                <w:b/>
              </w:rPr>
              <w:t>Grade B</w:t>
            </w:r>
            <w:r/>
          </w:p>
        </w:tc>
      </w:tr>
    </w:tbl>
    <w:p/>
    <w:p>
      <w:pPr>
        <w:pStyle w:val="Heading3"/>
      </w:pPr>
      <w:r>
        <w:t>Grade C Criteria</w:t>
      </w:r>
    </w:p>
    <w:p>
      <w:r>
        <w:t>All other facilities not meeting Grade B criteria are designed to Grade C.</w:t>
      </w:r>
    </w:p>
    <w:p>
      <w:pPr>
        <w:pStyle w:val="Heading2"/>
      </w:pPr>
      <w:r>
        <w:t>Table 1 — Rule 250B Pole Load and Strength Factors</w:t>
      </w:r>
    </w:p>
    <w:p>
      <w:r>
        <w:t>Standard NESC 250B load and strength factors apply per loading district and grade of construction. PGE uses the base NESC environment templates (</w:t>
      </w:r>
      <w:r>
        <w:rPr>
          <w:rFonts w:ascii="Consolas" w:hAnsi="Consolas"/>
          <w:color w:val="404040"/>
          <w:sz w:val="18"/>
        </w:rPr>
        <w:t>250B_Hvy B</w:t>
      </w:r>
      <w:r>
        <w:t xml:space="preserve">, </w:t>
      </w:r>
      <w:r>
        <w:rPr>
          <w:rFonts w:ascii="Consolas" w:hAnsi="Consolas"/>
          <w:color w:val="404040"/>
          <w:sz w:val="18"/>
        </w:rPr>
        <w:t>250B_Hvy C</w:t>
      </w:r>
      <w:r>
        <w:t xml:space="preserve">, </w:t>
      </w:r>
      <w:r>
        <w:rPr>
          <w:rFonts w:ascii="Consolas" w:hAnsi="Consolas"/>
          <w:color w:val="404040"/>
          <w:sz w:val="18"/>
        </w:rPr>
        <w:t>250B_Med B</w:t>
      </w:r>
      <w:r>
        <w:t xml:space="preserve">, </w:t>
      </w:r>
      <w:r>
        <w:rPr>
          <w:rFonts w:ascii="Consolas" w:hAnsi="Consolas"/>
          <w:color w:val="404040"/>
          <w:sz w:val="18"/>
        </w:rPr>
        <w:t>250B_Med C</w:t>
      </w:r>
      <w:r>
        <w:t>).</w:t>
      </w:r>
    </w:p>
    <w:p>
      <w:r/>
      <w:r>
        <w:rPr>
          <w:b/>
        </w:rPr>
        <w:t>PGE Override — Guys/Anchors Always Grade B:</w:t>
      </w:r>
      <w:r/>
    </w:p>
    <w:p>
      <w:r>
        <w:t>Per Table 5 (below), all guying and anchoring must be designed to Grade B load/strength factors regardless of the structure's grade of construction. When the pole is Grade C, a separate Grade B simulation is run to evaluate guy/stay utilization.</w:t>
      </w:r>
    </w:p>
    <w:p>
      <w:pPr>
        <w:pStyle w:val="Heading2"/>
      </w:pPr>
      <w:r>
        <w:t>Table 2 — Rule 250C Extreme Wind Load and Strength Factors</w:t>
      </w:r>
    </w:p>
    <w:p>
      <w:r>
        <w:t xml:space="preserve">PGE extends NESC Rule 250C to </w:t>
      </w:r>
      <w:r>
        <w:rPr>
          <w:b/>
        </w:rPr>
        <w:t>ALL structure heights</w:t>
      </w:r>
      <w:r>
        <w:t xml:space="preserve"> (base NESC only requires 250C for structures/spans &gt; 60 ft). PGE also applies </w:t>
      </w:r>
      <w:r>
        <w:rPr>
          <w:b/>
        </w:rPr>
        <w:t>Grade B wind speed</w:t>
      </w:r>
      <w:r>
        <w:t xml:space="preserve"> for all facilities regardless of grade of construction.</w:t>
      </w:r>
    </w:p>
    <w:p>
      <w:r/>
      <w:r>
        <w:rPr>
          <w:b/>
        </w:rPr>
        <w:t>Basic wind speed:</w:t>
      </w:r>
      <w:r>
        <w:t xml:space="preserve"> 85 mph (per LD20020). Neara automatically calculates height-varying wind pressures using NESC 250C code formulas.</w:t>
      </w:r>
    </w:p>
    <w:p>
      <w:pPr>
        <w:pStyle w:val="Heading3"/>
      </w:pPr>
      <w:r>
        <w:t>Wood/FRP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FRP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PGE_250C_Wood</w:t>
      </w:r>
      <w:r/>
    </w:p>
    <w:p>
      <w:pPr>
        <w:pStyle w:val="Heading3"/>
      </w:pPr>
      <w:r>
        <w:t>Steel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PGE_250C_Steel</w:t>
      </w:r>
      <w:r/>
    </w:p>
    <w:p>
      <w:pPr>
        <w:pStyle w:val="Heading2"/>
      </w:pPr>
      <w:r>
        <w:t>Table 3 — Rule 250D Extreme Ice with Concurrent Wind Load and Strength Factors</w:t>
      </w:r>
    </w:p>
    <w:p>
      <w:r>
        <w:t xml:space="preserve">PGE applies 250D extreme ice with concurrent wind. Ice and wind parameters are geographic and come from LD20020 (see </w:t>
      </w:r>
      <w:r>
        <w:rPr>
          <w:rFonts w:ascii="Consolas" w:hAnsi="Consolas"/>
          <w:color w:val="404040"/>
          <w:sz w:val="18"/>
        </w:rPr>
        <w:t>LD20020_general_loading_requirements.md</w:t>
      </w:r>
      <w:r>
        <w:t>).</w:t>
      </w:r>
    </w:p>
    <w:p>
      <w:pPr>
        <w:pStyle w:val="Heading3"/>
      </w:pPr>
      <w:r>
        <w:t>Wood/FRP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FRP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PGE_250D_Wood</w:t>
      </w:r>
      <w:r/>
    </w:p>
    <w:p>
      <w:pPr>
        <w:pStyle w:val="Heading3"/>
      </w:pPr>
      <w:r>
        <w:t>Steel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PGE_250D_Steel</w:t>
      </w:r>
      <w:r/>
    </w:p>
    <w:p>
      <w:pPr>
        <w:pStyle w:val="Heading2"/>
      </w:pPr>
      <w:r>
        <w:t>Table 4 — Special Loading Conditions</w:t>
      </w:r>
    </w:p>
    <w:p>
      <w:r>
        <w:t>PGE defines additional loading conditions beyond base NESC. These are PGE reliability requirements.</w:t>
      </w:r>
    </w:p>
    <w:p>
      <w:pPr>
        <w:pStyle w:val="Heading3"/>
      </w:pPr>
      <w:r>
        <w:t>Extreme Ice (No Concurrent Wind)</w:t>
      </w:r>
    </w:p>
    <w:p>
      <w:r>
        <w:t>Applies to all poles based on loading district.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Wood/FRP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Steel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Longitudinal load factor (general)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Longitudinal load factor (dead ends)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0.75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Strength factor — FRP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0.75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Parameters (from LD20020 Table 2):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Loading District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Temperature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Ice Thickness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Pressure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Medium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32 deg F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0.5 in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 psf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t>Heavy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32 deg F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1.0 in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t>0 psf</w:t>
            </w:r>
          </w:p>
        </w:tc>
      </w:tr>
    </w:tbl>
    <w:p/>
    <w:p>
      <w:r/>
      <w:r>
        <w:rPr>
          <w:b/>
        </w:rPr>
        <w:t>Environment templates:</w:t>
      </w:r>
      <w:r>
        <w:t xml:space="preserve"> </w:t>
      </w:r>
      <w:r>
        <w:rPr>
          <w:rFonts w:ascii="Consolas" w:hAnsi="Consolas"/>
          <w:color w:val="404040"/>
          <w:sz w:val="18"/>
        </w:rPr>
        <w:t>PGE_ExtremeIce_Wood_Med</w:t>
      </w:r>
      <w:r>
        <w:t xml:space="preserve">, </w:t>
      </w:r>
      <w:r>
        <w:rPr>
          <w:rFonts w:ascii="Consolas" w:hAnsi="Consolas"/>
          <w:color w:val="404040"/>
          <w:sz w:val="18"/>
        </w:rPr>
        <w:t>PGE_ExtremeIce_Wood_Hvy</w:t>
      </w:r>
      <w:r>
        <w:t xml:space="preserve">, </w:t>
      </w:r>
      <w:r>
        <w:rPr>
          <w:rFonts w:ascii="Consolas" w:hAnsi="Consolas"/>
          <w:color w:val="404040"/>
          <w:sz w:val="18"/>
        </w:rPr>
        <w:t>PGE_ExtremeIce_Steel_Med</w:t>
      </w:r>
      <w:r>
        <w:t xml:space="preserve">, </w:t>
      </w:r>
      <w:r>
        <w:rPr>
          <w:rFonts w:ascii="Consolas" w:hAnsi="Consolas"/>
          <w:color w:val="404040"/>
          <w:sz w:val="18"/>
        </w:rPr>
        <w:t>PGE_ExtremeIce_Steel_Hvy</w:t>
      </w:r>
      <w:r/>
    </w:p>
    <w:p>
      <w:pPr>
        <w:pStyle w:val="Heading3"/>
      </w:pPr>
      <w:r>
        <w:t>Fire Wind</w:t>
      </w:r>
    </w:p>
    <w:p>
      <w:r>
        <w:t>Applies to all poles in High Fire Risk Zones (HFRZs).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Wood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Steel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Longitudinal load factor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0.75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—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Parameters (from LD20020):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Voltage Class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Speed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Pressure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Distribution (&lt; 57 kV)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85 mph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18.5 psf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Transmission (&gt;= 57 kV)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110 mph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31.0 psf</w:t>
            </w:r>
          </w:p>
        </w:tc>
      </w:tr>
    </w:tbl>
    <w:p/>
    <w:p>
      <w:r/>
      <w:r>
        <w:rPr>
          <w:b/>
        </w:rPr>
        <w:t>Environment templates:</w:t>
      </w:r>
      <w:r>
        <w:t xml:space="preserve"> </w:t>
      </w:r>
      <w:r>
        <w:rPr>
          <w:rFonts w:ascii="Consolas" w:hAnsi="Consolas"/>
          <w:color w:val="404040"/>
          <w:sz w:val="18"/>
        </w:rPr>
        <w:t>PGE_FireWind_Wood</w:t>
      </w:r>
      <w:r>
        <w:t xml:space="preserve">, </w:t>
      </w:r>
      <w:r>
        <w:rPr>
          <w:rFonts w:ascii="Consolas" w:hAnsi="Consolas"/>
          <w:color w:val="404040"/>
          <w:sz w:val="18"/>
        </w:rPr>
        <w:t>PGE_FireWind_Steel</w:t>
      </w:r>
      <w:r/>
    </w:p>
    <w:p>
      <w:pPr>
        <w:pStyle w:val="Heading3"/>
      </w:pPr>
      <w:r>
        <w:t>Other Special Loading Conditions (Future)</w:t>
      </w:r>
    </w:p>
    <w:p>
      <w:r>
        <w:t>The following PGE special loading conditions are documented but not yet implemented:</w:t>
      </w:r>
    </w:p>
    <w:p>
      <w:r>
        <w:t xml:space="preserve">- </w:t>
      </w:r>
      <w:r>
        <w:rPr>
          <w:b/>
        </w:rPr>
        <w:t>Unbalanced longitudinal load</w:t>
      </w:r>
      <w:r>
        <w:t xml:space="preserve"> — intact deadend or angle pole with unbalanced wire tension - </w:t>
      </w:r>
      <w:r>
        <w:rPr>
          <w:b/>
        </w:rPr>
        <w:t>Broken conductor</w:t>
      </w:r>
      <w:r>
        <w:t xml:space="preserve"> — single conductor broken on one side - </w:t>
      </w:r>
      <w:r>
        <w:rPr>
          <w:b/>
        </w:rPr>
        <w:t>Buckle</w:t>
      </w:r>
      <w:r>
        <w:t xml:space="preserve"> — pole buckling analysis under combined axial and lateral loads</w:t>
      </w:r>
    </w:p>
    <w:p>
      <w:pPr>
        <w:pStyle w:val="Heading2"/>
      </w:pPr>
      <w:r>
        <w:t>Table 5 — Guy and Anchor Factors</w:t>
      </w:r>
    </w:p>
    <w:p>
      <w:r>
        <w:t>&gt; "Guying and anchoring must be designed for Grade B even if the structure is allowed to be built to lesser requirements."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Strength Factor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Guy wire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0.9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Anchor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Implementation:</w:t>
      </w:r>
      <w:r>
        <w:t xml:space="preserve"> For Rule 250B, when grade of construction is C, a second simulation using the Grade B environment is run to evaluate guy/stay utilization. For 250C/250D/extreme ice/fire wind, the guy strength factors are encoded directly in the environment templates and do not vary by grade.</w:t>
      </w:r>
    </w:p>
    <w:p>
      <w:pPr>
        <w:pStyle w:val="Heading2"/>
      </w:pPr>
      <w:r>
        <w:t>Table 6 — Crossarm Factors</w:t>
      </w:r>
    </w:p>
    <w:p>
      <w:r>
        <w:t>Standard NESC crossarm strength factors apply. No PGE-specific override.</w:t>
      </w:r>
    </w:p>
    <w:p>
      <w:pPr>
        <w:pStyle w:val="Heading2"/>
      </w:pPr>
      <w:r>
        <w:t>Table 7 — Insulator Factors (Rule 277)</w:t>
      </w:r>
    </w:p>
    <w:p>
      <w:r>
        <w:t>PGE-specific insulator strength factors for Rule 277. Standard NESC Rule 277 factors apply — no PGE override is needed at this time.</w:t>
      </w:r>
    </w:p>
    <w:p>
      <w:pPr>
        <w:pStyle w:val="Heading2"/>
      </w:pPr>
      <w:r>
        <w:t>FITNES "At Replacement" Criteria</w:t>
      </w:r>
    </w:p>
    <w:p>
      <w:r>
        <w:t>PGE uses FITNES (Facility Inspection Tracking and Engineering System) criteria for "at replacement" analysis. These criteria reference LD40600 for specific pole deterioration parameters. Implementation of FITNES criteria is a future enhancement.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