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Load Case: Rule 250B — Combined Ice and Wind</w:t>
      </w:r>
    </w:p>
    <w:p>
      <w:pPr>
        <w:pStyle w:val="Heading2"/>
      </w:pPr>
      <w:r>
        <w:t>Description</w:t>
      </w:r>
    </w:p>
    <w:p>
      <w:r>
        <w:t>NESC Rule 250B combined ice and wind loading. Applies standard NESC ice and wind parameters based on the NESC loading district (Heavy, Medium, or Light) and the grade of construction (B or C). PGE overrides the base NESC behaviour for guy/anchor checks: guys are always evaluated at Grade B regardless of the structure's grade of construction.</w:t>
      </w:r>
    </w:p>
    <w:p>
      <w:pPr>
        <w:pStyle w:val="Heading2"/>
      </w:pPr>
      <w:r>
        <w:t>References</w:t>
      </w:r>
    </w:p>
    <w:p>
      <w:r>
        <w:t>- NESC C2-2017, Rule 250B - PGE LD20055, Table 1 (load and strength factors) - PGE LD20055, Table 5 (guy/anchor factors — always Grade B) - PGE LD20020, Table 1 (weather parameters by loading district)</w:t>
      </w:r>
    </w:p>
    <w:p>
      <w:pPr>
        <w:pStyle w:val="Heading2"/>
      </w:pPr>
      <w:r>
        <w:t>Weather Parameters</w:t>
      </w:r>
    </w:p>
    <w:p>
      <w:r>
        <w:t>Standard NESC 250B parameters by loading district:</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pPr>
              <w:spacing w:after="40" w:before="40"/>
            </w:pPr>
            <w:r>
              <w:rPr>
                <w:b/>
              </w:rPr>
            </w:r>
            <w:r>
              <w:rPr>
                <w:b/>
              </w:rPr>
              <w:t>Loading District</w:t>
            </w:r>
          </w:p>
        </w:tc>
        <w:tc>
          <w:tcPr>
            <w:tcW w:type="dxa" w:w="1728"/>
          </w:tcPr>
          <w:p>
            <w:pPr>
              <w:spacing w:after="40" w:before="40"/>
            </w:pPr>
            <w:r>
              <w:rPr>
                <w:b/>
              </w:rPr>
            </w:r>
            <w:r>
              <w:rPr>
                <w:b/>
              </w:rPr>
              <w:t>Temperature</w:t>
            </w:r>
          </w:p>
        </w:tc>
        <w:tc>
          <w:tcPr>
            <w:tcW w:type="dxa" w:w="1728"/>
          </w:tcPr>
          <w:p>
            <w:pPr>
              <w:spacing w:after="40" w:before="40"/>
            </w:pPr>
            <w:r>
              <w:rPr>
                <w:b/>
              </w:rPr>
            </w:r>
            <w:r>
              <w:rPr>
                <w:b/>
              </w:rPr>
              <w:t>Radial Ice</w:t>
            </w:r>
          </w:p>
        </w:tc>
        <w:tc>
          <w:tcPr>
            <w:tcW w:type="dxa" w:w="1728"/>
          </w:tcPr>
          <w:p>
            <w:pPr>
              <w:spacing w:after="40" w:before="40"/>
            </w:pPr>
            <w:r>
              <w:rPr>
                <w:b/>
              </w:rPr>
            </w:r>
            <w:r>
              <w:rPr>
                <w:b/>
              </w:rPr>
              <w:t>Wind Pressure</w:t>
            </w:r>
          </w:p>
        </w:tc>
        <w:tc>
          <w:tcPr>
            <w:tcW w:type="dxa" w:w="1728"/>
          </w:tcPr>
          <w:p>
            <w:pPr>
              <w:spacing w:after="40" w:before="40"/>
            </w:pPr>
            <w:r>
              <w:rPr>
                <w:b/>
              </w:rPr>
            </w:r>
            <w:r>
              <w:rPr>
                <w:b/>
              </w:rPr>
              <w:t>Constant (k)</w:t>
            </w:r>
          </w:p>
        </w:tc>
      </w:tr>
      <w:tr>
        <w:tc>
          <w:tcPr>
            <w:tcW w:type="dxa" w:w="1728"/>
          </w:tcPr>
          <w:p>
            <w:pPr>
              <w:spacing w:after="40" w:before="40"/>
            </w:pPr>
            <w:r/>
            <w:r>
              <w:t>Heavy</w:t>
            </w:r>
          </w:p>
        </w:tc>
        <w:tc>
          <w:tcPr>
            <w:tcW w:type="dxa" w:w="1728"/>
          </w:tcPr>
          <w:p>
            <w:pPr>
              <w:spacing w:after="40" w:before="40"/>
            </w:pPr>
            <w:r/>
            <w:r>
              <w:t>0 deg F</w:t>
            </w:r>
          </w:p>
        </w:tc>
        <w:tc>
          <w:tcPr>
            <w:tcW w:type="dxa" w:w="1728"/>
          </w:tcPr>
          <w:p>
            <w:pPr>
              <w:spacing w:after="40" w:before="40"/>
            </w:pPr>
            <w:r/>
            <w:r>
              <w:t>0.50 in</w:t>
            </w:r>
          </w:p>
        </w:tc>
        <w:tc>
          <w:tcPr>
            <w:tcW w:type="dxa" w:w="1728"/>
          </w:tcPr>
          <w:p>
            <w:pPr>
              <w:spacing w:after="40" w:before="40"/>
            </w:pPr>
            <w:r/>
            <w:r>
              <w:t>4 psf</w:t>
            </w:r>
          </w:p>
        </w:tc>
        <w:tc>
          <w:tcPr>
            <w:tcW w:type="dxa" w:w="1728"/>
          </w:tcPr>
          <w:p>
            <w:pPr>
              <w:spacing w:after="40" w:before="40"/>
            </w:pPr>
            <w:r/>
            <w:r>
              <w:t>0.30</w:t>
            </w:r>
          </w:p>
        </w:tc>
      </w:tr>
      <w:tr>
        <w:tc>
          <w:tcPr>
            <w:tcW w:type="dxa" w:w="1728"/>
          </w:tcPr>
          <w:p>
            <w:pPr>
              <w:spacing w:after="40" w:before="40"/>
            </w:pPr>
            <w:r/>
            <w:r>
              <w:t>Medium</w:t>
            </w:r>
          </w:p>
        </w:tc>
        <w:tc>
          <w:tcPr>
            <w:tcW w:type="dxa" w:w="1728"/>
          </w:tcPr>
          <w:p>
            <w:pPr>
              <w:spacing w:after="40" w:before="40"/>
            </w:pPr>
            <w:r/>
            <w:r>
              <w:t>+15 deg F</w:t>
            </w:r>
          </w:p>
        </w:tc>
        <w:tc>
          <w:tcPr>
            <w:tcW w:type="dxa" w:w="1728"/>
          </w:tcPr>
          <w:p>
            <w:pPr>
              <w:spacing w:after="40" w:before="40"/>
            </w:pPr>
            <w:r/>
            <w:r>
              <w:t>0.25 in</w:t>
            </w:r>
          </w:p>
        </w:tc>
        <w:tc>
          <w:tcPr>
            <w:tcW w:type="dxa" w:w="1728"/>
          </w:tcPr>
          <w:p>
            <w:pPr>
              <w:spacing w:after="40" w:before="40"/>
            </w:pPr>
            <w:r/>
            <w:r>
              <w:t>4 psf</w:t>
            </w:r>
          </w:p>
        </w:tc>
        <w:tc>
          <w:tcPr>
            <w:tcW w:type="dxa" w:w="1728"/>
          </w:tcPr>
          <w:p>
            <w:pPr>
              <w:spacing w:after="40" w:before="40"/>
            </w:pPr>
            <w:r/>
            <w:r>
              <w:t>0.20</w:t>
            </w:r>
          </w:p>
        </w:tc>
      </w:tr>
      <w:tr>
        <w:tc>
          <w:tcPr>
            <w:tcW w:type="dxa" w:w="1728"/>
          </w:tcPr>
          <w:p>
            <w:pPr>
              <w:spacing w:after="40" w:before="40"/>
            </w:pPr>
            <w:r/>
            <w:r>
              <w:t>Light</w:t>
            </w:r>
          </w:p>
        </w:tc>
        <w:tc>
          <w:tcPr>
            <w:tcW w:type="dxa" w:w="1728"/>
          </w:tcPr>
          <w:p>
            <w:pPr>
              <w:spacing w:after="40" w:before="40"/>
            </w:pPr>
            <w:r/>
            <w:r>
              <w:t>+30 deg F</w:t>
            </w:r>
          </w:p>
        </w:tc>
        <w:tc>
          <w:tcPr>
            <w:tcW w:type="dxa" w:w="1728"/>
          </w:tcPr>
          <w:p>
            <w:pPr>
              <w:spacing w:after="40" w:before="40"/>
            </w:pPr>
            <w:r/>
            <w:r>
              <w:t>0 in</w:t>
            </w:r>
          </w:p>
        </w:tc>
        <w:tc>
          <w:tcPr>
            <w:tcW w:type="dxa" w:w="1728"/>
          </w:tcPr>
          <w:p>
            <w:pPr>
              <w:spacing w:after="40" w:before="40"/>
            </w:pPr>
            <w:r/>
            <w:r>
              <w:t>9 psf</w:t>
            </w:r>
          </w:p>
        </w:tc>
        <w:tc>
          <w:tcPr>
            <w:tcW w:type="dxa" w:w="1728"/>
          </w:tcPr>
          <w:p>
            <w:pPr>
              <w:spacing w:after="40" w:before="40"/>
            </w:pPr>
            <w:r/>
            <w:r>
              <w:t>0.05</w:t>
            </w:r>
          </w:p>
        </w:tc>
      </w:tr>
    </w:tbl>
    <w:p/>
    <w:p>
      <w:pPr>
        <w:pStyle w:val="Heading2"/>
      </w:pPr>
      <w:r>
        <w:t>Load and Strength Factors</w:t>
      </w:r>
    </w:p>
    <w:p>
      <w:r>
        <w:t>Standard NESC 250B load and strength factors apply per grade of construction. Environment templates encode these factors directly:</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pPr>
              <w:spacing w:after="40" w:before="40"/>
            </w:pPr>
            <w:r>
              <w:rPr>
                <w:b/>
              </w:rPr>
            </w:r>
            <w:r>
              <w:rPr>
                <w:b/>
              </w:rPr>
              <w:t>Loading District</w:t>
            </w:r>
          </w:p>
        </w:tc>
        <w:tc>
          <w:tcPr>
            <w:tcW w:type="dxa" w:w="2880"/>
          </w:tcPr>
          <w:p>
            <w:pPr>
              <w:spacing w:after="40" w:before="40"/>
            </w:pPr>
            <w:r>
              <w:rPr>
                <w:b/>
              </w:rPr>
            </w:r>
            <w:r>
              <w:rPr>
                <w:b/>
              </w:rPr>
              <w:t>Grade</w:t>
            </w:r>
          </w:p>
        </w:tc>
        <w:tc>
          <w:tcPr>
            <w:tcW w:type="dxa" w:w="2880"/>
          </w:tcPr>
          <w:p>
            <w:pPr>
              <w:spacing w:after="40" w:before="40"/>
            </w:pPr>
            <w:r>
              <w:rPr>
                <w:b/>
              </w:rPr>
            </w:r>
            <w:r>
              <w:rPr>
                <w:b/>
              </w:rPr>
              <w:t>Environment Template</w:t>
            </w:r>
          </w:p>
        </w:tc>
      </w:tr>
      <w:tr>
        <w:tc>
          <w:tcPr>
            <w:tcW w:type="dxa" w:w="2880"/>
          </w:tcPr>
          <w:p>
            <w:pPr>
              <w:spacing w:after="40" w:before="40"/>
            </w:pPr>
            <w:r/>
            <w:r>
              <w:t>Heavy</w:t>
            </w:r>
          </w:p>
        </w:tc>
        <w:tc>
          <w:tcPr>
            <w:tcW w:type="dxa" w:w="2880"/>
          </w:tcPr>
          <w:p>
            <w:pPr>
              <w:spacing w:after="40" w:before="40"/>
            </w:pPr>
            <w:r/>
            <w:r>
              <w:t>B</w:t>
            </w:r>
          </w:p>
        </w:tc>
        <w:tc>
          <w:tcPr>
            <w:tcW w:type="dxa" w:w="2880"/>
          </w:tcPr>
          <w:p>
            <w:pPr>
              <w:spacing w:after="40" w:before="40"/>
            </w:pPr>
            <w:r/>
            <w:r/>
            <w:r>
              <w:rPr>
                <w:rFonts w:ascii="Consolas" w:hAnsi="Consolas"/>
                <w:color w:val="404040"/>
                <w:sz w:val="18"/>
              </w:rPr>
              <w:t>250B_Hvy B</w:t>
            </w:r>
            <w:r/>
          </w:p>
        </w:tc>
      </w:tr>
      <w:tr>
        <w:tc>
          <w:tcPr>
            <w:tcW w:type="dxa" w:w="2880"/>
          </w:tcPr>
          <w:p>
            <w:pPr>
              <w:spacing w:after="40" w:before="40"/>
            </w:pPr>
            <w:r/>
            <w:r>
              <w:t>Heavy</w:t>
            </w:r>
          </w:p>
        </w:tc>
        <w:tc>
          <w:tcPr>
            <w:tcW w:type="dxa" w:w="2880"/>
          </w:tcPr>
          <w:p>
            <w:pPr>
              <w:spacing w:after="40" w:before="40"/>
            </w:pPr>
            <w:r/>
            <w:r>
              <w:t>C / N</w:t>
            </w:r>
          </w:p>
        </w:tc>
        <w:tc>
          <w:tcPr>
            <w:tcW w:type="dxa" w:w="2880"/>
          </w:tcPr>
          <w:p>
            <w:pPr>
              <w:spacing w:after="40" w:before="40"/>
            </w:pPr>
            <w:r/>
            <w:r/>
            <w:r>
              <w:rPr>
                <w:rFonts w:ascii="Consolas" w:hAnsi="Consolas"/>
                <w:color w:val="404040"/>
                <w:sz w:val="18"/>
              </w:rPr>
              <w:t>250B_Hvy C</w:t>
            </w:r>
            <w:r/>
          </w:p>
        </w:tc>
      </w:tr>
      <w:tr>
        <w:tc>
          <w:tcPr>
            <w:tcW w:type="dxa" w:w="2880"/>
          </w:tcPr>
          <w:p>
            <w:pPr>
              <w:spacing w:after="40" w:before="40"/>
            </w:pPr>
            <w:r/>
            <w:r>
              <w:t>Medium</w:t>
            </w:r>
          </w:p>
        </w:tc>
        <w:tc>
          <w:tcPr>
            <w:tcW w:type="dxa" w:w="2880"/>
          </w:tcPr>
          <w:p>
            <w:pPr>
              <w:spacing w:after="40" w:before="40"/>
            </w:pPr>
            <w:r/>
            <w:r>
              <w:t>B</w:t>
            </w:r>
          </w:p>
        </w:tc>
        <w:tc>
          <w:tcPr>
            <w:tcW w:type="dxa" w:w="2880"/>
          </w:tcPr>
          <w:p>
            <w:pPr>
              <w:spacing w:after="40" w:before="40"/>
            </w:pPr>
            <w:r/>
            <w:r/>
            <w:r>
              <w:rPr>
                <w:rFonts w:ascii="Consolas" w:hAnsi="Consolas"/>
                <w:color w:val="404040"/>
                <w:sz w:val="18"/>
              </w:rPr>
              <w:t>250B_Med B</w:t>
            </w:r>
            <w:r/>
          </w:p>
        </w:tc>
      </w:tr>
      <w:tr>
        <w:tc>
          <w:tcPr>
            <w:tcW w:type="dxa" w:w="2880"/>
          </w:tcPr>
          <w:p>
            <w:pPr>
              <w:spacing w:after="40" w:before="40"/>
            </w:pPr>
            <w:r/>
            <w:r>
              <w:t>Medium</w:t>
            </w:r>
          </w:p>
        </w:tc>
        <w:tc>
          <w:tcPr>
            <w:tcW w:type="dxa" w:w="2880"/>
          </w:tcPr>
          <w:p>
            <w:pPr>
              <w:spacing w:after="40" w:before="40"/>
            </w:pPr>
            <w:r/>
            <w:r>
              <w:t>C / N</w:t>
            </w:r>
          </w:p>
        </w:tc>
        <w:tc>
          <w:tcPr>
            <w:tcW w:type="dxa" w:w="2880"/>
          </w:tcPr>
          <w:p>
            <w:pPr>
              <w:spacing w:after="40" w:before="40"/>
            </w:pPr>
            <w:r/>
            <w:r/>
            <w:r>
              <w:rPr>
                <w:rFonts w:ascii="Consolas" w:hAnsi="Consolas"/>
                <w:color w:val="404040"/>
                <w:sz w:val="18"/>
              </w:rPr>
              <w:t>250B_Med C</w:t>
            </w:r>
            <w:r/>
          </w:p>
        </w:tc>
      </w:tr>
      <w:tr>
        <w:tc>
          <w:tcPr>
            <w:tcW w:type="dxa" w:w="2880"/>
          </w:tcPr>
          <w:p>
            <w:pPr>
              <w:spacing w:after="40" w:before="40"/>
            </w:pPr>
            <w:r/>
            <w:r>
              <w:t>Light</w:t>
            </w:r>
          </w:p>
        </w:tc>
        <w:tc>
          <w:tcPr>
            <w:tcW w:type="dxa" w:w="2880"/>
          </w:tcPr>
          <w:p>
            <w:pPr>
              <w:spacing w:after="40" w:before="40"/>
            </w:pPr>
            <w:r/>
            <w:r>
              <w:t>B</w:t>
            </w:r>
          </w:p>
        </w:tc>
        <w:tc>
          <w:tcPr>
            <w:tcW w:type="dxa" w:w="2880"/>
          </w:tcPr>
          <w:p>
            <w:pPr>
              <w:spacing w:after="40" w:before="40"/>
            </w:pPr>
            <w:r/>
            <w:r/>
            <w:r>
              <w:rPr>
                <w:rFonts w:ascii="Consolas" w:hAnsi="Consolas"/>
                <w:color w:val="404040"/>
                <w:sz w:val="18"/>
              </w:rPr>
              <w:t>250B_Lgt B</w:t>
            </w:r>
            <w:r/>
          </w:p>
        </w:tc>
      </w:tr>
      <w:tr>
        <w:tc>
          <w:tcPr>
            <w:tcW w:type="dxa" w:w="2880"/>
          </w:tcPr>
          <w:p>
            <w:pPr>
              <w:spacing w:after="40" w:before="40"/>
            </w:pPr>
            <w:r/>
            <w:r>
              <w:t>Light</w:t>
            </w:r>
          </w:p>
        </w:tc>
        <w:tc>
          <w:tcPr>
            <w:tcW w:type="dxa" w:w="2880"/>
          </w:tcPr>
          <w:p>
            <w:pPr>
              <w:spacing w:after="40" w:before="40"/>
            </w:pPr>
            <w:r/>
            <w:r>
              <w:t>C / N</w:t>
            </w:r>
          </w:p>
        </w:tc>
        <w:tc>
          <w:tcPr>
            <w:tcW w:type="dxa" w:w="2880"/>
          </w:tcPr>
          <w:p>
            <w:pPr>
              <w:spacing w:after="40" w:before="40"/>
            </w:pPr>
            <w:r/>
            <w:r/>
            <w:r>
              <w:rPr>
                <w:rFonts w:ascii="Consolas" w:hAnsi="Consolas"/>
                <w:color w:val="404040"/>
                <w:sz w:val="18"/>
              </w:rPr>
              <w:t>250B_Lgt C</w:t>
            </w:r>
            <w:r/>
          </w:p>
        </w:tc>
      </w:tr>
    </w:tbl>
    <w:p/>
    <w:p>
      <w:pPr>
        <w:pStyle w:val="Heading3"/>
      </w:pPr>
      <w:r>
        <w:t>PGE Guy/Anchor Override (LD20055 Table 5)</w:t>
      </w:r>
    </w:p>
    <w:p>
      <w:r>
        <w:t>Guys and anchors must always be designed to Grade B load and strength factors, even when the structure is Grade C. When the pole is Grade C, a second FEA simulation is run using the Grade B environment to evaluate stay utilization.</w:t>
      </w:r>
    </w:p>
    <w:tbl>
      <w:tblPr>
        <w:tblStyle w:val="LightGrid-Accent1"/>
        <w:tblW w:type="auto" w:w="0"/>
        <w:jc w:val="left"/>
        <w:tblLook w:firstColumn="1" w:firstRow="1" w:lastColumn="0" w:lastRow="0" w:noHBand="0" w:noVBand="1" w:val="04A0"/>
      </w:tblPr>
      <w:tblGrid>
        <w:gridCol w:w="4320"/>
        <w:gridCol w:w="4320"/>
      </w:tblGrid>
      <w:tr>
        <w:tc>
          <w:tcPr>
            <w:tcW w:type="dxa" w:w="4320"/>
          </w:tcPr>
          <w:p>
            <w:pPr>
              <w:spacing w:after="40" w:before="40"/>
            </w:pPr>
            <w:r>
              <w:rPr>
                <w:b/>
              </w:rPr>
            </w:r>
            <w:r>
              <w:rPr>
                <w:b/>
              </w:rPr>
              <w:t>Component</w:t>
            </w:r>
          </w:p>
        </w:tc>
        <w:tc>
          <w:tcPr>
            <w:tcW w:type="dxa" w:w="4320"/>
          </w:tcPr>
          <w:p>
            <w:pPr>
              <w:spacing w:after="40" w:before="40"/>
            </w:pPr>
            <w:r>
              <w:rPr>
                <w:b/>
              </w:rPr>
            </w:r>
            <w:r>
              <w:rPr>
                <w:b/>
              </w:rPr>
              <w:t>Strength Factor</w:t>
            </w:r>
          </w:p>
        </w:tc>
      </w:tr>
      <w:tr>
        <w:tc>
          <w:tcPr>
            <w:tcW w:type="dxa" w:w="4320"/>
          </w:tcPr>
          <w:p>
            <w:pPr>
              <w:spacing w:after="40" w:before="40"/>
            </w:pPr>
            <w:r/>
            <w:r>
              <w:t>Guy wire</w:t>
            </w:r>
          </w:p>
        </w:tc>
        <w:tc>
          <w:tcPr>
            <w:tcW w:type="dxa" w:w="4320"/>
          </w:tcPr>
          <w:p>
            <w:pPr>
              <w:spacing w:after="40" w:before="40"/>
            </w:pPr>
            <w:r/>
            <w:r>
              <w:t>0.9</w:t>
            </w:r>
          </w:p>
        </w:tc>
      </w:tr>
      <w:tr>
        <w:tc>
          <w:tcPr>
            <w:tcW w:type="dxa" w:w="4320"/>
          </w:tcPr>
          <w:p>
            <w:pPr>
              <w:spacing w:after="40" w:before="40"/>
            </w:pPr>
            <w:r/>
            <w:r>
              <w:t>Anchor</w:t>
            </w:r>
          </w:p>
        </w:tc>
        <w:tc>
          <w:tcPr>
            <w:tcW w:type="dxa" w:w="4320"/>
          </w:tcPr>
          <w:p>
            <w:pPr>
              <w:spacing w:after="40" w:before="40"/>
            </w:pPr>
            <w:r/>
            <w:r>
              <w:t>1.0</w:t>
            </w:r>
          </w:p>
        </w:tc>
      </w:tr>
    </w:tbl>
    <w:p/>
    <w:p>
      <w:pPr>
        <w:pStyle w:val="Heading2"/>
      </w:pPr>
      <w:r>
        <w:t>Applicability Criteria</w:t>
      </w:r>
    </w:p>
    <w:p>
      <w:r>
        <w:t xml:space="preserve">This load case applies to </w:t>
      </w:r>
      <w:r>
        <w:rPr>
          <w:b/>
        </w:rPr>
        <w:t>all poles</w:t>
      </w:r>
      <w:r>
        <w:t xml:space="preserve"> in the PGE service territory. The loading district is determined by geospatial query against </w:t>
      </w:r>
      <w:r>
        <w:rPr>
          <w:rFonts w:ascii="Consolas" w:hAnsi="Consolas"/>
          <w:color w:val="404040"/>
          <w:sz w:val="18"/>
        </w:rPr>
        <w:t>dt_nesc_loading_zones</w:t>
      </w:r>
      <w:r>
        <w:t xml:space="preserve"> at both the pole location and the strain section geometries. The heaviest district found governs.</w:t>
      </w:r>
    </w:p>
    <w:tbl>
      <w:tblPr>
        <w:tblStyle w:val="LightGrid-Accent1"/>
        <w:tblW w:type="auto" w:w="0"/>
        <w:jc w:val="left"/>
        <w:tblLook w:firstColumn="1" w:firstRow="1" w:lastColumn="0" w:lastRow="0" w:noHBand="0" w:noVBand="1" w:val="04A0"/>
      </w:tblPr>
      <w:tblGrid>
        <w:gridCol w:w="4320"/>
        <w:gridCol w:w="4320"/>
      </w:tblGrid>
      <w:tr>
        <w:tc>
          <w:tcPr>
            <w:tcW w:type="dxa" w:w="4320"/>
          </w:tcPr>
          <w:p>
            <w:pPr>
              <w:spacing w:after="40" w:before="40"/>
            </w:pPr>
            <w:r>
              <w:rPr>
                <w:b/>
              </w:rPr>
            </w:r>
            <w:r>
              <w:rPr>
                <w:b/>
              </w:rPr>
              <w:t>Criterion</w:t>
            </w:r>
          </w:p>
        </w:tc>
        <w:tc>
          <w:tcPr>
            <w:tcW w:type="dxa" w:w="4320"/>
          </w:tcPr>
          <w:p>
            <w:pPr>
              <w:spacing w:after="40" w:before="40"/>
            </w:pPr>
            <w:r>
              <w:rPr>
                <w:b/>
              </w:rPr>
            </w:r>
            <w:r>
              <w:rPr>
                <w:b/>
              </w:rPr>
              <w:t>Source</w:t>
            </w:r>
          </w:p>
        </w:tc>
      </w:tr>
      <w:tr>
        <w:tc>
          <w:tcPr>
            <w:tcW w:type="dxa" w:w="4320"/>
          </w:tcPr>
          <w:p>
            <w:pPr>
              <w:spacing w:after="40" w:before="40"/>
            </w:pPr>
            <w:r/>
            <w:r>
              <w:t>Loading district (pole)</w:t>
            </w:r>
          </w:p>
        </w:tc>
        <w:tc>
          <w:tcPr>
            <w:tcW w:type="dxa" w:w="4320"/>
          </w:tcPr>
          <w:p>
            <w:pPr>
              <w:spacing w:after="40" w:before="40"/>
            </w:pPr>
            <w:r/>
            <w:r/>
            <w:r>
              <w:rPr>
                <w:rFonts w:ascii="Consolas" w:hAnsi="Consolas"/>
                <w:color w:val="404040"/>
                <w:sz w:val="18"/>
              </w:rPr>
              <w:t>geo_query(dt_nesc_loading_zones, pole.geometry)</w:t>
            </w:r>
            <w:r/>
          </w:p>
        </w:tc>
      </w:tr>
      <w:tr>
        <w:tc>
          <w:tcPr>
            <w:tcW w:type="dxa" w:w="4320"/>
          </w:tcPr>
          <w:p>
            <w:pPr>
              <w:spacing w:after="40" w:before="40"/>
            </w:pPr>
            <w:r/>
            <w:r>
              <w:t>Loading district (strain section)</w:t>
            </w:r>
          </w:p>
        </w:tc>
        <w:tc>
          <w:tcPr>
            <w:tcW w:type="dxa" w:w="4320"/>
          </w:tcPr>
          <w:p>
            <w:pPr>
              <w:spacing w:after="40" w:before="40"/>
            </w:pPr>
            <w:r/>
            <w:r/>
            <w:r>
              <w:rPr>
                <w:rFonts w:ascii="Consolas" w:hAnsi="Consolas"/>
                <w:color w:val="404040"/>
                <w:sz w:val="18"/>
              </w:rPr>
              <w:t>geo_query(dt_nesc_loading_zones, geo_collection(spans[].section[].geometry))</w:t>
            </w:r>
            <w:r/>
          </w:p>
        </w:tc>
      </w:tr>
      <w:tr>
        <w:tc>
          <w:tcPr>
            <w:tcW w:type="dxa" w:w="4320"/>
          </w:tcPr>
          <w:p>
            <w:pPr>
              <w:spacing w:after="40" w:before="40"/>
            </w:pPr>
            <w:r/>
            <w:r>
              <w:t>Grade of construction</w:t>
            </w:r>
          </w:p>
        </w:tc>
        <w:tc>
          <w:tcPr>
            <w:tcW w:type="dxa" w:w="4320"/>
          </w:tcPr>
          <w:p>
            <w:pPr>
              <w:spacing w:after="40" w:before="40"/>
            </w:pPr>
            <w:r/>
            <w:r>
              <w:t>Rule 243 output (</w:t>
            </w:r>
            <w:r>
              <w:rPr>
                <w:rFonts w:ascii="Consolas" w:hAnsi="Consolas"/>
                <w:color w:val="404040"/>
                <w:sz w:val="18"/>
              </w:rPr>
              <w:t>grade_of_construction</w:t>
            </w:r>
            <w:r>
              <w:t>)</w:t>
            </w:r>
          </w:p>
        </w:tc>
      </w:tr>
    </w:tbl>
    <w:p/>
    <w:p>
      <w:pPr>
        <w:pStyle w:val="Heading2"/>
      </w:pPr>
      <w:r>
        <w:t>Implementation</w:t>
      </w:r>
    </w:p>
    <w:p>
      <w:r>
        <w:t xml:space="preserve">- </w:t>
      </w:r>
      <w:r>
        <w:rPr>
          <w:b/>
        </w:rPr>
        <w:t>Processing type:</w:t>
      </w:r>
      <w:r>
        <w:t xml:space="preserve"> </w:t>
      </w:r>
      <w:r>
        <w:rPr>
          <w:rFonts w:ascii="Consolas" w:hAnsi="Consolas"/>
          <w:color w:val="404040"/>
          <w:sz w:val="18"/>
        </w:rPr>
        <w:t>portland_nesc~PoleLoadingRule250bProcessing</w:t>
      </w:r>
      <w:r>
        <w:t xml:space="preserve"> - </w:t>
      </w:r>
      <w:r>
        <w:rPr>
          <w:b/>
        </w:rPr>
        <w:t>Calculator type:</w:t>
      </w:r>
      <w:r>
        <w:t xml:space="preserve"> </w:t>
      </w:r>
      <w:r>
        <w:rPr>
          <w:rFonts w:ascii="Consolas" w:hAnsi="Consolas"/>
          <w:color w:val="404040"/>
          <w:sz w:val="18"/>
        </w:rPr>
        <w:t>nesc~PoleLoadingRule250bCalculator</w:t>
      </w:r>
      <w:r>
        <w:t xml:space="preserve"> (base NESC, with PGE Processing injected via DI) - </w:t>
      </w:r>
      <w:r>
        <w:rPr>
          <w:b/>
        </w:rPr>
        <w:t>Simulations:</w:t>
      </w:r>
      <w:r>
        <w:t xml:space="preserve"> 8 wind directions, non-network solve - </w:t>
      </w:r>
      <w:r>
        <w:rPr>
          <w:b/>
        </w:rPr>
        <w:t>Guy override:</w:t>
      </w:r>
      <w:r>
        <w:t xml:space="preserve"> </w:t>
      </w:r>
      <w:r>
        <w:rPr>
          <w:rFonts w:ascii="Consolas" w:hAnsi="Consolas"/>
          <w:color w:val="404040"/>
          <w:sz w:val="18"/>
        </w:rPr>
        <w:t>simulations_grade_b</w:t>
      </w:r>
      <w:r>
        <w:t xml:space="preserve"> runs only when </w:t>
      </w:r>
      <w:r>
        <w:rPr>
          <w:rFonts w:ascii="Consolas" w:hAnsi="Consolas"/>
          <w:color w:val="404040"/>
          <w:sz w:val="18"/>
        </w:rPr>
        <w:t>grade &lt;&gt; "B"</w:t>
      </w:r>
      <w:r>
        <w:t xml:space="preserve"> and stays exist; </w:t>
      </w:r>
      <w:r>
        <w:rPr>
          <w:rFonts w:ascii="Consolas" w:hAnsi="Consolas"/>
          <w:color w:val="404040"/>
          <w:sz w:val="18"/>
        </w:rPr>
        <w:t>max_stay</w:t>
      </w:r>
      <w:r>
        <w:t xml:space="preserve"> uses Grade B simulation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