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Load Case: Extreme Ice (PGE-Specific — No Concurrent Wind)</w:t>
      </w:r>
    </w:p>
    <w:p>
      <w:pPr>
        <w:pStyle w:val="Heading2"/>
      </w:pPr>
      <w:r>
        <w:t>Description</w:t>
      </w:r>
    </w:p>
    <w:p>
      <w:r>
        <w:t>PGE-specific extreme ice loading condition with no concurrent wind. This load case does not exist in base NESC — it is a PGE reliability requirement defined in LD20055 Table 4. Ice thickness is determined by NESC loading district (Heavy or Medium). Light loading district poles are not subject to this load case.</w:t>
      </w:r>
    </w:p>
    <w:p>
      <w:pPr>
        <w:pStyle w:val="Heading2"/>
      </w:pPr>
      <w:r>
        <w:t>References</w:t>
      </w:r>
    </w:p>
    <w:p>
      <w:r>
        <w:t>- PGE LD20055, Table 4 (special loading conditions) - PGE LD20020, Table 2 (extreme ice parameters by district)</w:t>
      </w:r>
    </w:p>
    <w:p>
      <w:pPr>
        <w:pStyle w:val="Heading2"/>
      </w:pPr>
      <w:r>
        <w:t>Weather Parameters</w:t>
      </w:r>
    </w:p>
    <w:p>
      <w:r>
        <w:t xml:space="preserve">From PGE LD20020 Table 2 and the </w:t>
      </w:r>
      <w:r>
        <w:rPr>
          <w:rFonts w:ascii="Consolas" w:hAnsi="Consolas"/>
          <w:color w:val="404040"/>
          <w:sz w:val="18"/>
        </w:rPr>
        <w:t>portland_nesc~extreme_ice_loading</w:t>
      </w:r>
      <w:r>
        <w:t xml:space="preserve"> data table: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spacing w:after="40" w:before="40"/>
            </w:pPr>
            <w:r>
              <w:rPr>
                <w:b/>
              </w:rPr>
            </w:r>
            <w:r>
              <w:rPr>
                <w:b/>
              </w:rPr>
              <w:t>Loading District</w:t>
            </w:r>
          </w:p>
        </w:tc>
        <w:tc>
          <w:tcPr>
            <w:tcW w:type="dxa" w:w="2160"/>
          </w:tcPr>
          <w:p>
            <w:pPr>
              <w:spacing w:after="40" w:before="40"/>
            </w:pPr>
            <w:r>
              <w:rPr>
                <w:b/>
              </w:rPr>
            </w:r>
            <w:r>
              <w:rPr>
                <w:b/>
              </w:rPr>
              <w:t>Temperature</w:t>
            </w:r>
          </w:p>
        </w:tc>
        <w:tc>
          <w:tcPr>
            <w:tcW w:type="dxa" w:w="2160"/>
          </w:tcPr>
          <w:p>
            <w:pPr>
              <w:spacing w:after="40" w:before="40"/>
            </w:pPr>
            <w:r>
              <w:rPr>
                <w:b/>
              </w:rPr>
            </w:r>
            <w:r>
              <w:rPr>
                <w:b/>
              </w:rPr>
              <w:t>Ice Thickness</w:t>
            </w:r>
          </w:p>
        </w:tc>
        <w:tc>
          <w:tcPr>
            <w:tcW w:type="dxa" w:w="2160"/>
          </w:tcPr>
          <w:p>
            <w:pPr>
              <w:spacing w:after="40" w:before="40"/>
            </w:pPr>
            <w:r>
              <w:rPr>
                <w:b/>
              </w:rPr>
            </w:r>
            <w:r>
              <w:rPr>
                <w:b/>
              </w:rPr>
              <w:t>Wind Pressure</w:t>
            </w:r>
          </w:p>
        </w:tc>
      </w:tr>
      <w:tr>
        <w:tc>
          <w:tcPr>
            <w:tcW w:type="dxa" w:w="2160"/>
          </w:tcPr>
          <w:p>
            <w:pPr>
              <w:spacing w:after="40" w:before="40"/>
            </w:pPr>
            <w:r/>
            <w:r>
              <w:t>Heavy</w:t>
            </w:r>
          </w:p>
        </w:tc>
        <w:tc>
          <w:tcPr>
            <w:tcW w:type="dxa" w:w="2160"/>
          </w:tcPr>
          <w:p>
            <w:pPr>
              <w:spacing w:after="40" w:before="40"/>
            </w:pPr>
            <w:r/>
            <w:r>
              <w:t>32 deg F</w:t>
            </w:r>
          </w:p>
        </w:tc>
        <w:tc>
          <w:tcPr>
            <w:tcW w:type="dxa" w:w="2160"/>
          </w:tcPr>
          <w:p>
            <w:pPr>
              <w:spacing w:after="40" w:before="40"/>
            </w:pPr>
            <w:r/>
            <w:r>
              <w:t>1.0 in</w:t>
            </w:r>
          </w:p>
        </w:tc>
        <w:tc>
          <w:tcPr>
            <w:tcW w:type="dxa" w:w="2160"/>
          </w:tcPr>
          <w:p>
            <w:pPr>
              <w:spacing w:after="40" w:before="40"/>
            </w:pPr>
            <w:r/>
            <w:r>
              <w:t>0 psf</w:t>
            </w:r>
          </w:p>
        </w:tc>
      </w:tr>
      <w:tr>
        <w:tc>
          <w:tcPr>
            <w:tcW w:type="dxa" w:w="2160"/>
          </w:tcPr>
          <w:p>
            <w:pPr>
              <w:spacing w:after="40" w:before="40"/>
            </w:pPr>
            <w:r/>
            <w:r>
              <w:t>Medium</w:t>
            </w:r>
          </w:p>
        </w:tc>
        <w:tc>
          <w:tcPr>
            <w:tcW w:type="dxa" w:w="2160"/>
          </w:tcPr>
          <w:p>
            <w:pPr>
              <w:spacing w:after="40" w:before="40"/>
            </w:pPr>
            <w:r/>
            <w:r>
              <w:t>32 deg F</w:t>
            </w:r>
          </w:p>
        </w:tc>
        <w:tc>
          <w:tcPr>
            <w:tcW w:type="dxa" w:w="2160"/>
          </w:tcPr>
          <w:p>
            <w:pPr>
              <w:spacing w:after="40" w:before="40"/>
            </w:pPr>
            <w:r/>
            <w:r>
              <w:t>0.5 in</w:t>
            </w:r>
          </w:p>
        </w:tc>
        <w:tc>
          <w:tcPr>
            <w:tcW w:type="dxa" w:w="2160"/>
          </w:tcPr>
          <w:p>
            <w:pPr>
              <w:spacing w:after="40" w:before="40"/>
            </w:pPr>
            <w:r/>
            <w:r>
              <w:t>0 psf</w:t>
            </w:r>
          </w:p>
        </w:tc>
      </w:tr>
    </w:tbl>
    <w:p/>
    <w:p>
      <w:pPr>
        <w:pStyle w:val="Heading2"/>
      </w:pPr>
      <w:r>
        <w:t>Load and Strength Factors</w:t>
      </w:r>
    </w:p>
    <w:p>
      <w:r>
        <w:t>PGE LD20055 Table 4:</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Factor</w:t>
            </w:r>
          </w:p>
        </w:tc>
        <w:tc>
          <w:tcPr>
            <w:tcW w:type="dxa" w:w="4320"/>
          </w:tcPr>
          <w:p>
            <w:pPr>
              <w:spacing w:after="40" w:before="40"/>
            </w:pPr>
            <w:r>
              <w:rPr>
                <w:b/>
              </w:rPr>
            </w:r>
            <w:r>
              <w:rPr>
                <w:b/>
              </w:rPr>
              <w:t>Value</w:t>
            </w:r>
          </w:p>
        </w:tc>
      </w:tr>
      <w:tr>
        <w:tc>
          <w:tcPr>
            <w:tcW w:type="dxa" w:w="4320"/>
          </w:tcPr>
          <w:p>
            <w:pPr>
              <w:spacing w:after="40" w:before="40"/>
            </w:pPr>
            <w:r/>
            <w:r>
              <w:t>Wind load factor</w:t>
            </w:r>
          </w:p>
        </w:tc>
        <w:tc>
          <w:tcPr>
            <w:tcW w:type="dxa" w:w="4320"/>
          </w:tcPr>
          <w:p>
            <w:pPr>
              <w:spacing w:after="40" w:before="40"/>
            </w:pPr>
            <w:r/>
            <w:r>
              <w:t>1.1</w:t>
            </w:r>
          </w:p>
        </w:tc>
      </w:tr>
      <w:tr>
        <w:tc>
          <w:tcPr>
            <w:tcW w:type="dxa" w:w="4320"/>
          </w:tcPr>
          <w:p>
            <w:pPr>
              <w:spacing w:after="40" w:before="40"/>
            </w:pPr>
            <w:r/>
            <w:r>
              <w:t>Wire tension load factor</w:t>
            </w:r>
          </w:p>
        </w:tc>
        <w:tc>
          <w:tcPr>
            <w:tcW w:type="dxa" w:w="4320"/>
          </w:tcPr>
          <w:p>
            <w:pPr>
              <w:spacing w:after="40" w:before="40"/>
            </w:pPr>
            <w:r/>
            <w:r>
              <w:t>1.1</w:t>
            </w:r>
          </w:p>
        </w:tc>
      </w:tr>
      <w:tr>
        <w:tc>
          <w:tcPr>
            <w:tcW w:type="dxa" w:w="4320"/>
          </w:tcPr>
          <w:p>
            <w:pPr>
              <w:spacing w:after="40" w:before="40"/>
            </w:pPr>
            <w:r/>
            <w:r>
              <w:t>Vertical load factor</w:t>
            </w:r>
          </w:p>
        </w:tc>
        <w:tc>
          <w:tcPr>
            <w:tcW w:type="dxa" w:w="4320"/>
          </w:tcPr>
          <w:p>
            <w:pPr>
              <w:spacing w:after="40" w:before="40"/>
            </w:pPr>
            <w:r/>
            <w:r>
              <w:t>1.1</w:t>
            </w:r>
          </w:p>
        </w:tc>
      </w:tr>
      <w:tr>
        <w:tc>
          <w:tcPr>
            <w:tcW w:type="dxa" w:w="4320"/>
          </w:tcPr>
          <w:p>
            <w:pPr>
              <w:spacing w:after="40" w:before="40"/>
            </w:pPr>
            <w:r/>
            <w:r>
              <w:t>Longitudinal load factor (general)</w:t>
            </w:r>
          </w:p>
        </w:tc>
        <w:tc>
          <w:tcPr>
            <w:tcW w:type="dxa" w:w="4320"/>
          </w:tcPr>
          <w:p>
            <w:pPr>
              <w:spacing w:after="40" w:before="40"/>
            </w:pPr>
            <w:r/>
            <w:r>
              <w:t>1.0</w:t>
            </w:r>
          </w:p>
        </w:tc>
      </w:tr>
      <w:tr>
        <w:tc>
          <w:tcPr>
            <w:tcW w:type="dxa" w:w="4320"/>
          </w:tcPr>
          <w:p>
            <w:pPr>
              <w:spacing w:after="40" w:before="40"/>
            </w:pPr>
            <w:r/>
            <w:r>
              <w:t>Longitudinal load factor (dead ends)</w:t>
            </w:r>
          </w:p>
        </w:tc>
        <w:tc>
          <w:tcPr>
            <w:tcW w:type="dxa" w:w="4320"/>
          </w:tcPr>
          <w:p>
            <w:pPr>
              <w:spacing w:after="40" w:before="40"/>
            </w:pPr>
            <w:r/>
            <w:r>
              <w:t>1.1</w:t>
            </w:r>
          </w:p>
        </w:tc>
      </w:tr>
    </w:tbl>
    <w:p/>
    <w:p>
      <w:pPr>
        <w:pStyle w:val="Heading3"/>
      </w:pPr>
      <w:r>
        <w:t>Strength Factors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Pole Material</w:t>
            </w:r>
          </w:p>
        </w:tc>
        <w:tc>
          <w:tcPr>
            <w:tcW w:type="dxa" w:w="4320"/>
          </w:tcPr>
          <w:p>
            <w:pPr>
              <w:spacing w:after="40" w:before="40"/>
            </w:pPr>
            <w:r>
              <w:rPr>
                <w:b/>
              </w:rPr>
            </w:r>
            <w:r>
              <w:rPr>
                <w:b/>
              </w:rPr>
              <w:t>Strength Factor</w:t>
            </w:r>
          </w:p>
        </w:tc>
      </w:tr>
      <w:tr>
        <w:tc>
          <w:tcPr>
            <w:tcW w:type="dxa" w:w="4320"/>
          </w:tcPr>
          <w:p>
            <w:pPr>
              <w:spacing w:after="40" w:before="40"/>
            </w:pPr>
            <w:r/>
            <w:r>
              <w:t>Wood</w:t>
            </w:r>
          </w:p>
        </w:tc>
        <w:tc>
          <w:tcPr>
            <w:tcW w:type="dxa" w:w="4320"/>
          </w:tcPr>
          <w:p>
            <w:pPr>
              <w:spacing w:after="40" w:before="40"/>
            </w:pPr>
            <w:r/>
            <w:r>
              <w:t>0.75</w:t>
            </w:r>
          </w:p>
        </w:tc>
      </w:tr>
      <w:tr>
        <w:tc>
          <w:tcPr>
            <w:tcW w:type="dxa" w:w="4320"/>
          </w:tcPr>
          <w:p>
            <w:pPr>
              <w:spacing w:after="40" w:before="40"/>
            </w:pPr>
            <w:r/>
            <w:r>
              <w:t>FRP</w:t>
            </w:r>
          </w:p>
        </w:tc>
        <w:tc>
          <w:tcPr>
            <w:tcW w:type="dxa" w:w="4320"/>
          </w:tcPr>
          <w:p>
            <w:pPr>
              <w:spacing w:after="40" w:before="40"/>
            </w:pPr>
            <w:r/>
            <w:r>
              <w:t>0.75</w:t>
            </w:r>
          </w:p>
        </w:tc>
      </w:tr>
      <w:tr>
        <w:tc>
          <w:tcPr>
            <w:tcW w:type="dxa" w:w="4320"/>
          </w:tcPr>
          <w:p>
            <w:pPr>
              <w:spacing w:after="40" w:before="40"/>
            </w:pPr>
            <w:r/>
            <w:r>
              <w:t>Steel</w:t>
            </w:r>
          </w:p>
        </w:tc>
        <w:tc>
          <w:tcPr>
            <w:tcW w:type="dxa" w:w="4320"/>
          </w:tcPr>
          <w:p>
            <w:pPr>
              <w:spacing w:after="40" w:before="40"/>
            </w:pPr>
            <w:r/>
            <w:r>
              <w:t>1.0</w:t>
            </w:r>
          </w:p>
        </w:tc>
      </w:tr>
    </w:tbl>
    <w:p/>
    <w:p>
      <w:pPr>
        <w:pStyle w:val="Heading3"/>
      </w:pPr>
      <w:r>
        <w:t>Environment Templates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Loading District</w:t>
            </w:r>
          </w:p>
        </w:tc>
        <w:tc>
          <w:tcPr>
            <w:tcW w:type="dxa" w:w="4320"/>
          </w:tcPr>
          <w:p>
            <w:pPr>
              <w:spacing w:after="40" w:before="40"/>
            </w:pPr>
            <w:r>
              <w:rPr>
                <w:b/>
              </w:rPr>
            </w:r>
            <w:r>
              <w:rPr>
                <w:b/>
              </w:rPr>
              <w:t>Environment Template</w:t>
            </w:r>
          </w:p>
        </w:tc>
      </w:tr>
      <w:tr>
        <w:tc>
          <w:tcPr>
            <w:tcW w:type="dxa" w:w="4320"/>
          </w:tcPr>
          <w:p>
            <w:pPr>
              <w:spacing w:after="40" w:before="40"/>
            </w:pPr>
            <w:r/>
            <w:r>
              <w:t>Heavy</w:t>
            </w:r>
          </w:p>
        </w:tc>
        <w:tc>
          <w:tcPr>
            <w:tcW w:type="dxa" w:w="4320"/>
          </w:tcPr>
          <w:p>
            <w:pPr>
              <w:spacing w:after="40" w:before="40"/>
            </w:pPr>
            <w:r/>
            <w:r/>
            <w:r>
              <w:rPr>
                <w:rFonts w:ascii="Consolas" w:hAnsi="Consolas"/>
                <w:color w:val="404040"/>
                <w:sz w:val="18"/>
              </w:rPr>
              <w:t>PGE_ExtremeIce_Hvy</w:t>
            </w:r>
            <w:r/>
          </w:p>
        </w:tc>
      </w:tr>
      <w:tr>
        <w:tc>
          <w:tcPr>
            <w:tcW w:type="dxa" w:w="4320"/>
          </w:tcPr>
          <w:p>
            <w:pPr>
              <w:spacing w:after="40" w:before="40"/>
            </w:pPr>
            <w:r/>
            <w:r>
              <w:t>Medium</w:t>
            </w:r>
          </w:p>
        </w:tc>
        <w:tc>
          <w:tcPr>
            <w:tcW w:type="dxa" w:w="4320"/>
          </w:tcPr>
          <w:p>
            <w:pPr>
              <w:spacing w:after="40" w:before="40"/>
            </w:pPr>
            <w:r/>
            <w:r/>
            <w:r>
              <w:rPr>
                <w:rFonts w:ascii="Consolas" w:hAnsi="Consolas"/>
                <w:color w:val="404040"/>
                <w:sz w:val="18"/>
              </w:rPr>
              <w:t>PGE_ExtremeIce_Med</w:t>
            </w:r>
            <w:r/>
          </w:p>
        </w:tc>
      </w:tr>
    </w:tbl>
    <w:p/>
    <w:p>
      <w:pPr>
        <w:pStyle w:val="Heading2"/>
      </w:pPr>
      <w:r>
        <w:t>Applicability Criteria</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Criterion</w:t>
            </w:r>
          </w:p>
        </w:tc>
        <w:tc>
          <w:tcPr>
            <w:tcW w:type="dxa" w:w="4320"/>
          </w:tcPr>
          <w:p>
            <w:pPr>
              <w:spacing w:after="40" w:before="40"/>
            </w:pPr>
            <w:r>
              <w:rPr>
                <w:b/>
              </w:rPr>
            </w:r>
            <w:r>
              <w:rPr>
                <w:b/>
              </w:rPr>
              <w:t>Condition</w:t>
            </w:r>
          </w:p>
        </w:tc>
      </w:tr>
      <w:tr>
        <w:tc>
          <w:tcPr>
            <w:tcW w:type="dxa" w:w="4320"/>
          </w:tcPr>
          <w:p>
            <w:pPr>
              <w:spacing w:after="40" w:before="40"/>
            </w:pPr>
            <w:r/>
            <w:r>
              <w:t>Loading district is Heavy or Medium</w:t>
            </w:r>
          </w:p>
        </w:tc>
        <w:tc>
          <w:tcPr>
            <w:tcW w:type="dxa" w:w="4320"/>
          </w:tcPr>
          <w:p>
            <w:pPr>
              <w:spacing w:after="40" w:before="40"/>
            </w:pPr>
            <w:r/>
            <w:r/>
            <w:r>
              <w:rPr>
                <w:rFonts w:ascii="Consolas" w:hAnsi="Consolas"/>
                <w:color w:val="404040"/>
                <w:sz w:val="18"/>
              </w:rPr>
              <w:t>is_heavy</w:t>
            </w:r>
            <w:r>
              <w:t xml:space="preserve"> or </w:t>
            </w:r>
            <w:r>
              <w:rPr>
                <w:rFonts w:ascii="Consolas" w:hAnsi="Consolas"/>
                <w:color w:val="404040"/>
                <w:sz w:val="18"/>
              </w:rPr>
              <w:t>is_medium</w:t>
            </w:r>
            <w:r>
              <w:t xml:space="preserve"> (from </w:t>
            </w:r>
            <w:r>
              <w:rPr>
                <w:rFonts w:ascii="Consolas" w:hAnsi="Consolas"/>
                <w:color w:val="404040"/>
                <w:sz w:val="18"/>
              </w:rPr>
              <w:t>dt_nesc_loading_zones</w:t>
            </w:r>
            <w:r>
              <w:t xml:space="preserve"> geospatial query)</w:t>
            </w:r>
          </w:p>
        </w:tc>
      </w:tr>
    </w:tbl>
    <w:p/>
    <w:p>
      <w:r>
        <w:t>Poles in Light loading districts are not subject to this load case. The loading district is determined from both the pole location and strain section geometries, with the heaviest district governing.</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Source</w:t>
            </w:r>
          </w:p>
        </w:tc>
        <w:tc>
          <w:tcPr>
            <w:tcW w:type="dxa" w:w="4320"/>
          </w:tcPr>
          <w:p>
            <w:pPr>
              <w:spacing w:after="40" w:before="40"/>
            </w:pPr>
            <w:r>
              <w:rPr>
                <w:b/>
              </w:rPr>
            </w:r>
            <w:r>
              <w:rPr>
                <w:b/>
              </w:rPr>
              <w:t>Query</w:t>
            </w:r>
          </w:p>
        </w:tc>
      </w:tr>
      <w:tr>
        <w:tc>
          <w:tcPr>
            <w:tcW w:type="dxa" w:w="4320"/>
          </w:tcPr>
          <w:p>
            <w:pPr>
              <w:spacing w:after="40" w:before="40"/>
            </w:pPr>
            <w:r/>
            <w:r>
              <w:t>Pole location</w:t>
            </w:r>
          </w:p>
        </w:tc>
        <w:tc>
          <w:tcPr>
            <w:tcW w:type="dxa" w:w="4320"/>
          </w:tcPr>
          <w:p>
            <w:pPr>
              <w:spacing w:after="40" w:before="40"/>
            </w:pPr>
            <w:r/>
            <w:r/>
            <w:r>
              <w:rPr>
                <w:rFonts w:ascii="Consolas" w:hAnsi="Consolas"/>
                <w:color w:val="404040"/>
                <w:sz w:val="18"/>
              </w:rPr>
              <w:t>geo_query(dt_nesc_loading_zones, pole.geometry)</w:t>
            </w:r>
            <w:r/>
          </w:p>
        </w:tc>
      </w:tr>
      <w:tr>
        <w:tc>
          <w:tcPr>
            <w:tcW w:type="dxa" w:w="4320"/>
          </w:tcPr>
          <w:p>
            <w:pPr>
              <w:spacing w:after="40" w:before="40"/>
            </w:pPr>
            <w:r/>
            <w:r>
              <w:t>Strain sections</w:t>
            </w:r>
          </w:p>
        </w:tc>
        <w:tc>
          <w:tcPr>
            <w:tcW w:type="dxa" w:w="4320"/>
          </w:tcPr>
          <w:p>
            <w:pPr>
              <w:spacing w:after="40" w:before="40"/>
            </w:pPr>
            <w:r/>
            <w:r/>
            <w:r>
              <w:rPr>
                <w:rFonts w:ascii="Consolas" w:hAnsi="Consolas"/>
                <w:color w:val="404040"/>
                <w:sz w:val="18"/>
              </w:rPr>
              <w:t>geo_query(dt_nesc_loading_zones, geo_collection(spans[].section[].geometry))</w:t>
            </w:r>
            <w:r/>
          </w:p>
        </w:tc>
      </w:tr>
    </w:tbl>
    <w:p/>
    <w:p>
      <w:pPr>
        <w:pStyle w:val="Heading2"/>
      </w:pPr>
      <w:r>
        <w:t>Implementation</w:t>
      </w:r>
    </w:p>
    <w:p>
      <w:r>
        <w:t xml:space="preserve">- </w:t>
      </w:r>
      <w:r>
        <w:rPr>
          <w:b/>
        </w:rPr>
        <w:t>Processing type:</w:t>
      </w:r>
      <w:r>
        <w:t xml:space="preserve"> </w:t>
      </w:r>
      <w:r>
        <w:rPr>
          <w:rFonts w:ascii="Consolas" w:hAnsi="Consolas"/>
          <w:color w:val="404040"/>
          <w:sz w:val="18"/>
        </w:rPr>
        <w:t>portland_nesc~PoleLoadingExtremeIceProcessing</w:t>
      </w:r>
      <w:r>
        <w:t xml:space="preserve"> - </w:t>
      </w:r>
      <w:r>
        <w:rPr>
          <w:b/>
        </w:rPr>
        <w:t>Calculator type:</w:t>
      </w:r>
      <w:r>
        <w:t xml:space="preserve"> </w:t>
      </w:r>
      <w:r>
        <w:rPr>
          <w:rFonts w:ascii="Consolas" w:hAnsi="Consolas"/>
          <w:color w:val="404040"/>
          <w:sz w:val="18"/>
        </w:rPr>
        <w:t>portland_nesc~PoleLoadingExtremeIceCalculator</w:t>
      </w:r>
      <w:r>
        <w:t xml:space="preserve"> - </w:t>
      </w:r>
      <w:r>
        <w:rPr>
          <w:b/>
        </w:rPr>
        <w:t>Data table:</w:t>
      </w:r>
      <w:r>
        <w:t xml:space="preserve"> </w:t>
      </w:r>
      <w:r>
        <w:rPr>
          <w:rFonts w:ascii="Consolas" w:hAnsi="Consolas"/>
          <w:color w:val="404040"/>
          <w:sz w:val="18"/>
        </w:rPr>
        <w:t>portland_nesc~extreme_ice_loading</w:t>
      </w:r>
      <w:r>
        <w:t xml:space="preserve"> (ice parameters by district) - </w:t>
      </w:r>
      <w:r>
        <w:rPr>
          <w:b/>
        </w:rPr>
        <w:t>Simulations:</w:t>
      </w:r>
      <w:r>
        <w:t xml:space="preserve"> 8 wind directions, non-network solve - </w:t>
      </w:r>
      <w:r>
        <w:rPr>
          <w:b/>
        </w:rPr>
        <w:t>Output:</w:t>
      </w:r>
      <w:r>
        <w:t xml:space="preserve"> Returns environment, worst_pole, worst_stay, worst_xarm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