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Load Case: Fire Wind (PGE-Specific)</w:t>
      </w:r>
    </w:p>
    <w:p>
      <w:pPr>
        <w:pStyle w:val="Heading2"/>
      </w:pPr>
      <w:r>
        <w:t>Description</w:t>
      </w:r>
    </w:p>
    <w:p>
      <w:r>
        <w:t>PGE-specific fire wind loading condition for poles located within wildfire risk areas. Wind speed depends on the voltage class of the facility. This load case does not exist in base NESC — it is a PGE reliability requirement defined in LD20055 Table 4.</w:t>
      </w:r>
    </w:p>
    <w:p>
      <w:pPr>
        <w:pStyle w:val="Heading2"/>
      </w:pPr>
      <w:r>
        <w:t>References</w:t>
      </w:r>
    </w:p>
    <w:p>
      <w:r>
        <w:t>- PGE LD20055, Table 4 (special loading conditions — fire wind) - PGE LD20020, Fire Wind Loading section</w:t>
      </w:r>
    </w:p>
    <w:p>
      <w:pPr>
        <w:pStyle w:val="Heading2"/>
      </w:pPr>
      <w:r>
        <w:t>Weather Parameters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pPr>
              <w:spacing w:after="40" w:before="40"/>
            </w:pPr>
            <w:r>
              <w:rPr>
                <w:b/>
              </w:rPr>
            </w:r>
            <w:r>
              <w:rPr>
                <w:b/>
              </w:rPr>
              <w:t>Voltage Class</w:t>
            </w:r>
          </w:p>
        </w:tc>
        <w:tc>
          <w:tcPr>
            <w:tcW w:type="dxa" w:w="2880"/>
          </w:tcPr>
          <w:p>
            <w:pPr>
              <w:spacing w:after="40" w:before="40"/>
            </w:pPr>
            <w:r>
              <w:rPr>
                <w:b/>
              </w:rPr>
            </w:r>
            <w:r>
              <w:rPr>
                <w:b/>
              </w:rPr>
              <w:t>Wind Speed (mph)</w:t>
            </w:r>
          </w:p>
        </w:tc>
        <w:tc>
          <w:tcPr>
            <w:tcW w:type="dxa" w:w="2880"/>
          </w:tcPr>
          <w:p>
            <w:pPr>
              <w:spacing w:after="40" w:before="40"/>
            </w:pPr>
            <w:r>
              <w:rPr>
                <w:b/>
              </w:rPr>
            </w:r>
            <w:r>
              <w:rPr>
                <w:b/>
              </w:rPr>
              <w:t>Wind Pressure (psf)</w:t>
            </w:r>
          </w:p>
        </w:tc>
      </w:tr>
      <w:tr>
        <w:tc>
          <w:tcPr>
            <w:tcW w:type="dxa" w:w="2880"/>
          </w:tcPr>
          <w:p>
            <w:pPr>
              <w:spacing w:after="40" w:before="40"/>
            </w:pPr>
            <w:r/>
            <w:r>
              <w:t>Distribution (&lt; 57 kV)</w:t>
            </w:r>
          </w:p>
        </w:tc>
        <w:tc>
          <w:tcPr>
            <w:tcW w:type="dxa" w:w="2880"/>
          </w:tcPr>
          <w:p>
            <w:pPr>
              <w:spacing w:after="40" w:before="40"/>
            </w:pPr>
            <w:r/>
            <w:r>
              <w:t>85</w:t>
            </w:r>
          </w:p>
        </w:tc>
        <w:tc>
          <w:tcPr>
            <w:tcW w:type="dxa" w:w="2880"/>
          </w:tcPr>
          <w:p>
            <w:pPr>
              <w:spacing w:after="40" w:before="40"/>
            </w:pPr>
            <w:r/>
            <w:r>
              <w:t>18.5</w:t>
            </w:r>
          </w:p>
        </w:tc>
      </w:tr>
      <w:tr>
        <w:tc>
          <w:tcPr>
            <w:tcW w:type="dxa" w:w="2880"/>
          </w:tcPr>
          <w:p>
            <w:pPr>
              <w:spacing w:after="40" w:before="40"/>
            </w:pPr>
            <w:r/>
            <w:r>
              <w:t>Transmission (&gt;= 57 kV)</w:t>
            </w:r>
          </w:p>
        </w:tc>
        <w:tc>
          <w:tcPr>
            <w:tcW w:type="dxa" w:w="2880"/>
          </w:tcPr>
          <w:p>
            <w:pPr>
              <w:spacing w:after="40" w:before="40"/>
            </w:pPr>
            <w:r/>
            <w:r>
              <w:t>110</w:t>
            </w:r>
          </w:p>
        </w:tc>
        <w:tc>
          <w:tcPr>
            <w:tcW w:type="dxa" w:w="2880"/>
          </w:tcPr>
          <w:p>
            <w:pPr>
              <w:spacing w:after="40" w:before="40"/>
            </w:pPr>
            <w:r/>
            <w:r>
              <w:t>31.0</w:t>
            </w:r>
          </w:p>
        </w:tc>
      </w:tr>
    </w:tbl>
    <w:p/>
    <w:tbl>
      <w:tblPr>
        <w:tblStyle w:val="LightGrid-Accent1"/>
        <w:tblW w:type="auto" w:w="0"/>
        <w:jc w:val="left"/>
        <w:tblLook w:firstColumn="1" w:firstRow="1" w:lastColumn="0" w:lastRow="0" w:noHBand="0" w:noVBand="1" w:val="04A0"/>
      </w:tblPr>
      <w:tblGrid>
        <w:gridCol w:w="4320"/>
        <w:gridCol w:w="4320"/>
      </w:tblGrid>
      <w:tr>
        <w:tc>
          <w:tcPr>
            <w:tcW w:type="dxa" w:w="4320"/>
          </w:tcPr>
          <w:p>
            <w:pPr>
              <w:spacing w:after="40" w:before="40"/>
            </w:pPr>
            <w:r>
              <w:rPr>
                <w:b/>
              </w:rPr>
            </w:r>
            <w:r>
              <w:rPr>
                <w:b/>
              </w:rPr>
              <w:t>Parameter</w:t>
            </w:r>
          </w:p>
        </w:tc>
        <w:tc>
          <w:tcPr>
            <w:tcW w:type="dxa" w:w="4320"/>
          </w:tcPr>
          <w:p>
            <w:pPr>
              <w:spacing w:after="40" w:before="40"/>
            </w:pPr>
            <w:r>
              <w:rPr>
                <w:b/>
              </w:rPr>
            </w:r>
            <w:r>
              <w:rPr>
                <w:b/>
              </w:rPr>
              <w:t>Value</w:t>
            </w:r>
          </w:p>
        </w:tc>
      </w:tr>
      <w:tr>
        <w:tc>
          <w:tcPr>
            <w:tcW w:type="dxa" w:w="4320"/>
          </w:tcPr>
          <w:p>
            <w:pPr>
              <w:spacing w:after="40" w:before="40"/>
            </w:pPr>
            <w:r/>
            <w:r>
              <w:t>Temperature</w:t>
            </w:r>
          </w:p>
        </w:tc>
        <w:tc>
          <w:tcPr>
            <w:tcW w:type="dxa" w:w="4320"/>
          </w:tcPr>
          <w:p>
            <w:pPr>
              <w:spacing w:after="40" w:before="40"/>
            </w:pPr>
            <w:r/>
            <w:r>
              <w:t>60 deg F</w:t>
            </w:r>
          </w:p>
        </w:tc>
      </w:tr>
      <w:tr>
        <w:tc>
          <w:tcPr>
            <w:tcW w:type="dxa" w:w="4320"/>
          </w:tcPr>
          <w:p>
            <w:pPr>
              <w:spacing w:after="40" w:before="40"/>
            </w:pPr>
            <w:r/>
            <w:r>
              <w:t>Ice</w:t>
            </w:r>
          </w:p>
        </w:tc>
        <w:tc>
          <w:tcPr>
            <w:tcW w:type="dxa" w:w="4320"/>
          </w:tcPr>
          <w:p>
            <w:pPr>
              <w:spacing w:after="40" w:before="40"/>
            </w:pPr>
            <w:r/>
            <w:r>
              <w:t>None</w:t>
            </w:r>
          </w:p>
        </w:tc>
      </w:tr>
    </w:tbl>
    <w:p/>
    <w:p>
      <w:r>
        <w:t xml:space="preserve">Wind pressure is calculated as </w:t>
      </w:r>
      <w:r>
        <w:rPr>
          <w:rFonts w:ascii="Consolas" w:hAnsi="Consolas"/>
          <w:color w:val="404040"/>
          <w:sz w:val="18"/>
        </w:rPr>
        <w:t>0.00256 * V^2</w:t>
      </w:r>
      <w:r>
        <w:t xml:space="preserve"> psf: - Distribution: </w:t>
      </w:r>
      <w:r>
        <w:rPr>
          <w:rFonts w:ascii="Consolas" w:hAnsi="Consolas"/>
          <w:color w:val="404040"/>
          <w:sz w:val="18"/>
        </w:rPr>
        <w:t>0.00256 * 85^2 = 18.5 psf</w:t>
      </w:r>
      <w:r>
        <w:t xml:space="preserve"> - Transmission: </w:t>
      </w:r>
      <w:r>
        <w:rPr>
          <w:rFonts w:ascii="Consolas" w:hAnsi="Consolas"/>
          <w:color w:val="404040"/>
          <w:sz w:val="18"/>
        </w:rPr>
        <w:t>0.00256 * 110^2 = 31.0 psf</w:t>
      </w:r>
      <w:r/>
    </w:p>
    <w:p>
      <w:pPr>
        <w:pStyle w:val="Heading2"/>
      </w:pPr>
      <w:r>
        <w:t>Load and Strength Factors</w:t>
      </w:r>
    </w:p>
    <w:p>
      <w:r>
        <w:t>PGE LD20055 Table 4:</w:t>
      </w:r>
    </w:p>
    <w:tbl>
      <w:tblPr>
        <w:tblStyle w:val="LightGrid-Accent1"/>
        <w:tblW w:type="auto" w:w="0"/>
        <w:jc w:val="left"/>
        <w:tblLook w:firstColumn="1" w:firstRow="1" w:lastColumn="0" w:lastRow="0" w:noHBand="0" w:noVBand="1" w:val="04A0"/>
      </w:tblPr>
      <w:tblGrid>
        <w:gridCol w:w="4320"/>
        <w:gridCol w:w="4320"/>
      </w:tblGrid>
      <w:tr>
        <w:tc>
          <w:tcPr>
            <w:tcW w:type="dxa" w:w="4320"/>
          </w:tcPr>
          <w:p>
            <w:pPr>
              <w:spacing w:after="40" w:before="40"/>
            </w:pPr>
            <w:r>
              <w:rPr>
                <w:b/>
              </w:rPr>
            </w:r>
            <w:r>
              <w:rPr>
                <w:b/>
              </w:rPr>
              <w:t>Factor</w:t>
            </w:r>
          </w:p>
        </w:tc>
        <w:tc>
          <w:tcPr>
            <w:tcW w:type="dxa" w:w="4320"/>
          </w:tcPr>
          <w:p>
            <w:pPr>
              <w:spacing w:after="40" w:before="40"/>
            </w:pPr>
            <w:r>
              <w:rPr>
                <w:b/>
              </w:rPr>
            </w:r>
            <w:r>
              <w:rPr>
                <w:b/>
              </w:rPr>
              <w:t>Value</w:t>
            </w:r>
          </w:p>
        </w:tc>
      </w:tr>
      <w:tr>
        <w:tc>
          <w:tcPr>
            <w:tcW w:type="dxa" w:w="4320"/>
          </w:tcPr>
          <w:p>
            <w:pPr>
              <w:spacing w:after="40" w:before="40"/>
            </w:pPr>
            <w:r/>
            <w:r>
              <w:t>Wind load factor</w:t>
            </w:r>
          </w:p>
        </w:tc>
        <w:tc>
          <w:tcPr>
            <w:tcW w:type="dxa" w:w="4320"/>
          </w:tcPr>
          <w:p>
            <w:pPr>
              <w:spacing w:after="40" w:before="40"/>
            </w:pPr>
            <w:r/>
            <w:r>
              <w:t>1.1</w:t>
            </w:r>
          </w:p>
        </w:tc>
      </w:tr>
      <w:tr>
        <w:tc>
          <w:tcPr>
            <w:tcW w:type="dxa" w:w="4320"/>
          </w:tcPr>
          <w:p>
            <w:pPr>
              <w:spacing w:after="40" w:before="40"/>
            </w:pPr>
            <w:r/>
            <w:r>
              <w:t>Wire tension load factor</w:t>
            </w:r>
          </w:p>
        </w:tc>
        <w:tc>
          <w:tcPr>
            <w:tcW w:type="dxa" w:w="4320"/>
          </w:tcPr>
          <w:p>
            <w:pPr>
              <w:spacing w:after="40" w:before="40"/>
            </w:pPr>
            <w:r/>
            <w:r>
              <w:t>1.1</w:t>
            </w:r>
          </w:p>
        </w:tc>
      </w:tr>
      <w:tr>
        <w:tc>
          <w:tcPr>
            <w:tcW w:type="dxa" w:w="4320"/>
          </w:tcPr>
          <w:p>
            <w:pPr>
              <w:spacing w:after="40" w:before="40"/>
            </w:pPr>
            <w:r/>
            <w:r>
              <w:t>Vertical load factor</w:t>
            </w:r>
          </w:p>
        </w:tc>
        <w:tc>
          <w:tcPr>
            <w:tcW w:type="dxa" w:w="4320"/>
          </w:tcPr>
          <w:p>
            <w:pPr>
              <w:spacing w:after="40" w:before="40"/>
            </w:pPr>
            <w:r/>
            <w:r>
              <w:t>1.1</w:t>
            </w:r>
          </w:p>
        </w:tc>
      </w:tr>
      <w:tr>
        <w:tc>
          <w:tcPr>
            <w:tcW w:type="dxa" w:w="4320"/>
          </w:tcPr>
          <w:p>
            <w:pPr>
              <w:spacing w:after="40" w:before="40"/>
            </w:pPr>
            <w:r/>
            <w:r>
              <w:t>Longitudinal load factor</w:t>
            </w:r>
          </w:p>
        </w:tc>
        <w:tc>
          <w:tcPr>
            <w:tcW w:type="dxa" w:w="4320"/>
          </w:tcPr>
          <w:p>
            <w:pPr>
              <w:spacing w:after="40" w:before="40"/>
            </w:pPr>
            <w:r/>
            <w:r>
              <w:t>1.1</w:t>
            </w:r>
          </w:p>
        </w:tc>
      </w:tr>
    </w:tbl>
    <w:p/>
    <w:p>
      <w:pPr>
        <w:pStyle w:val="Heading3"/>
      </w:pPr>
      <w:r>
        <w:t>Strength Factors</w:t>
      </w:r>
    </w:p>
    <w:tbl>
      <w:tblPr>
        <w:tblStyle w:val="LightGrid-Accent1"/>
        <w:tblW w:type="auto" w:w="0"/>
        <w:jc w:val="left"/>
        <w:tblLook w:firstColumn="1" w:firstRow="1" w:lastColumn="0" w:lastRow="0" w:noHBand="0" w:noVBand="1" w:val="04A0"/>
      </w:tblPr>
      <w:tblGrid>
        <w:gridCol w:w="4320"/>
        <w:gridCol w:w="4320"/>
      </w:tblGrid>
      <w:tr>
        <w:tc>
          <w:tcPr>
            <w:tcW w:type="dxa" w:w="4320"/>
          </w:tcPr>
          <w:p>
            <w:pPr>
              <w:spacing w:after="40" w:before="40"/>
            </w:pPr>
            <w:r>
              <w:rPr>
                <w:b/>
              </w:rPr>
            </w:r>
            <w:r>
              <w:rPr>
                <w:b/>
              </w:rPr>
              <w:t>Pole Material</w:t>
            </w:r>
          </w:p>
        </w:tc>
        <w:tc>
          <w:tcPr>
            <w:tcW w:type="dxa" w:w="4320"/>
          </w:tcPr>
          <w:p>
            <w:pPr>
              <w:spacing w:after="40" w:before="40"/>
            </w:pPr>
            <w:r>
              <w:rPr>
                <w:b/>
              </w:rPr>
            </w:r>
            <w:r>
              <w:rPr>
                <w:b/>
              </w:rPr>
              <w:t>Strength Factor</w:t>
            </w:r>
          </w:p>
        </w:tc>
      </w:tr>
      <w:tr>
        <w:tc>
          <w:tcPr>
            <w:tcW w:type="dxa" w:w="4320"/>
          </w:tcPr>
          <w:p>
            <w:pPr>
              <w:spacing w:after="40" w:before="40"/>
            </w:pPr>
            <w:r/>
            <w:r>
              <w:t>Wood</w:t>
            </w:r>
          </w:p>
        </w:tc>
        <w:tc>
          <w:tcPr>
            <w:tcW w:type="dxa" w:w="4320"/>
          </w:tcPr>
          <w:p>
            <w:pPr>
              <w:spacing w:after="40" w:before="40"/>
            </w:pPr>
            <w:r/>
            <w:r>
              <w:t>0.75</w:t>
            </w:r>
          </w:p>
        </w:tc>
      </w:tr>
      <w:tr>
        <w:tc>
          <w:tcPr>
            <w:tcW w:type="dxa" w:w="4320"/>
          </w:tcPr>
          <w:p>
            <w:pPr>
              <w:spacing w:after="40" w:before="40"/>
            </w:pPr>
            <w:r/>
            <w:r>
              <w:t>Steel</w:t>
            </w:r>
          </w:p>
        </w:tc>
        <w:tc>
          <w:tcPr>
            <w:tcW w:type="dxa" w:w="4320"/>
          </w:tcPr>
          <w:p>
            <w:pPr>
              <w:spacing w:after="40" w:before="40"/>
            </w:pPr>
            <w:r/>
            <w:r>
              <w:t>1.0</w:t>
            </w:r>
          </w:p>
        </w:tc>
      </w:tr>
    </w:tbl>
    <w:p/>
    <w:p>
      <w:r/>
      <w:r>
        <w:rPr>
          <w:b/>
        </w:rPr>
        <w:t>Environment template:</w:t>
      </w:r>
      <w:r>
        <w:t xml:space="preserve"> </w:t>
      </w:r>
      <w:r>
        <w:rPr>
          <w:rFonts w:ascii="Consolas" w:hAnsi="Consolas"/>
          <w:color w:val="404040"/>
          <w:sz w:val="18"/>
        </w:rPr>
        <w:t>PGE_FireWind</w:t>
      </w:r>
      <w:r>
        <w:t xml:space="preserve"> (single template, wind pressure overridden at runtime)</w:t>
      </w:r>
    </w:p>
    <w:p>
      <w:pPr>
        <w:pStyle w:val="Heading2"/>
      </w:pPr>
      <w:r>
        <w:t>Applicability Criteria</w:t>
      </w:r>
    </w:p>
    <w:tbl>
      <w:tblPr>
        <w:tblStyle w:val="LightGrid-Accent1"/>
        <w:tblW w:type="auto" w:w="0"/>
        <w:jc w:val="left"/>
        <w:tblLook w:firstColumn="1" w:firstRow="1" w:lastColumn="0" w:lastRow="0" w:noHBand="0" w:noVBand="1" w:val="04A0"/>
      </w:tblPr>
      <w:tblGrid>
        <w:gridCol w:w="4320"/>
        <w:gridCol w:w="4320"/>
      </w:tblGrid>
      <w:tr>
        <w:tc>
          <w:tcPr>
            <w:tcW w:type="dxa" w:w="4320"/>
          </w:tcPr>
          <w:p>
            <w:pPr>
              <w:spacing w:after="40" w:before="40"/>
            </w:pPr>
            <w:r>
              <w:rPr>
                <w:b/>
              </w:rPr>
            </w:r>
            <w:r>
              <w:rPr>
                <w:b/>
              </w:rPr>
              <w:t>Criterion</w:t>
            </w:r>
          </w:p>
        </w:tc>
        <w:tc>
          <w:tcPr>
            <w:tcW w:type="dxa" w:w="4320"/>
          </w:tcPr>
          <w:p>
            <w:pPr>
              <w:spacing w:after="40" w:before="40"/>
            </w:pPr>
            <w:r>
              <w:rPr>
                <w:b/>
              </w:rPr>
            </w:r>
            <w:r>
              <w:rPr>
                <w:b/>
              </w:rPr>
              <w:t>Condition</w:t>
            </w:r>
          </w:p>
        </w:tc>
      </w:tr>
      <w:tr>
        <w:tc>
          <w:tcPr>
            <w:tcW w:type="dxa" w:w="4320"/>
          </w:tcPr>
          <w:p>
            <w:pPr>
              <w:spacing w:after="40" w:before="40"/>
            </w:pPr>
            <w:r/>
            <w:r>
              <w:t>Pole spans intersect a wildfire risk area</w:t>
            </w:r>
          </w:p>
        </w:tc>
        <w:tc>
          <w:tcPr>
            <w:tcW w:type="dxa" w:w="4320"/>
          </w:tcPr>
          <w:p>
            <w:pPr>
              <w:spacing w:after="40" w:before="40"/>
            </w:pPr>
            <w:r/>
            <w:r/>
            <w:r>
              <w:rPr>
                <w:rFonts w:ascii="Consolas" w:hAnsi="Consolas"/>
                <w:color w:val="404040"/>
                <w:sz w:val="18"/>
              </w:rPr>
              <w:t>geo_query(dt_wildfireriskarea, pole.spans[].geometry, 10ft)</w:t>
            </w:r>
            <w:r>
              <w:t xml:space="preserve"> returns results</w:t>
            </w:r>
          </w:p>
        </w:tc>
      </w:tr>
    </w:tbl>
    <w:p/>
    <w:p>
      <w:r>
        <w:t>If the pole is not in a wildfire risk area, the load case is skipped and the output is null.</w:t>
      </w:r>
    </w:p>
    <w:p>
      <w:pPr>
        <w:pStyle w:val="Heading3"/>
      </w:pPr>
      <w:r>
        <w:t>Voltage Classification</w:t>
      </w:r>
    </w:p>
    <w:tbl>
      <w:tblPr>
        <w:tblStyle w:val="LightGrid-Accent1"/>
        <w:tblW w:type="auto" w:w="0"/>
        <w:jc w:val="left"/>
        <w:tblLook w:firstColumn="1" w:firstRow="1" w:lastColumn="0" w:lastRow="0" w:noHBand="0" w:noVBand="1" w:val="04A0"/>
      </w:tblPr>
      <w:tblGrid>
        <w:gridCol w:w="4320"/>
        <w:gridCol w:w="4320"/>
      </w:tblGrid>
      <w:tr>
        <w:tc>
          <w:tcPr>
            <w:tcW w:type="dxa" w:w="4320"/>
          </w:tcPr>
          <w:p>
            <w:pPr>
              <w:spacing w:after="40" w:before="40"/>
            </w:pPr>
            <w:r>
              <w:rPr>
                <w:b/>
              </w:rPr>
            </w:r>
            <w:r>
              <w:rPr>
                <w:b/>
              </w:rPr>
              <w:t>Class</w:t>
            </w:r>
          </w:p>
        </w:tc>
        <w:tc>
          <w:tcPr>
            <w:tcW w:type="dxa" w:w="4320"/>
          </w:tcPr>
          <w:p>
            <w:pPr>
              <w:spacing w:after="40" w:before="40"/>
            </w:pPr>
            <w:r>
              <w:rPr>
                <w:b/>
              </w:rPr>
            </w:r>
            <w:r>
              <w:rPr>
                <w:b/>
              </w:rPr>
              <w:t>Condition</w:t>
            </w:r>
          </w:p>
        </w:tc>
      </w:tr>
      <w:tr>
        <w:tc>
          <w:tcPr>
            <w:tcW w:type="dxa" w:w="4320"/>
          </w:tcPr>
          <w:p>
            <w:pPr>
              <w:spacing w:after="40" w:before="40"/>
            </w:pPr>
            <w:r/>
            <w:r>
              <w:t>Transmission</w:t>
            </w:r>
          </w:p>
        </w:tc>
        <w:tc>
          <w:tcPr>
            <w:tcW w:type="dxa" w:w="4320"/>
          </w:tcPr>
          <w:p>
            <w:pPr>
              <w:spacing w:after="40" w:before="40"/>
            </w:pPr>
            <w:r/>
            <w:r/>
            <w:r>
              <w:rPr>
                <w:rFonts w:ascii="Consolas" w:hAnsi="Consolas"/>
                <w:color w:val="404040"/>
                <w:sz w:val="18"/>
              </w:rPr>
              <w:t>max(pole.spans[].section[].voltage) &gt;= 57 kV</w:t>
            </w:r>
            <w:r/>
          </w:p>
        </w:tc>
      </w:tr>
      <w:tr>
        <w:tc>
          <w:tcPr>
            <w:tcW w:type="dxa" w:w="4320"/>
          </w:tcPr>
          <w:p>
            <w:pPr>
              <w:spacing w:after="40" w:before="40"/>
            </w:pPr>
            <w:r/>
            <w:r>
              <w:t>Distribution</w:t>
            </w:r>
          </w:p>
        </w:tc>
        <w:tc>
          <w:tcPr>
            <w:tcW w:type="dxa" w:w="4320"/>
          </w:tcPr>
          <w:p>
            <w:pPr>
              <w:spacing w:after="40" w:before="40"/>
            </w:pPr>
            <w:r/>
            <w:r>
              <w:t>All other</w:t>
            </w:r>
          </w:p>
        </w:tc>
      </w:tr>
    </w:tbl>
    <w:p/>
    <w:p>
      <w:pPr>
        <w:pStyle w:val="Heading2"/>
      </w:pPr>
      <w:r>
        <w:t>Data Sources</w:t>
      </w:r>
    </w:p>
    <w:tbl>
      <w:tblPr>
        <w:tblStyle w:val="LightGrid-Accent1"/>
        <w:tblW w:type="auto" w:w="0"/>
        <w:jc w:val="left"/>
        <w:tblLook w:firstColumn="1" w:firstRow="1" w:lastColumn="0" w:lastRow="0" w:noHBand="0" w:noVBand="1" w:val="04A0"/>
      </w:tblPr>
      <w:tblGrid>
        <w:gridCol w:w="4320"/>
        <w:gridCol w:w="4320"/>
      </w:tblGrid>
      <w:tr>
        <w:tc>
          <w:tcPr>
            <w:tcW w:type="dxa" w:w="4320"/>
          </w:tcPr>
          <w:p>
            <w:pPr>
              <w:spacing w:after="40" w:before="40"/>
            </w:pPr>
            <w:r>
              <w:rPr>
                <w:b/>
              </w:rPr>
            </w:r>
            <w:r>
              <w:rPr>
                <w:b/>
              </w:rPr>
              <w:t>Data Table</w:t>
            </w:r>
          </w:p>
        </w:tc>
        <w:tc>
          <w:tcPr>
            <w:tcW w:type="dxa" w:w="4320"/>
          </w:tcPr>
          <w:p>
            <w:pPr>
              <w:spacing w:after="40" w:before="40"/>
            </w:pPr>
            <w:r>
              <w:rPr>
                <w:b/>
              </w:rPr>
            </w:r>
            <w:r>
              <w:rPr>
                <w:b/>
              </w:rPr>
              <w:t>Description</w:t>
            </w:r>
          </w:p>
        </w:tc>
      </w:tr>
      <w:tr>
        <w:tc>
          <w:tcPr>
            <w:tcW w:type="dxa" w:w="4320"/>
          </w:tcPr>
          <w:p>
            <w:pPr>
              <w:spacing w:after="40" w:before="40"/>
            </w:pPr>
            <w:r/>
            <w:r/>
            <w:r>
              <w:rPr>
                <w:rFonts w:ascii="Consolas" w:hAnsi="Consolas"/>
                <w:color w:val="404040"/>
                <w:sz w:val="18"/>
              </w:rPr>
              <w:t>dt_wildfireriskarea</w:t>
            </w:r>
            <w:r/>
          </w:p>
        </w:tc>
        <w:tc>
          <w:tcPr>
            <w:tcW w:type="dxa" w:w="4320"/>
          </w:tcPr>
          <w:p>
            <w:pPr>
              <w:spacing w:after="40" w:before="40"/>
            </w:pPr>
            <w:r/>
            <w:r>
              <w:t>Wildfire risk area boundaries (geospatial)</w:t>
            </w:r>
          </w:p>
        </w:tc>
      </w:tr>
    </w:tbl>
    <w:p/>
    <w:p>
      <w:r>
        <w:t xml:space="preserve">If the wildfire risk area data table is not loaded in the model, </w:t>
      </w:r>
      <w:r>
        <w:rPr>
          <w:rFonts w:ascii="Consolas" w:hAnsi="Consolas"/>
          <w:color w:val="404040"/>
          <w:sz w:val="18"/>
        </w:rPr>
        <w:t>fire_wind_required</w:t>
      </w:r>
      <w:r>
        <w:t xml:space="preserve"> returns false and the load case is skipped gracefully.</w:t>
      </w:r>
    </w:p>
    <w:p>
      <w:pPr>
        <w:pStyle w:val="Heading2"/>
      </w:pPr>
      <w:r>
        <w:t>Implementation</w:t>
      </w:r>
    </w:p>
    <w:p>
      <w:r>
        <w:t xml:space="preserve">- </w:t>
      </w:r>
      <w:r>
        <w:rPr>
          <w:b/>
        </w:rPr>
        <w:t>Processing type:</w:t>
      </w:r>
      <w:r>
        <w:t xml:space="preserve"> </w:t>
      </w:r>
      <w:r>
        <w:rPr>
          <w:rFonts w:ascii="Consolas" w:hAnsi="Consolas"/>
          <w:color w:val="404040"/>
          <w:sz w:val="18"/>
        </w:rPr>
        <w:t>portland_nesc~PoleLoadingFireWindProcessing</w:t>
      </w:r>
      <w:r>
        <w:t xml:space="preserve"> - </w:t>
      </w:r>
      <w:r>
        <w:rPr>
          <w:b/>
        </w:rPr>
        <w:t>Calculator type:</w:t>
      </w:r>
      <w:r>
        <w:t xml:space="preserve"> </w:t>
      </w:r>
      <w:r>
        <w:rPr>
          <w:rFonts w:ascii="Consolas" w:hAnsi="Consolas"/>
          <w:color w:val="404040"/>
          <w:sz w:val="18"/>
        </w:rPr>
        <w:t>portland_nesc~PoleLoadingFireWindCalculator</w:t>
      </w:r>
      <w:r>
        <w:t xml:space="preserve"> - </w:t>
      </w:r>
      <w:r>
        <w:rPr>
          <w:b/>
        </w:rPr>
        <w:t>Wind pressure override:</w:t>
      </w:r>
      <w:r>
        <w:t xml:space="preserve"> </w:t>
      </w:r>
      <w:r>
        <w:rPr>
          <w:rFonts w:ascii="Consolas" w:hAnsi="Consolas"/>
          <w:color w:val="404040"/>
          <w:sz w:val="18"/>
        </w:rPr>
        <w:t>make_environment(template: env, wind_pressure: fire_wind_pressure)</w:t>
      </w:r>
      <w:r>
        <w:t xml:space="preserve"> - </w:t>
      </w:r>
      <w:r>
        <w:rPr>
          <w:b/>
        </w:rPr>
        <w:t>Simulations:</w:t>
      </w:r>
      <w:r>
        <w:t xml:space="preserve"> 8 wind directions, non-network solve; only runs when </w:t>
      </w:r>
      <w:r>
        <w:rPr>
          <w:rFonts w:ascii="Consolas" w:hAnsi="Consolas"/>
          <w:color w:val="404040"/>
          <w:sz w:val="18"/>
        </w:rPr>
        <w:t>fire_wind_required</w:t>
      </w:r>
      <w:r>
        <w:t xml:space="preserve"> is true - </w:t>
      </w:r>
      <w:r>
        <w:rPr>
          <w:b/>
        </w:rPr>
        <w:t>Output:</w:t>
      </w:r>
      <w:r>
        <w:t xml:space="preserve"> Returns environment, worst_pole, worst_stay, worst_xarm; null when not applicable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