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Qualities of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Tone Quality</w:t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Intonation</w:t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Correct notes and appropriate or best fingerings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Blend/Balance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Rhythm/Precision</w:t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Articulation</w: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Technical Facility</w:t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Musicality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Interpretation/Style</w:t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Phrasing</w:t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Dynamics</w:t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Expression/Sensitivity</w:t>
      </w:r>
    </w:p>
    <w:p w:rsidR="00000000" w:rsidDel="00000000" w:rsidP="00000000" w:rsidRDefault="00000000" w:rsidRPr="00000000" w14:paraId="00000013">
      <w:pPr>
        <w:pStyle w:val="Heading1"/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Strategie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Isolate and Drill –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Avoid running through music as your main method of rehearsing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Work short phrases, or even single measures, then put into context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Slower tempo to rehearse more technical passages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Play with reduced dynamic levels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“Freeze” or stop on “off beat” or other awkward syncopated rhythm or entrance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 on </w:t>
      </w:r>
      <w:r w:rsidDel="00000000" w:rsidR="00000000" w:rsidRPr="00000000">
        <w:rPr>
          <w:rFonts w:ascii="Arial" w:cs="Arial" w:eastAsia="Arial" w:hAnsi="Arial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note, or small groupings of notes, one at a time – very tedious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Subdivide –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some students count while others play, generate from loud metronome, play all notes of duration as multiple eighth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“Bopping”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If rehearsing a section with multiple parts (i.e. trumpets) isolate one part at a time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Rehearse small “choirs” of one person from each part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 “demonstrators”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Sing your part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Count your part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Clap rhythms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Articulate your part “Da, Da, Daaaa”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Remove articulation markings (slurs or ties) then add back in.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General Statement - Dissect components of music, then add back together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Share with performer what they are listening for as they play – how does their sound fit into the sound they hear from the rest of the ensemble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Emphasize 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laying “together” or with precision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216" w:hanging="288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Make an exercise out of a passage, or rhythm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widowControl w:val="0"/>
      <w:spacing w:after="240" w:lineRule="auto"/>
      <w:jc w:val="center"/>
      <w:rPr>
        <w:rFonts w:ascii="Arial" w:cs="Arial" w:eastAsia="Arial" w:hAnsi="Arial"/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vertAlign w:val="baseline"/>
        <w:rtl w:val="0"/>
      </w:rPr>
      <w:t xml:space="preserve">Copyright </w:t>
    </w: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vertAlign w:val="baseline"/>
        <w:rtl w:val="0"/>
      </w:rPr>
      <w:t xml:space="preserve">© 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vertAlign w:val="baseline"/>
        <w:rtl w:val="0"/>
      </w:rPr>
      <w:t xml:space="preserve">20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22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vertAlign w:val="baseline"/>
        <w:rtl w:val="0"/>
      </w:rPr>
      <w:t xml:space="preserve">, John Miliauskas, All Rights Reserved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Music Rehearsal Techniques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" w:hanging="288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