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Ketterlinus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ENGL317-002</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Charney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10/2/23</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#2</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Jensen Huang</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Nathan Ketterlinus Consulting LLC</w:t>
        <w:br w:type="textWrapping"/>
        <w:t xml:space="preserve"> DATE: 10/2/23</w:t>
        <w:br w:type="textWrapping"/>
        <w:t xml:space="preserve"> SUBJECT: Financial strength analysis of Nvidia</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report aims to analyze Nvidia’s (NVDA) market position in the semiconductor industry by comparing them to two of their self-described largest competitors, Intel Corporation (INTC), and Advanced Micro Devices, Inc. (AMD) (Nvidia Corp, 2023, p. 10). Put simply, by all metrics measured, Nvidia is in a dominant position coming out of the COVID-19 pandemic, and is poised to drive Intel and AMD’s semiconductors to obsolescence if current trends continue. This analysis will look at the following information:</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Five key market metrics across NVDA, INTC, and AMD;</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NVDA’s growth in the semiconductor industry, both recently and historically;</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this information can be applied.</w:t>
      </w:r>
    </w:p>
    <w:p w:rsidR="00000000" w:rsidDel="00000000" w:rsidP="00000000" w:rsidRDefault="00000000" w:rsidRPr="00000000" w14:paraId="0000000D">
      <w:pPr>
        <w:pStyle w:val="Heading2"/>
        <w:rPr>
          <w:b w:val="1"/>
        </w:rPr>
      </w:pPr>
      <w:bookmarkStart w:colFirst="0" w:colLast="0" w:name="_n6g0vkyjfhrk" w:id="0"/>
      <w:bookmarkEnd w:id="0"/>
      <w:r w:rsidDel="00000000" w:rsidR="00000000" w:rsidRPr="00000000">
        <w:rPr>
          <w:b w:val="1"/>
          <w:rtl w:val="0"/>
        </w:rPr>
        <w:t xml:space="preserve">Five Key Market Metrics</w:t>
      </w:r>
    </w:p>
    <w:p w:rsidR="00000000" w:rsidDel="00000000" w:rsidP="00000000" w:rsidRDefault="00000000" w:rsidRPr="00000000" w14:paraId="0000000E">
      <w:pPr>
        <w:ind w:firstLine="720"/>
        <w:rPr/>
      </w:pPr>
      <w:r w:rsidDel="00000000" w:rsidR="00000000" w:rsidRPr="00000000">
        <w:rPr>
          <w:rtl w:val="0"/>
        </w:rPr>
        <w:t xml:space="preserve">Compared to AMD and Intel, Nvidia has much better financial metrics by quite a large margin. Referencing data found in table 1, they have:</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 Over six times the market cap of either competitor;</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A 50% higher quick ratio;</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A significantly higher P/E ratio than the S&amp;P Semiconductor ETF, which holds stock in all three companies and can be used as an industry benchmark;</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A return on assets (RoA) twice the industry benchmark, while both Intel and AMD are negative;</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A positive earnings per share (EPS), while, again, both Intel and AMD are negative.</w:t>
      </w:r>
    </w:p>
    <w:p w:rsidR="00000000" w:rsidDel="00000000" w:rsidP="00000000" w:rsidRDefault="00000000" w:rsidRPr="00000000" w14:paraId="00000014">
      <w:pPr>
        <w:jc w:val="center"/>
        <w:rPr/>
      </w:pPr>
      <w:r w:rsidDel="00000000" w:rsidR="00000000" w:rsidRPr="00000000">
        <w:rPr>
          <w:rtl w:val="0"/>
        </w:rPr>
        <w:t xml:space="preserve">Table 1</w:t>
      </w:r>
    </w:p>
    <w:tbl>
      <w:tblPr>
        <w:tblStyle w:val="Table1"/>
        <w:tblW w:w="9495.0" w:type="dxa"/>
        <w:jc w:val="left"/>
        <w:tblLayout w:type="fixed"/>
        <w:tblLook w:val="0600"/>
      </w:tblPr>
      <w:tblGrid>
        <w:gridCol w:w="1350"/>
        <w:gridCol w:w="1635"/>
        <w:gridCol w:w="1770"/>
        <w:gridCol w:w="1740"/>
        <w:gridCol w:w="1470"/>
        <w:gridCol w:w="1530"/>
        <w:tblGridChange w:id="0">
          <w:tblGrid>
            <w:gridCol w:w="1350"/>
            <w:gridCol w:w="1635"/>
            <w:gridCol w:w="1770"/>
            <w:gridCol w:w="1740"/>
            <w:gridCol w:w="1470"/>
            <w:gridCol w:w="1530"/>
          </w:tblGrid>
        </w:tblGridChange>
      </w:tblGrid>
      <w:tr>
        <w:trPr>
          <w:cantSplit w:val="0"/>
          <w:trHeight w:val="106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80.0" w:type="dxa"/>
              <w:left w:w="80.0" w:type="dxa"/>
              <w:bottom w:w="80.0" w:type="dxa"/>
              <w:right w:w="80.0" w:type="dxa"/>
            </w:tcMar>
            <w:vAlign w:val="top"/>
          </w:tcPr>
          <w:p w:rsidR="00000000" w:rsidDel="00000000" w:rsidP="00000000" w:rsidRDefault="00000000" w:rsidRPr="00000000" w14:paraId="00000015">
            <w:pPr>
              <w:spacing w:line="240" w:lineRule="auto"/>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efefef" w:val="clear"/>
            <w:tcMar>
              <w:top w:w="80.0" w:type="dxa"/>
              <w:left w:w="80.0" w:type="dxa"/>
              <w:bottom w:w="80.0" w:type="dxa"/>
              <w:right w:w="80.0" w:type="dxa"/>
            </w:tcMar>
            <w:vAlign w:val="top"/>
          </w:tcPr>
          <w:p w:rsidR="00000000" w:rsidDel="00000000" w:rsidP="00000000" w:rsidRDefault="00000000" w:rsidRPr="00000000" w14:paraId="00000016">
            <w:pPr>
              <w:spacing w:line="240" w:lineRule="auto"/>
              <w:rPr>
                <w:b w:val="1"/>
              </w:rPr>
            </w:pPr>
            <w:r w:rsidDel="00000000" w:rsidR="00000000" w:rsidRPr="00000000">
              <w:rPr>
                <w:b w:val="1"/>
                <w:rtl w:val="0"/>
              </w:rPr>
              <w:t xml:space="preserve">Market Cap</w:t>
            </w:r>
          </w:p>
        </w:tc>
        <w:tc>
          <w:tcPr>
            <w:tcBorders>
              <w:top w:color="000000" w:space="0" w:sz="6" w:val="single"/>
              <w:left w:color="000000" w:space="0" w:sz="6" w:val="single"/>
              <w:bottom w:color="000000" w:space="0" w:sz="6" w:val="single"/>
              <w:right w:color="000000" w:space="0" w:sz="6" w:val="single"/>
            </w:tcBorders>
            <w:shd w:fill="efefef" w:val="clear"/>
            <w:tcMar>
              <w:top w:w="80.0" w:type="dxa"/>
              <w:left w:w="80.0" w:type="dxa"/>
              <w:bottom w:w="80.0" w:type="dxa"/>
              <w:right w:w="80.0" w:type="dxa"/>
            </w:tcMar>
            <w:vAlign w:val="top"/>
          </w:tcPr>
          <w:p w:rsidR="00000000" w:rsidDel="00000000" w:rsidP="00000000" w:rsidRDefault="00000000" w:rsidRPr="00000000" w14:paraId="00000017">
            <w:pPr>
              <w:spacing w:line="240" w:lineRule="auto"/>
              <w:rPr>
                <w:b w:val="1"/>
              </w:rPr>
            </w:pPr>
            <w:r w:rsidDel="00000000" w:rsidR="00000000" w:rsidRPr="00000000">
              <w:rPr>
                <w:b w:val="1"/>
                <w:rtl w:val="0"/>
              </w:rPr>
              <w:t xml:space="preserve">Quick Ratio</w:t>
            </w:r>
          </w:p>
          <w:p w:rsidR="00000000" w:rsidDel="00000000" w:rsidP="00000000" w:rsidRDefault="00000000" w:rsidRPr="00000000" w14:paraId="00000018">
            <w:pPr>
              <w:spacing w:line="240" w:lineRule="auto"/>
              <w:rPr>
                <w:b w:val="1"/>
              </w:rPr>
            </w:pPr>
            <w:r w:rsidDel="00000000" w:rsidR="00000000" w:rsidRPr="00000000">
              <w:rPr>
                <w:b w:val="1"/>
                <w:rtl w:val="0"/>
              </w:rPr>
              <w:t xml:space="preserve">(TTM)</w:t>
            </w:r>
          </w:p>
        </w:tc>
        <w:tc>
          <w:tcPr>
            <w:tcBorders>
              <w:top w:color="000000" w:space="0" w:sz="6" w:val="single"/>
              <w:left w:color="000000" w:space="0" w:sz="6" w:val="single"/>
              <w:bottom w:color="000000" w:space="0" w:sz="6" w:val="single"/>
              <w:right w:color="000000" w:space="0" w:sz="6" w:val="single"/>
            </w:tcBorders>
            <w:shd w:fill="efefef" w:val="clear"/>
            <w:tcMar>
              <w:top w:w="80.0" w:type="dxa"/>
              <w:left w:w="80.0" w:type="dxa"/>
              <w:bottom w:w="80.0" w:type="dxa"/>
              <w:right w:w="80.0" w:type="dxa"/>
            </w:tcMar>
            <w:vAlign w:val="top"/>
          </w:tcPr>
          <w:p w:rsidR="00000000" w:rsidDel="00000000" w:rsidP="00000000" w:rsidRDefault="00000000" w:rsidRPr="00000000" w14:paraId="00000019">
            <w:pPr>
              <w:spacing w:line="240" w:lineRule="auto"/>
              <w:rPr>
                <w:b w:val="1"/>
              </w:rPr>
            </w:pPr>
            <w:r w:rsidDel="00000000" w:rsidR="00000000" w:rsidRPr="00000000">
              <w:rPr>
                <w:b w:val="1"/>
                <w:rtl w:val="0"/>
              </w:rPr>
              <w:t xml:space="preserve">P/E Ratio</w:t>
            </w:r>
          </w:p>
        </w:tc>
        <w:tc>
          <w:tcPr>
            <w:tcBorders>
              <w:top w:color="000000" w:space="0" w:sz="6" w:val="single"/>
              <w:left w:color="000000" w:space="0" w:sz="6" w:val="single"/>
              <w:bottom w:color="000000" w:space="0" w:sz="6" w:val="single"/>
              <w:right w:color="000000" w:space="0" w:sz="6" w:val="single"/>
            </w:tcBorders>
            <w:shd w:fill="efefef" w:val="clear"/>
            <w:tcMar>
              <w:top w:w="80.0" w:type="dxa"/>
              <w:left w:w="80.0" w:type="dxa"/>
              <w:bottom w:w="80.0" w:type="dxa"/>
              <w:right w:w="80.0" w:type="dxa"/>
            </w:tcMar>
            <w:vAlign w:val="top"/>
          </w:tcPr>
          <w:p w:rsidR="00000000" w:rsidDel="00000000" w:rsidP="00000000" w:rsidRDefault="00000000" w:rsidRPr="00000000" w14:paraId="0000001A">
            <w:pPr>
              <w:spacing w:line="240" w:lineRule="auto"/>
              <w:rPr>
                <w:b w:val="1"/>
              </w:rPr>
            </w:pPr>
            <w:r w:rsidDel="00000000" w:rsidR="00000000" w:rsidRPr="00000000">
              <w:rPr>
                <w:b w:val="1"/>
                <w:rtl w:val="0"/>
              </w:rPr>
              <w:t xml:space="preserve">Return on Assets</w:t>
            </w:r>
          </w:p>
          <w:p w:rsidR="00000000" w:rsidDel="00000000" w:rsidP="00000000" w:rsidRDefault="00000000" w:rsidRPr="00000000" w14:paraId="0000001B">
            <w:pPr>
              <w:spacing w:line="240" w:lineRule="auto"/>
              <w:rPr>
                <w:b w:val="1"/>
              </w:rPr>
            </w:pPr>
            <w:r w:rsidDel="00000000" w:rsidR="00000000" w:rsidRPr="00000000">
              <w:rPr>
                <w:b w:val="1"/>
                <w:rtl w:val="0"/>
              </w:rPr>
              <w:t xml:space="preserve">(TTM)</w:t>
            </w:r>
          </w:p>
        </w:tc>
        <w:tc>
          <w:tcPr>
            <w:tcBorders>
              <w:top w:color="000000" w:space="0" w:sz="6" w:val="single"/>
              <w:left w:color="000000" w:space="0" w:sz="6" w:val="single"/>
              <w:bottom w:color="000000" w:space="0" w:sz="6" w:val="single"/>
              <w:right w:color="000000" w:space="0" w:sz="6" w:val="single"/>
            </w:tcBorders>
            <w:shd w:fill="efefef" w:val="clear"/>
            <w:tcMar>
              <w:top w:w="80.0" w:type="dxa"/>
              <w:left w:w="80.0" w:type="dxa"/>
              <w:bottom w:w="80.0" w:type="dxa"/>
              <w:right w:w="80.0" w:type="dxa"/>
            </w:tcMar>
            <w:vAlign w:val="top"/>
          </w:tcPr>
          <w:p w:rsidR="00000000" w:rsidDel="00000000" w:rsidP="00000000" w:rsidRDefault="00000000" w:rsidRPr="00000000" w14:paraId="0000001C">
            <w:pPr>
              <w:spacing w:line="240" w:lineRule="auto"/>
              <w:rPr>
                <w:b w:val="1"/>
              </w:rPr>
            </w:pPr>
            <w:r w:rsidDel="00000000" w:rsidR="00000000" w:rsidRPr="00000000">
              <w:rPr>
                <w:b w:val="1"/>
                <w:rtl w:val="0"/>
              </w:rPr>
              <w:t xml:space="preserve">Earnings per Share</w:t>
            </w:r>
          </w:p>
        </w:tc>
      </w:tr>
      <w:tr>
        <w:trPr>
          <w:cantSplit w:val="0"/>
          <w:trHeight w:val="720"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80.0" w:type="dxa"/>
              <w:left w:w="80.0" w:type="dxa"/>
              <w:bottom w:w="80.0" w:type="dxa"/>
              <w:right w:w="80.0" w:type="dxa"/>
            </w:tcMar>
            <w:vAlign w:val="top"/>
          </w:tcPr>
          <w:p w:rsidR="00000000" w:rsidDel="00000000" w:rsidP="00000000" w:rsidRDefault="00000000" w:rsidRPr="00000000" w14:paraId="0000001D">
            <w:pPr>
              <w:spacing w:line="240" w:lineRule="auto"/>
              <w:rPr>
                <w:b w:val="1"/>
              </w:rPr>
            </w:pPr>
            <w:r w:rsidDel="00000000" w:rsidR="00000000" w:rsidRPr="00000000">
              <w:rPr>
                <w:b w:val="1"/>
                <w:rtl w:val="0"/>
              </w:rPr>
              <w:t xml:space="preserve">Industry Benchmark</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N/A</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1F">
            <w:pPr>
              <w:spacing w:line="240" w:lineRule="auto"/>
              <w:rPr/>
            </w:pPr>
            <w:r w:rsidDel="00000000" w:rsidR="00000000" w:rsidRPr="00000000">
              <w:rPr>
                <w:rtl w:val="0"/>
              </w:rPr>
              <w:t xml:space="preserve">0.88</w:t>
            </w:r>
          </w:p>
          <w:p w:rsidR="00000000" w:rsidDel="00000000" w:rsidP="00000000" w:rsidRDefault="00000000" w:rsidRPr="00000000" w14:paraId="00000020">
            <w:pPr>
              <w:spacing w:line="240" w:lineRule="auto"/>
              <w:rPr>
                <w:sz w:val="20"/>
                <w:szCs w:val="20"/>
              </w:rPr>
            </w:pPr>
            <w:r w:rsidDel="00000000" w:rsidR="00000000" w:rsidRPr="00000000">
              <w:rPr>
                <w:sz w:val="20"/>
                <w:szCs w:val="20"/>
                <w:rtl w:val="0"/>
              </w:rPr>
              <w:t xml:space="preserve">(csimarket, 2023)</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21">
            <w:pPr>
              <w:spacing w:line="240" w:lineRule="auto"/>
              <w:rPr/>
            </w:pPr>
            <w:r w:rsidDel="00000000" w:rsidR="00000000" w:rsidRPr="00000000">
              <w:rPr>
                <w:rtl w:val="0"/>
              </w:rPr>
              <w:t xml:space="preserve">23.00</w:t>
            </w:r>
          </w:p>
          <w:p w:rsidR="00000000" w:rsidDel="00000000" w:rsidP="00000000" w:rsidRDefault="00000000" w:rsidRPr="00000000" w14:paraId="00000022">
            <w:pPr>
              <w:spacing w:line="240" w:lineRule="auto"/>
              <w:rPr/>
            </w:pPr>
            <w:r w:rsidDel="00000000" w:rsidR="00000000" w:rsidRPr="00000000">
              <w:rPr>
                <w:rtl w:val="0"/>
              </w:rPr>
              <w:t xml:space="preserve">(XSD ETF)</w:t>
            </w:r>
          </w:p>
          <w:p w:rsidR="00000000" w:rsidDel="00000000" w:rsidP="00000000" w:rsidRDefault="00000000" w:rsidRPr="00000000" w14:paraId="00000023">
            <w:pPr>
              <w:spacing w:line="240" w:lineRule="auto"/>
              <w:rPr>
                <w:sz w:val="20"/>
                <w:szCs w:val="20"/>
              </w:rPr>
            </w:pPr>
            <w:r w:rsidDel="00000000" w:rsidR="00000000" w:rsidRPr="00000000">
              <w:rPr>
                <w:sz w:val="20"/>
                <w:szCs w:val="20"/>
                <w:rtl w:val="0"/>
              </w:rPr>
              <w:t xml:space="preserve">(Yahoo!, 2023d)</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7.56% </w:t>
            </w:r>
          </w:p>
          <w:p w:rsidR="00000000" w:rsidDel="00000000" w:rsidP="00000000" w:rsidRDefault="00000000" w:rsidRPr="00000000" w14:paraId="00000025">
            <w:pPr>
              <w:spacing w:line="240" w:lineRule="auto"/>
              <w:rPr/>
            </w:pPr>
            <w:r w:rsidDel="00000000" w:rsidR="00000000" w:rsidRPr="00000000">
              <w:rPr>
                <w:rtl w:val="0"/>
              </w:rPr>
              <w:t xml:space="preserve">(XSD ETF) </w:t>
            </w:r>
            <w:r w:rsidDel="00000000" w:rsidR="00000000" w:rsidRPr="00000000">
              <w:rPr>
                <w:sz w:val="20"/>
                <w:szCs w:val="20"/>
                <w:rtl w:val="0"/>
              </w:rPr>
              <w:t xml:space="preserve">(Yahoo!, 2023d)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N/A</w:t>
            </w:r>
          </w:p>
        </w:tc>
      </w:tr>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80.0" w:type="dxa"/>
              <w:left w:w="80.0" w:type="dxa"/>
              <w:bottom w:w="80.0" w:type="dxa"/>
              <w:right w:w="80.0" w:type="dxa"/>
            </w:tcMar>
            <w:vAlign w:val="top"/>
          </w:tcPr>
          <w:p w:rsidR="00000000" w:rsidDel="00000000" w:rsidP="00000000" w:rsidRDefault="00000000" w:rsidRPr="00000000" w14:paraId="00000027">
            <w:pPr>
              <w:spacing w:line="240" w:lineRule="auto"/>
              <w:rPr>
                <w:b w:val="1"/>
              </w:rPr>
            </w:pPr>
            <w:r w:rsidDel="00000000" w:rsidR="00000000" w:rsidRPr="00000000">
              <w:rPr>
                <w:b w:val="1"/>
                <w:rtl w:val="0"/>
              </w:rPr>
              <w:t xml:space="preserve">Nvidia</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$1.064 T</w:t>
            </w:r>
          </w:p>
          <w:p w:rsidR="00000000" w:rsidDel="00000000" w:rsidP="00000000" w:rsidRDefault="00000000" w:rsidRPr="00000000" w14:paraId="00000029">
            <w:pPr>
              <w:spacing w:line="240" w:lineRule="auto"/>
              <w:rPr>
                <w:sz w:val="20"/>
                <w:szCs w:val="20"/>
              </w:rPr>
            </w:pPr>
            <w:r w:rsidDel="00000000" w:rsidR="00000000" w:rsidRPr="00000000">
              <w:rPr>
                <w:sz w:val="20"/>
                <w:szCs w:val="20"/>
                <w:rtl w:val="0"/>
              </w:rPr>
              <w:t xml:space="preserve">(Yahoo!, 2023c)</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2.37</w:t>
            </w:r>
          </w:p>
          <w:p w:rsidR="00000000" w:rsidDel="00000000" w:rsidP="00000000" w:rsidRDefault="00000000" w:rsidRPr="00000000" w14:paraId="0000002B">
            <w:pPr>
              <w:spacing w:line="240" w:lineRule="auto"/>
              <w:rPr>
                <w:sz w:val="18"/>
                <w:szCs w:val="18"/>
              </w:rPr>
            </w:pPr>
            <w:r w:rsidDel="00000000" w:rsidR="00000000" w:rsidRPr="00000000">
              <w:rPr>
                <w:sz w:val="18"/>
                <w:szCs w:val="18"/>
                <w:rtl w:val="0"/>
              </w:rPr>
              <w:t xml:space="preserve">(Macrotrends, 2023f)</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109.87</w:t>
            </w:r>
          </w:p>
          <w:p w:rsidR="00000000" w:rsidDel="00000000" w:rsidP="00000000" w:rsidRDefault="00000000" w:rsidRPr="00000000" w14:paraId="0000002D">
            <w:pPr>
              <w:spacing w:line="240" w:lineRule="auto"/>
              <w:rPr>
                <w:sz w:val="18"/>
                <w:szCs w:val="18"/>
              </w:rPr>
            </w:pPr>
            <w:r w:rsidDel="00000000" w:rsidR="00000000" w:rsidRPr="00000000">
              <w:rPr>
                <w:sz w:val="18"/>
                <w:szCs w:val="18"/>
                <w:rtl w:val="0"/>
              </w:rPr>
              <w:t xml:space="preserve">(Macrotrends, 2023e)</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2E">
            <w:pPr>
              <w:spacing w:line="240" w:lineRule="auto"/>
              <w:rPr/>
            </w:pPr>
            <w:r w:rsidDel="00000000" w:rsidR="00000000" w:rsidRPr="00000000">
              <w:rPr>
                <w:rtl w:val="0"/>
              </w:rPr>
              <w:t xml:space="preserve">14.51%</w:t>
            </w:r>
          </w:p>
          <w:p w:rsidR="00000000" w:rsidDel="00000000" w:rsidP="00000000" w:rsidRDefault="00000000" w:rsidRPr="00000000" w14:paraId="0000002F">
            <w:pPr>
              <w:spacing w:line="240" w:lineRule="auto"/>
              <w:rPr/>
            </w:pPr>
            <w:r w:rsidDel="00000000" w:rsidR="00000000" w:rsidRPr="00000000">
              <w:rPr>
                <w:sz w:val="20"/>
                <w:szCs w:val="20"/>
                <w:rtl w:val="0"/>
              </w:rPr>
              <w:t xml:space="preserve">(Yahoo!, 2023c)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30">
            <w:pPr>
              <w:spacing w:line="240" w:lineRule="auto"/>
              <w:rPr/>
            </w:pPr>
            <w:r w:rsidDel="00000000" w:rsidR="00000000" w:rsidRPr="00000000">
              <w:rPr>
                <w:rtl w:val="0"/>
              </w:rPr>
              <w:t xml:space="preserve">4.14</w:t>
            </w:r>
          </w:p>
          <w:p w:rsidR="00000000" w:rsidDel="00000000" w:rsidP="00000000" w:rsidRDefault="00000000" w:rsidRPr="00000000" w14:paraId="00000031">
            <w:pPr>
              <w:spacing w:line="240" w:lineRule="auto"/>
              <w:rPr/>
            </w:pPr>
            <w:r w:rsidDel="00000000" w:rsidR="00000000" w:rsidRPr="00000000">
              <w:rPr>
                <w:sz w:val="20"/>
                <w:szCs w:val="20"/>
                <w:rtl w:val="0"/>
              </w:rPr>
              <w:t xml:space="preserve">(Yahoo!, 2023c)</w:t>
            </w:r>
            <w:r w:rsidDel="00000000" w:rsidR="00000000" w:rsidRPr="00000000">
              <w:rPr>
                <w:rtl w:val="0"/>
              </w:rPr>
            </w:r>
          </w:p>
        </w:tc>
      </w:tr>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80.0" w:type="dxa"/>
              <w:left w:w="80.0" w:type="dxa"/>
              <w:bottom w:w="80.0" w:type="dxa"/>
              <w:right w:w="80.0" w:type="dxa"/>
            </w:tcMar>
            <w:vAlign w:val="top"/>
          </w:tcPr>
          <w:p w:rsidR="00000000" w:rsidDel="00000000" w:rsidP="00000000" w:rsidRDefault="00000000" w:rsidRPr="00000000" w14:paraId="00000032">
            <w:pPr>
              <w:spacing w:line="240" w:lineRule="auto"/>
              <w:rPr>
                <w:b w:val="1"/>
              </w:rPr>
            </w:pPr>
            <w:r w:rsidDel="00000000" w:rsidR="00000000" w:rsidRPr="00000000">
              <w:rPr>
                <w:b w:val="1"/>
                <w:rtl w:val="0"/>
              </w:rPr>
              <w:t xml:space="preserve">Intel</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33">
            <w:pPr>
              <w:spacing w:line="240" w:lineRule="auto"/>
              <w:rPr/>
            </w:pPr>
            <w:r w:rsidDel="00000000" w:rsidR="00000000" w:rsidRPr="00000000">
              <w:rPr>
                <w:rtl w:val="0"/>
              </w:rPr>
              <w:t xml:space="preserve">$147.334 B</w:t>
            </w:r>
          </w:p>
          <w:p w:rsidR="00000000" w:rsidDel="00000000" w:rsidP="00000000" w:rsidRDefault="00000000" w:rsidRPr="00000000" w14:paraId="00000034">
            <w:pPr>
              <w:spacing w:line="240" w:lineRule="auto"/>
              <w:rPr>
                <w:sz w:val="20"/>
                <w:szCs w:val="20"/>
              </w:rPr>
            </w:pPr>
            <w:r w:rsidDel="00000000" w:rsidR="00000000" w:rsidRPr="00000000">
              <w:rPr>
                <w:sz w:val="20"/>
                <w:szCs w:val="20"/>
                <w:rtl w:val="0"/>
              </w:rPr>
              <w:t xml:space="preserve">(Yahoo!, 2023b)</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35">
            <w:pPr>
              <w:spacing w:line="240" w:lineRule="auto"/>
              <w:rPr/>
            </w:pPr>
            <w:r w:rsidDel="00000000" w:rsidR="00000000" w:rsidRPr="00000000">
              <w:rPr>
                <w:rtl w:val="0"/>
              </w:rPr>
              <w:t xml:space="preserve">1.15 </w:t>
            </w:r>
          </w:p>
          <w:p w:rsidR="00000000" w:rsidDel="00000000" w:rsidP="00000000" w:rsidRDefault="00000000" w:rsidRPr="00000000" w14:paraId="00000036">
            <w:pPr>
              <w:spacing w:line="240" w:lineRule="auto"/>
              <w:rPr>
                <w:sz w:val="18"/>
                <w:szCs w:val="18"/>
              </w:rPr>
            </w:pPr>
            <w:r w:rsidDel="00000000" w:rsidR="00000000" w:rsidRPr="00000000">
              <w:rPr>
                <w:sz w:val="18"/>
                <w:szCs w:val="18"/>
                <w:rtl w:val="0"/>
              </w:rPr>
              <w:t xml:space="preserve">(Macrotrends, 2023d)</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37">
            <w:pPr>
              <w:spacing w:line="240" w:lineRule="auto"/>
              <w:rPr/>
            </w:pPr>
            <w:r w:rsidDel="00000000" w:rsidR="00000000" w:rsidRPr="00000000">
              <w:rPr>
                <w:rtl w:val="0"/>
              </w:rPr>
              <w:t xml:space="preserve">90.37</w:t>
            </w:r>
          </w:p>
          <w:p w:rsidR="00000000" w:rsidDel="00000000" w:rsidP="00000000" w:rsidRDefault="00000000" w:rsidRPr="00000000" w14:paraId="00000038">
            <w:pPr>
              <w:spacing w:line="240" w:lineRule="auto"/>
              <w:rPr>
                <w:sz w:val="18"/>
                <w:szCs w:val="18"/>
              </w:rPr>
            </w:pPr>
            <w:r w:rsidDel="00000000" w:rsidR="00000000" w:rsidRPr="00000000">
              <w:rPr>
                <w:sz w:val="18"/>
                <w:szCs w:val="18"/>
                <w:rtl w:val="0"/>
              </w:rPr>
              <w:t xml:space="preserve">(Macrotrends, 2023c)</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39">
            <w:pPr>
              <w:spacing w:line="240" w:lineRule="auto"/>
              <w:rPr/>
            </w:pPr>
            <w:r w:rsidDel="00000000" w:rsidR="00000000" w:rsidRPr="00000000">
              <w:rPr>
                <w:rtl w:val="0"/>
              </w:rPr>
              <w:t xml:space="preserve">-0.84% </w:t>
            </w:r>
            <w:r w:rsidDel="00000000" w:rsidR="00000000" w:rsidRPr="00000000">
              <w:rPr>
                <w:sz w:val="20"/>
                <w:szCs w:val="20"/>
                <w:rtl w:val="0"/>
              </w:rPr>
              <w:t xml:space="preserve">(Yahoo!, 2023b)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3A">
            <w:pPr>
              <w:spacing w:line="240" w:lineRule="auto"/>
              <w:rPr/>
            </w:pPr>
            <w:r w:rsidDel="00000000" w:rsidR="00000000" w:rsidRPr="00000000">
              <w:rPr>
                <w:rtl w:val="0"/>
              </w:rPr>
              <w:t xml:space="preserve">-0.23</w:t>
            </w:r>
          </w:p>
          <w:p w:rsidR="00000000" w:rsidDel="00000000" w:rsidP="00000000" w:rsidRDefault="00000000" w:rsidRPr="00000000" w14:paraId="0000003B">
            <w:pPr>
              <w:spacing w:line="240" w:lineRule="auto"/>
              <w:rPr/>
            </w:pPr>
            <w:r w:rsidDel="00000000" w:rsidR="00000000" w:rsidRPr="00000000">
              <w:rPr>
                <w:sz w:val="20"/>
                <w:szCs w:val="20"/>
                <w:rtl w:val="0"/>
              </w:rPr>
              <w:t xml:space="preserve">(Yahoo!, 2023b)</w:t>
            </w:r>
            <w:r w:rsidDel="00000000" w:rsidR="00000000" w:rsidRPr="00000000">
              <w:rPr>
                <w:rtl w:val="0"/>
              </w:rPr>
            </w:r>
          </w:p>
        </w:tc>
      </w:tr>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80.0" w:type="dxa"/>
              <w:left w:w="80.0" w:type="dxa"/>
              <w:bottom w:w="80.0" w:type="dxa"/>
              <w:right w:w="80.0" w:type="dxa"/>
            </w:tcMar>
            <w:vAlign w:val="top"/>
          </w:tcPr>
          <w:p w:rsidR="00000000" w:rsidDel="00000000" w:rsidP="00000000" w:rsidRDefault="00000000" w:rsidRPr="00000000" w14:paraId="0000003C">
            <w:pPr>
              <w:spacing w:line="240" w:lineRule="auto"/>
              <w:rPr>
                <w:b w:val="1"/>
              </w:rPr>
            </w:pPr>
            <w:r w:rsidDel="00000000" w:rsidR="00000000" w:rsidRPr="00000000">
              <w:rPr>
                <w:b w:val="1"/>
                <w:rtl w:val="0"/>
              </w:rPr>
              <w:t xml:space="preserve">AMD</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3D">
            <w:pPr>
              <w:spacing w:line="240" w:lineRule="auto"/>
              <w:rPr/>
            </w:pPr>
            <w:r w:rsidDel="00000000" w:rsidR="00000000" w:rsidRPr="00000000">
              <w:rPr>
                <w:rtl w:val="0"/>
              </w:rPr>
              <w:t xml:space="preserve">$166.026 B</w:t>
            </w:r>
          </w:p>
          <w:p w:rsidR="00000000" w:rsidDel="00000000" w:rsidP="00000000" w:rsidRDefault="00000000" w:rsidRPr="00000000" w14:paraId="0000003E">
            <w:pPr>
              <w:spacing w:line="240" w:lineRule="auto"/>
              <w:rPr>
                <w:sz w:val="20"/>
                <w:szCs w:val="20"/>
              </w:rPr>
            </w:pPr>
            <w:r w:rsidDel="00000000" w:rsidR="00000000" w:rsidRPr="00000000">
              <w:rPr>
                <w:sz w:val="20"/>
                <w:szCs w:val="20"/>
                <w:rtl w:val="0"/>
              </w:rPr>
              <w:t xml:space="preserve">(Yahoo!, 2023a)</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3F">
            <w:pPr>
              <w:spacing w:line="240" w:lineRule="auto"/>
              <w:rPr/>
            </w:pPr>
            <w:r w:rsidDel="00000000" w:rsidR="00000000" w:rsidRPr="00000000">
              <w:rPr>
                <w:rtl w:val="0"/>
              </w:rPr>
              <w:t xml:space="preserve">1.58 </w:t>
            </w:r>
          </w:p>
          <w:p w:rsidR="00000000" w:rsidDel="00000000" w:rsidP="00000000" w:rsidRDefault="00000000" w:rsidRPr="00000000" w14:paraId="00000040">
            <w:pPr>
              <w:spacing w:line="240" w:lineRule="auto"/>
              <w:rPr>
                <w:sz w:val="18"/>
                <w:szCs w:val="18"/>
              </w:rPr>
            </w:pPr>
            <w:r w:rsidDel="00000000" w:rsidR="00000000" w:rsidRPr="00000000">
              <w:rPr>
                <w:sz w:val="18"/>
                <w:szCs w:val="18"/>
                <w:rtl w:val="0"/>
              </w:rPr>
              <w:t xml:space="preserve">(Macrotrends, 2023b)</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41">
            <w:pPr>
              <w:spacing w:line="240" w:lineRule="auto"/>
              <w:rPr>
                <w:sz w:val="18"/>
                <w:szCs w:val="18"/>
              </w:rPr>
            </w:pPr>
            <w:r w:rsidDel="00000000" w:rsidR="00000000" w:rsidRPr="00000000">
              <w:rPr>
                <w:rtl w:val="0"/>
              </w:rPr>
              <w:t xml:space="preserve">55.14 </w:t>
            </w:r>
            <w:r w:rsidDel="00000000" w:rsidR="00000000" w:rsidRPr="00000000">
              <w:rPr>
                <w:sz w:val="18"/>
                <w:szCs w:val="18"/>
                <w:rtl w:val="0"/>
              </w:rPr>
              <w:t xml:space="preserve">(Macrotrends, 2023a)</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42">
            <w:pPr>
              <w:spacing w:line="240" w:lineRule="auto"/>
              <w:rPr/>
            </w:pPr>
            <w:r w:rsidDel="00000000" w:rsidR="00000000" w:rsidRPr="00000000">
              <w:rPr>
                <w:rtl w:val="0"/>
              </w:rPr>
              <w:t xml:space="preserve">-0.35% </w:t>
            </w:r>
            <w:r w:rsidDel="00000000" w:rsidR="00000000" w:rsidRPr="00000000">
              <w:rPr>
                <w:sz w:val="20"/>
                <w:szCs w:val="20"/>
                <w:rtl w:val="0"/>
              </w:rPr>
              <w:t xml:space="preserve">(Yahoo!, 2023a)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43">
            <w:pPr>
              <w:spacing w:line="240" w:lineRule="auto"/>
              <w:rPr/>
            </w:pPr>
            <w:r w:rsidDel="00000000" w:rsidR="00000000" w:rsidRPr="00000000">
              <w:rPr>
                <w:rtl w:val="0"/>
              </w:rPr>
              <w:t xml:space="preserve">-0.04</w:t>
            </w:r>
          </w:p>
          <w:p w:rsidR="00000000" w:rsidDel="00000000" w:rsidP="00000000" w:rsidRDefault="00000000" w:rsidRPr="00000000" w14:paraId="00000044">
            <w:pPr>
              <w:spacing w:line="240" w:lineRule="auto"/>
              <w:rPr/>
            </w:pPr>
            <w:r w:rsidDel="00000000" w:rsidR="00000000" w:rsidRPr="00000000">
              <w:rPr>
                <w:sz w:val="20"/>
                <w:szCs w:val="20"/>
                <w:rtl w:val="0"/>
              </w:rPr>
              <w:t xml:space="preserve">(Yahoo!, 2023a)</w:t>
            </w:r>
            <w:r w:rsidDel="00000000" w:rsidR="00000000" w:rsidRPr="00000000">
              <w:rPr>
                <w:rtl w:val="0"/>
              </w:rPr>
            </w:r>
          </w:p>
        </w:tc>
      </w:tr>
    </w:tbl>
    <w:p w:rsidR="00000000" w:rsidDel="00000000" w:rsidP="00000000" w:rsidRDefault="00000000" w:rsidRPr="00000000" w14:paraId="00000045">
      <w:pPr>
        <w:spacing w:line="240" w:lineRule="auto"/>
        <w:jc w:val="center"/>
        <w:rPr/>
      </w:pPr>
      <w:r w:rsidDel="00000000" w:rsidR="00000000" w:rsidRPr="00000000">
        <w:rPr>
          <w:rtl w:val="0"/>
        </w:rPr>
        <w:t xml:space="preserve"> Comparison between Nvidia, Intel, AMD, and industry benchmarks across their Market Cap, Quick Ratio, P/E Ratio, RoA, and EPS, current as of Q3 2023 (various sources).</w:t>
      </w:r>
    </w:p>
    <w:p w:rsidR="00000000" w:rsidDel="00000000" w:rsidP="00000000" w:rsidRDefault="00000000" w:rsidRPr="00000000" w14:paraId="00000046">
      <w:pPr>
        <w:spacing w:line="240" w:lineRule="auto"/>
        <w:jc w:val="center"/>
        <w:rPr/>
      </w:pPr>
      <w:r w:rsidDel="00000000" w:rsidR="00000000" w:rsidRPr="00000000">
        <w:rPr>
          <w:rtl w:val="0"/>
        </w:rPr>
      </w:r>
    </w:p>
    <w:p w:rsidR="00000000" w:rsidDel="00000000" w:rsidP="00000000" w:rsidRDefault="00000000" w:rsidRPr="00000000" w14:paraId="00000047">
      <w:pPr>
        <w:ind w:firstLine="720"/>
        <w:jc w:val="left"/>
        <w:rPr/>
      </w:pPr>
      <w:r w:rsidDel="00000000" w:rsidR="00000000" w:rsidRPr="00000000">
        <w:rPr>
          <w:rtl w:val="0"/>
        </w:rPr>
        <w:t xml:space="preserve">These metrics show Nvidia’s financial strength in a few key ways. The large market cap, combined with a high quick ratio, means that while Nvidia is one of the largest companies in their market, they simultaneously have the stability to stay afloat, even through unfavorable conditions. In addition, the high P/E ratio, RoA, and EPS highlights Nvidia’s profitability, which is an important factor in keeping and attracting new investors. </w:t>
      </w:r>
    </w:p>
    <w:p w:rsidR="00000000" w:rsidDel="00000000" w:rsidP="00000000" w:rsidRDefault="00000000" w:rsidRPr="00000000" w14:paraId="00000048">
      <w:pPr>
        <w:pStyle w:val="Heading2"/>
        <w:rPr>
          <w:b w:val="1"/>
        </w:rPr>
      </w:pPr>
      <w:bookmarkStart w:colFirst="0" w:colLast="0" w:name="_5ra97bawcn1j" w:id="1"/>
      <w:bookmarkEnd w:id="1"/>
      <w:r w:rsidDel="00000000" w:rsidR="00000000" w:rsidRPr="00000000">
        <w:rPr>
          <w:b w:val="1"/>
          <w:rtl w:val="0"/>
        </w:rPr>
        <w:t xml:space="preserve">Recent and Historic Growth</w:t>
      </w:r>
    </w:p>
    <w:p w:rsidR="00000000" w:rsidDel="00000000" w:rsidP="00000000" w:rsidRDefault="00000000" w:rsidRPr="00000000" w14:paraId="00000049">
      <w:pPr>
        <w:ind w:firstLine="720"/>
        <w:rPr/>
      </w:pPr>
      <w:r w:rsidDel="00000000" w:rsidR="00000000" w:rsidRPr="00000000">
        <w:rPr>
          <w:rtl w:val="0"/>
        </w:rPr>
        <w:t xml:space="preserve">Nvidia has experienced astronomical growth over the last 3 years. This is in contrast to slow, steady growth since the company went public in January 1999. This is largely due to proper handling of supply chain issues both during and after the pandemic, as well as effective branding towards crypto miners and gamers, two of the most lucrative target audiences for graphics cards. This explosive growth is captured in image 1, which highlights Nvidia’s stock price growth since it went public, as compared to both AMD and INTC. Similarly, image 2 compares NVDA to the S&amp;P 500 over the last year, where NVDA has significantly outperformed expectations.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drawing>
          <wp:inline distB="114300" distT="114300" distL="114300" distR="114300">
            <wp:extent cx="5943600" cy="34290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240" w:lineRule="auto"/>
        <w:jc w:val="center"/>
        <w:rPr/>
      </w:pPr>
      <w:r w:rsidDel="00000000" w:rsidR="00000000" w:rsidRPr="00000000">
        <w:rPr>
          <w:rtl w:val="0"/>
        </w:rPr>
        <w:t xml:space="preserve">Image 1: comparison between Nvidia Corporation (NVDA, light blue), Advanced Micro Devices, Inc. (AMD, Pink), Intel Corporation (INTC, green), and S&amp;P 500 (GSPC, orange), since 1/22/99, scaled by percentage (Yahoo, 2023a).</w:t>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drawing>
          <wp:inline distB="114300" distT="114300" distL="114300" distR="114300">
            <wp:extent cx="5943600" cy="3467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240" w:lineRule="auto"/>
        <w:jc w:val="center"/>
        <w:rPr/>
      </w:pPr>
      <w:r w:rsidDel="00000000" w:rsidR="00000000" w:rsidRPr="00000000">
        <w:rPr>
          <w:rtl w:val="0"/>
        </w:rPr>
        <w:t xml:space="preserve">Image 2: comparison between Nvidia Corporation (NVDA, light blue) and S&amp;P 500 (GSPC, orange), from 9/21/22 to 9/21/23, scaled by percentage (Yahoo, 2023c). </w:t>
      </w:r>
    </w:p>
    <w:p w:rsidR="00000000" w:rsidDel="00000000" w:rsidP="00000000" w:rsidRDefault="00000000" w:rsidRPr="00000000" w14:paraId="00000050">
      <w:pPr>
        <w:pStyle w:val="Heading2"/>
        <w:rPr>
          <w:b w:val="1"/>
        </w:rPr>
      </w:pPr>
      <w:bookmarkStart w:colFirst="0" w:colLast="0" w:name="_82vd4c1mrjzw" w:id="2"/>
      <w:bookmarkEnd w:id="2"/>
      <w:r w:rsidDel="00000000" w:rsidR="00000000" w:rsidRPr="00000000">
        <w:rPr>
          <w:b w:val="1"/>
          <w:rtl w:val="0"/>
        </w:rPr>
        <w:t xml:space="preserve">Applications of Data</w:t>
      </w:r>
    </w:p>
    <w:p w:rsidR="00000000" w:rsidDel="00000000" w:rsidP="00000000" w:rsidRDefault="00000000" w:rsidRPr="00000000" w14:paraId="00000051">
      <w:pPr>
        <w:ind w:firstLine="720"/>
        <w:rPr/>
      </w:pPr>
      <w:r w:rsidDel="00000000" w:rsidR="00000000" w:rsidRPr="00000000">
        <w:rPr>
          <w:rtl w:val="0"/>
        </w:rPr>
        <w:t xml:space="preserve">In short, not much needs to change for Nvidia to continue to be successful. They are the strongest competitor in the semiconductor industry by far. While AMD and Intel’s semiconductor segments are standing on shaky ground, Nvidia continues to take more and more market share, as highlighted in table 3. As long as Nvidia continues to effectively market products, create competitive graphics cards, and manage their supply chain (which they have proven they can do), there should be nothing stopping them from continued growth into the future.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left="720" w:firstLine="720"/>
        <w:rPr/>
      </w:pPr>
      <w:r w:rsidDel="00000000" w:rsidR="00000000" w:rsidRPr="00000000">
        <w:rPr/>
        <w:drawing>
          <wp:inline distB="114300" distT="114300" distL="114300" distR="114300">
            <wp:extent cx="4229100" cy="4775200"/>
            <wp:effectExtent b="9525" l="9525" r="9525" t="9525"/>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29100" cy="4775200"/>
                    </a:xfrm>
                    <a:prstGeom prst="rect"/>
                    <a:ln w="9525">
                      <a:solidFill>
                        <a:srgbClr val="918F8E"/>
                      </a:solidFill>
                      <a:prstDash val="dash"/>
                    </a:ln>
                  </pic:spPr>
                </pic:pic>
              </a:graphicData>
            </a:graphic>
          </wp:inline>
        </w:drawing>
      </w: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t xml:space="preserve">Image 3: market share between AMD, Intel, and Nvidia across the Add-in Board market (Dow, 2023).</w:t>
      </w:r>
    </w:p>
    <w:p w:rsidR="00000000" w:rsidDel="00000000" w:rsidP="00000000" w:rsidRDefault="00000000" w:rsidRPr="00000000" w14:paraId="00000055">
      <w:pPr>
        <w:pStyle w:val="Heading2"/>
        <w:rPr>
          <w:b w:val="1"/>
        </w:rPr>
      </w:pPr>
      <w:bookmarkStart w:colFirst="0" w:colLast="0" w:name="_9jmsl9vly23t" w:id="3"/>
      <w:bookmarkEnd w:id="3"/>
      <w:r w:rsidDel="00000000" w:rsidR="00000000" w:rsidRPr="00000000">
        <w:rPr>
          <w:b w:val="1"/>
          <w:rtl w:val="0"/>
        </w:rPr>
        <w:t xml:space="preserve">To Summarize</w:t>
      </w:r>
    </w:p>
    <w:p w:rsidR="00000000" w:rsidDel="00000000" w:rsidP="00000000" w:rsidRDefault="00000000" w:rsidRPr="00000000" w14:paraId="00000056">
      <w:pPr>
        <w:ind w:firstLine="720"/>
        <w:rPr>
          <w:rFonts w:ascii="Times New Roman" w:cs="Times New Roman" w:eastAsia="Times New Roman" w:hAnsi="Times New Roman"/>
          <w:sz w:val="24"/>
          <w:szCs w:val="24"/>
        </w:rPr>
      </w:pPr>
      <w:r w:rsidDel="00000000" w:rsidR="00000000" w:rsidRPr="00000000">
        <w:rPr>
          <w:rtl w:val="0"/>
        </w:rPr>
        <w:t xml:space="preserve">Nvidia is a thriving company which dwarfs its competition. Where AMD and Intel falter in market-specific metrics, Nvidia is leaps and bounds ahead. Coming out of the pandemic, the historically slow &amp; steady company skyrocketed in value as they took over the semiconductor market. As long as they continue to do what they have been doing, they will continue to see economic growth into the future.</w:t>
      </w:r>
      <w:r w:rsidDel="00000000" w:rsidR="00000000" w:rsidRPr="00000000">
        <w:rPr>
          <w:rtl w:val="0"/>
        </w:rPr>
      </w:r>
    </w:p>
    <w:p w:rsidR="00000000" w:rsidDel="00000000" w:rsidP="00000000" w:rsidRDefault="00000000" w:rsidRPr="00000000" w14:paraId="00000057">
      <w:pPr>
        <w:spacing w:line="480" w:lineRule="auto"/>
        <w:jc w:val="center"/>
        <w:rPr>
          <w:color w:val="1155cc"/>
          <w:u w:val="single"/>
        </w:rPr>
      </w:pPr>
      <w:r w:rsidDel="00000000" w:rsidR="00000000" w:rsidRPr="00000000">
        <w:rPr>
          <w:rFonts w:ascii="Times New Roman" w:cs="Times New Roman" w:eastAsia="Times New Roman" w:hAnsi="Times New Roman"/>
          <w:sz w:val="24"/>
          <w:szCs w:val="24"/>
          <w:rtl w:val="0"/>
        </w:rPr>
        <w:t xml:space="preserve">References</w:t>
      </w:r>
      <w:r w:rsidDel="00000000" w:rsidR="00000000" w:rsidRPr="00000000">
        <w:rPr>
          <w:rtl w:val="0"/>
        </w:rPr>
      </w:r>
    </w:p>
    <w:p w:rsidR="00000000" w:rsidDel="00000000" w:rsidP="00000000" w:rsidRDefault="00000000" w:rsidRPr="00000000" w14:paraId="00000058">
      <w:pPr>
        <w:ind w:left="720" w:hanging="720"/>
        <w:rPr/>
      </w:pPr>
      <w:r w:rsidDel="00000000" w:rsidR="00000000" w:rsidRPr="00000000">
        <w:rPr>
          <w:rtl w:val="0"/>
        </w:rPr>
        <w:t xml:space="preserve">AMD PE Ratio 2010-2023: AMD. Macrotrends. (2023a). </w:t>
      </w:r>
      <w:hyperlink r:id="rId9">
        <w:r w:rsidDel="00000000" w:rsidR="00000000" w:rsidRPr="00000000">
          <w:rPr>
            <w:color w:val="1155cc"/>
            <w:u w:val="single"/>
            <w:rtl w:val="0"/>
          </w:rPr>
          <w:t xml:space="preserve">https://www.macrotrends.net/stocks/charts/AMD/amd/pe-ratio</w:t>
        </w:r>
      </w:hyperlink>
      <w:r w:rsidDel="00000000" w:rsidR="00000000" w:rsidRPr="00000000">
        <w:rPr>
          <w:rtl w:val="0"/>
        </w:rPr>
      </w:r>
    </w:p>
    <w:p w:rsidR="00000000" w:rsidDel="00000000" w:rsidP="00000000" w:rsidRDefault="00000000" w:rsidRPr="00000000" w14:paraId="00000059">
      <w:pPr>
        <w:ind w:left="720" w:hanging="720"/>
        <w:rPr/>
      </w:pPr>
      <w:r w:rsidDel="00000000" w:rsidR="00000000" w:rsidRPr="00000000">
        <w:rPr>
          <w:rtl w:val="0"/>
        </w:rPr>
        <w:t xml:space="preserve">AMD Quick Ratio 2010-2023: AMD. Macrotrends. (2023b). </w:t>
      </w:r>
      <w:hyperlink r:id="rId10">
        <w:r w:rsidDel="00000000" w:rsidR="00000000" w:rsidRPr="00000000">
          <w:rPr>
            <w:color w:val="1155cc"/>
            <w:u w:val="single"/>
            <w:rtl w:val="0"/>
          </w:rPr>
          <w:t xml:space="preserve">https://www.macrotrends.net/stocks/charts/AMD/amd/quick-ratio</w:t>
        </w:r>
      </w:hyperlink>
      <w:r w:rsidDel="00000000" w:rsidR="00000000" w:rsidRPr="00000000">
        <w:rPr>
          <w:rtl w:val="0"/>
        </w:rPr>
      </w:r>
    </w:p>
    <w:p w:rsidR="00000000" w:rsidDel="00000000" w:rsidP="00000000" w:rsidRDefault="00000000" w:rsidRPr="00000000" w14:paraId="0000005A">
      <w:pPr>
        <w:ind w:left="720" w:hanging="720"/>
        <w:rPr/>
      </w:pPr>
      <w:r w:rsidDel="00000000" w:rsidR="00000000" w:rsidRPr="00000000">
        <w:rPr>
          <w:color w:val="262626"/>
          <w:highlight w:val="white"/>
          <w:rtl w:val="0"/>
        </w:rPr>
        <w:t xml:space="preserve">Dow, R. (2023, June 7). </w:t>
      </w:r>
      <w:r w:rsidDel="00000000" w:rsidR="00000000" w:rsidRPr="00000000">
        <w:rPr>
          <w:i w:val="1"/>
          <w:color w:val="262626"/>
          <w:highlight w:val="white"/>
          <w:rtl w:val="0"/>
        </w:rPr>
        <w:t xml:space="preserve">The graphics add-in board market continued its correction in Q1 2023</w:t>
      </w:r>
      <w:r w:rsidDel="00000000" w:rsidR="00000000" w:rsidRPr="00000000">
        <w:rPr>
          <w:color w:val="262626"/>
          <w:highlight w:val="white"/>
          <w:rtl w:val="0"/>
        </w:rPr>
        <w:t xml:space="preserve">. Jon Peddie Research. </w:t>
      </w:r>
      <w:hyperlink r:id="rId11">
        <w:r w:rsidDel="00000000" w:rsidR="00000000" w:rsidRPr="00000000">
          <w:rPr>
            <w:color w:val="1155cc"/>
            <w:highlight w:val="white"/>
            <w:rtl w:val="0"/>
          </w:rPr>
          <w:t xml:space="preserve">https://www.jonpeddie.com/news/the-graphics-add-in-board-market-continued-its-correction-in-q1-2023/</w:t>
        </w:r>
      </w:hyperlink>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5B">
      <w:pPr>
        <w:ind w:left="720" w:hanging="720"/>
        <w:rPr/>
      </w:pPr>
      <w:r w:rsidDel="00000000" w:rsidR="00000000" w:rsidRPr="00000000">
        <w:rPr>
          <w:rtl w:val="0"/>
        </w:rPr>
        <w:t xml:space="preserve">Intel PE ratio 2010-2023: INTC. Macrotrends. (2023c). </w:t>
      </w:r>
      <w:hyperlink r:id="rId12">
        <w:r w:rsidDel="00000000" w:rsidR="00000000" w:rsidRPr="00000000">
          <w:rPr>
            <w:color w:val="1155cc"/>
            <w:u w:val="single"/>
            <w:rtl w:val="0"/>
          </w:rPr>
          <w:t xml:space="preserve">https://www.macrotrends.net/stocks/charts/INTC/intel/pe-ratio</w:t>
        </w:r>
      </w:hyperlink>
      <w:r w:rsidDel="00000000" w:rsidR="00000000" w:rsidRPr="00000000">
        <w:rPr>
          <w:rtl w:val="0"/>
        </w:rPr>
      </w:r>
    </w:p>
    <w:p w:rsidR="00000000" w:rsidDel="00000000" w:rsidP="00000000" w:rsidRDefault="00000000" w:rsidRPr="00000000" w14:paraId="0000005C">
      <w:pPr>
        <w:ind w:left="720" w:hanging="720"/>
        <w:rPr/>
      </w:pPr>
      <w:r w:rsidDel="00000000" w:rsidR="00000000" w:rsidRPr="00000000">
        <w:rPr>
          <w:rtl w:val="0"/>
        </w:rPr>
        <w:t xml:space="preserve">Intel Quick Ratio 2010-2023: INTC. Macrotrends. (2023d). </w:t>
      </w:r>
      <w:hyperlink r:id="rId13">
        <w:r w:rsidDel="00000000" w:rsidR="00000000" w:rsidRPr="00000000">
          <w:rPr>
            <w:color w:val="1155cc"/>
            <w:u w:val="single"/>
            <w:rtl w:val="0"/>
          </w:rPr>
          <w:t xml:space="preserve">https://www.macrotrends.net/stocks/charts/INTC/intel/quick-ratio</w:t>
        </w:r>
      </w:hyperlink>
      <w:r w:rsidDel="00000000" w:rsidR="00000000" w:rsidRPr="00000000">
        <w:rPr>
          <w:rtl w:val="0"/>
        </w:rPr>
      </w:r>
    </w:p>
    <w:p w:rsidR="00000000" w:rsidDel="00000000" w:rsidP="00000000" w:rsidRDefault="00000000" w:rsidRPr="00000000" w14:paraId="0000005D">
      <w:pPr>
        <w:ind w:left="720" w:hanging="720"/>
        <w:rPr/>
      </w:pPr>
      <w:r w:rsidDel="00000000" w:rsidR="00000000" w:rsidRPr="00000000">
        <w:rPr>
          <w:rtl w:val="0"/>
        </w:rPr>
        <w:t xml:space="preserve">Nvidia Corp (2023) </w:t>
      </w:r>
      <w:r w:rsidDel="00000000" w:rsidR="00000000" w:rsidRPr="00000000">
        <w:rPr>
          <w:i w:val="1"/>
          <w:rtl w:val="0"/>
        </w:rPr>
        <w:t xml:space="preserve">Form 10-K</w:t>
      </w:r>
      <w:r w:rsidDel="00000000" w:rsidR="00000000" w:rsidRPr="00000000">
        <w:rPr>
          <w:rtl w:val="0"/>
        </w:rPr>
        <w:t xml:space="preserve">. U.S. Securities and Exchange Commission.</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https://www.sec.gov/ix?doc=/Archives/edgar/data/1045810/000104581023000017/nvda-20230129.htm</w:t>
        </w:r>
      </w:hyperlink>
      <w:r w:rsidDel="00000000" w:rsidR="00000000" w:rsidRPr="00000000">
        <w:rPr>
          <w:rtl w:val="0"/>
        </w:rPr>
      </w:r>
    </w:p>
    <w:p w:rsidR="00000000" w:rsidDel="00000000" w:rsidP="00000000" w:rsidRDefault="00000000" w:rsidRPr="00000000" w14:paraId="0000005E">
      <w:pPr>
        <w:ind w:left="720" w:hanging="720"/>
        <w:rPr/>
      </w:pPr>
      <w:r w:rsidDel="00000000" w:rsidR="00000000" w:rsidRPr="00000000">
        <w:rPr>
          <w:rtl w:val="0"/>
        </w:rPr>
        <w:t xml:space="preserve">Nvidia PE ratio 2010-2023: NVDA. Macrotrends. (2023e). </w:t>
      </w:r>
      <w:hyperlink r:id="rId16">
        <w:r w:rsidDel="00000000" w:rsidR="00000000" w:rsidRPr="00000000">
          <w:rPr>
            <w:color w:val="1155cc"/>
            <w:u w:val="single"/>
            <w:rtl w:val="0"/>
          </w:rPr>
          <w:t xml:space="preserve">https://www.macrotrends.net/stocks/charts/NVDA/nvidia/pe-ratio</w:t>
        </w:r>
      </w:hyperlink>
      <w:r w:rsidDel="00000000" w:rsidR="00000000" w:rsidRPr="00000000">
        <w:rPr>
          <w:rtl w:val="0"/>
        </w:rPr>
      </w:r>
    </w:p>
    <w:p w:rsidR="00000000" w:rsidDel="00000000" w:rsidP="00000000" w:rsidRDefault="00000000" w:rsidRPr="00000000" w14:paraId="0000005F">
      <w:pPr>
        <w:ind w:left="720" w:hanging="720"/>
        <w:rPr/>
      </w:pPr>
      <w:r w:rsidDel="00000000" w:rsidR="00000000" w:rsidRPr="00000000">
        <w:rPr>
          <w:rtl w:val="0"/>
        </w:rPr>
        <w:t xml:space="preserve">Nvidia Quick Ratio 2010-2023: NVDA. Macrotrends. (2023f). </w:t>
      </w:r>
      <w:hyperlink r:id="rId17">
        <w:r w:rsidDel="00000000" w:rsidR="00000000" w:rsidRPr="00000000">
          <w:rPr>
            <w:color w:val="1155cc"/>
            <w:u w:val="single"/>
            <w:rtl w:val="0"/>
          </w:rPr>
          <w:t xml:space="preserve">https://www.macrotrends.net/stocks/charts/NVDA/nvidia/quick-ratio</w:t>
        </w:r>
      </w:hyperlink>
      <w:r w:rsidDel="00000000" w:rsidR="00000000" w:rsidRPr="00000000">
        <w:rPr>
          <w:rtl w:val="0"/>
        </w:rPr>
      </w:r>
    </w:p>
    <w:p w:rsidR="00000000" w:rsidDel="00000000" w:rsidP="00000000" w:rsidRDefault="00000000" w:rsidRPr="00000000" w14:paraId="00000060">
      <w:pPr>
        <w:ind w:left="720" w:hanging="720"/>
        <w:rPr/>
      </w:pPr>
      <w:r w:rsidDel="00000000" w:rsidR="00000000" w:rsidRPr="00000000">
        <w:rPr>
          <w:rtl w:val="0"/>
        </w:rPr>
        <w:t xml:space="preserve">Semiconductors Industry Financial Strength Information. Semiconductors Industry financial strength, from the Q2 2023 to 2 Q 2022, leverage, interest, debt coverage and quick ratios. (2023, September 13). </w:t>
      </w:r>
    </w:p>
    <w:p w:rsidR="00000000" w:rsidDel="00000000" w:rsidP="00000000" w:rsidRDefault="00000000" w:rsidRPr="00000000" w14:paraId="00000061">
      <w:pPr>
        <w:ind w:left="1440" w:hanging="720"/>
        <w:rPr/>
      </w:pPr>
      <w:hyperlink r:id="rId18">
        <w:r w:rsidDel="00000000" w:rsidR="00000000" w:rsidRPr="00000000">
          <w:rPr>
            <w:color w:val="1155cc"/>
            <w:u w:val="single"/>
            <w:rtl w:val="0"/>
          </w:rPr>
          <w:t xml:space="preserve">https://csimarket.com/Industry/industry_Financial_Strength_Ratios.php?ind=1010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2">
      <w:pPr>
        <w:ind w:left="720" w:hanging="720"/>
        <w:rPr/>
      </w:pPr>
      <w:r w:rsidDel="00000000" w:rsidR="00000000" w:rsidRPr="00000000">
        <w:rPr>
          <w:rtl w:val="0"/>
        </w:rPr>
        <w:t xml:space="preserve">Yahoo! (2023a, September 14). Advanced Micro Devices, Inc. (AMD) valuation measures &amp; financial statistics. Yahoo! Finance.</w:t>
      </w:r>
      <w:r w:rsidDel="00000000" w:rsidR="00000000" w:rsidRPr="00000000">
        <w:rPr>
          <w:rtl w:val="0"/>
        </w:rPr>
        <w:t xml:space="preserve"> </w:t>
      </w:r>
      <w:hyperlink r:id="rId19">
        <w:r w:rsidDel="00000000" w:rsidR="00000000" w:rsidRPr="00000000">
          <w:rPr>
            <w:color w:val="1155cc"/>
            <w:u w:val="single"/>
            <w:rtl w:val="0"/>
          </w:rPr>
          <w:t xml:space="preserve">https://finance.yahoo.com/quote/AMD/key-statistics?p=AMD</w:t>
        </w:r>
      </w:hyperlink>
      <w:r w:rsidDel="00000000" w:rsidR="00000000" w:rsidRPr="00000000">
        <w:rPr>
          <w:rtl w:val="0"/>
        </w:rPr>
      </w:r>
    </w:p>
    <w:p w:rsidR="00000000" w:rsidDel="00000000" w:rsidP="00000000" w:rsidRDefault="00000000" w:rsidRPr="00000000" w14:paraId="00000063">
      <w:pPr>
        <w:ind w:left="720" w:hanging="720"/>
        <w:rPr/>
      </w:pPr>
      <w:r w:rsidDel="00000000" w:rsidR="00000000" w:rsidRPr="00000000">
        <w:rPr>
          <w:rtl w:val="0"/>
        </w:rPr>
        <w:t xml:space="preserve">Yahoo! (2023b, September 14). Intel Corporation (INTC) valuation measures &amp; financial statistic</w:t>
      </w:r>
      <w:r w:rsidDel="00000000" w:rsidR="00000000" w:rsidRPr="00000000">
        <w:rPr>
          <w:rtl w:val="0"/>
        </w:rPr>
        <w:t xml:space="preserve">s. Yahoo! Finance. </w:t>
      </w:r>
      <w:hyperlink r:id="rId20">
        <w:r w:rsidDel="00000000" w:rsidR="00000000" w:rsidRPr="00000000">
          <w:rPr>
            <w:color w:val="1155cc"/>
            <w:u w:val="single"/>
            <w:rtl w:val="0"/>
          </w:rPr>
          <w:t xml:space="preserve">https://finance.yahoo.com/quote/INTC/key-statistics?p=INTC</w:t>
        </w:r>
      </w:hyperlink>
      <w:r w:rsidDel="00000000" w:rsidR="00000000" w:rsidRPr="00000000">
        <w:rPr>
          <w:rtl w:val="0"/>
        </w:rPr>
      </w:r>
    </w:p>
    <w:p w:rsidR="00000000" w:rsidDel="00000000" w:rsidP="00000000" w:rsidRDefault="00000000" w:rsidRPr="00000000" w14:paraId="00000064">
      <w:pPr>
        <w:ind w:left="720" w:hanging="720"/>
        <w:rPr/>
      </w:pPr>
      <w:r w:rsidDel="00000000" w:rsidR="00000000" w:rsidRPr="00000000">
        <w:rPr>
          <w:rtl w:val="0"/>
        </w:rPr>
        <w:t xml:space="preserve">Yahoo! (2023c, September 14). Nvidia Corporation (NVDA) valuation measures &amp; financial statistics. Yahoo! Finance. </w:t>
      </w:r>
      <w:hyperlink r:id="rId21">
        <w:r w:rsidDel="00000000" w:rsidR="00000000" w:rsidRPr="00000000">
          <w:rPr>
            <w:color w:val="1155cc"/>
            <w:u w:val="single"/>
            <w:rtl w:val="0"/>
          </w:rPr>
          <w:t xml:space="preserve">https://finance.yahoo.com/quote/NVDA/key-statistics?p=NVDA</w:t>
        </w:r>
      </w:hyperlink>
      <w:r w:rsidDel="00000000" w:rsidR="00000000" w:rsidRPr="00000000">
        <w:rPr>
          <w:rtl w:val="0"/>
        </w:rPr>
      </w:r>
    </w:p>
    <w:p w:rsidR="00000000" w:rsidDel="00000000" w:rsidP="00000000" w:rsidRDefault="00000000" w:rsidRPr="00000000" w14:paraId="00000065">
      <w:pPr>
        <w:ind w:left="720" w:hanging="720"/>
        <w:rPr/>
      </w:pPr>
      <w:r w:rsidDel="00000000" w:rsidR="00000000" w:rsidRPr="00000000">
        <w:rPr>
          <w:rtl w:val="0"/>
        </w:rPr>
        <w:t xml:space="preserve">Yahoo! (2023d, September 14). SPDR S&amp;P semiconductor ETF (XSD) stock price, news, Quote &amp; History. Yahoo! Finance. </w:t>
      </w:r>
      <w:hyperlink r:id="rId22">
        <w:r w:rsidDel="00000000" w:rsidR="00000000" w:rsidRPr="00000000">
          <w:rPr>
            <w:color w:val="1155cc"/>
            <w:u w:val="single"/>
            <w:rtl w:val="0"/>
          </w:rPr>
          <w:t xml:space="preserve">https://finance.yahoo.com/quote/XSD?p=XSD</w:t>
        </w:r>
      </w:hyperlink>
      <w:r w:rsidDel="00000000" w:rsidR="00000000" w:rsidRPr="00000000">
        <w:rPr>
          <w:rtl w:val="0"/>
        </w:rPr>
      </w:r>
    </w:p>
    <w:p w:rsidR="00000000" w:rsidDel="00000000" w:rsidP="00000000" w:rsidRDefault="00000000" w:rsidRPr="00000000" w14:paraId="00000066">
      <w:pPr>
        <w:spacing w:after="240" w:before="240" w:line="480" w:lineRule="auto"/>
        <w:ind w:left="720" w:hanging="720"/>
        <w:rPr>
          <w:color w:val="1155cc"/>
          <w:u w:val="single"/>
        </w:rPr>
      </w:pPr>
      <w:r w:rsidDel="00000000" w:rsidR="00000000" w:rsidRPr="00000000">
        <w:rPr>
          <w:rtl w:val="0"/>
        </w:rPr>
      </w:r>
    </w:p>
    <w:p w:rsidR="00000000" w:rsidDel="00000000" w:rsidP="00000000" w:rsidRDefault="00000000" w:rsidRPr="00000000" w14:paraId="0000006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finance.yahoo.com/quote/INTC/key-statistics?p=INTC" TargetMode="External"/><Relationship Id="rId11" Type="http://schemas.openxmlformats.org/officeDocument/2006/relationships/hyperlink" Target="https://www.jonpeddie.com/news/the-graphics-add-in-board-market-continued-its-correction-in-q1-2023/" TargetMode="External"/><Relationship Id="rId22" Type="http://schemas.openxmlformats.org/officeDocument/2006/relationships/hyperlink" Target="https://finance.yahoo.com/quote/XSD?p=XSD" TargetMode="External"/><Relationship Id="rId10" Type="http://schemas.openxmlformats.org/officeDocument/2006/relationships/hyperlink" Target="https://www.macrotrends.net/stocks/charts/AMD/amd/quick-ratio" TargetMode="External"/><Relationship Id="rId21" Type="http://schemas.openxmlformats.org/officeDocument/2006/relationships/hyperlink" Target="https://finance.yahoo.com/quote/NVDA/key-statistics?p=NVDA" TargetMode="External"/><Relationship Id="rId13" Type="http://schemas.openxmlformats.org/officeDocument/2006/relationships/hyperlink" Target="https://www.macrotrends.net/stocks/charts/INTC/intel/quick-ratio" TargetMode="External"/><Relationship Id="rId12" Type="http://schemas.openxmlformats.org/officeDocument/2006/relationships/hyperlink" Target="https://www.macrotrends.net/stocks/charts/INTC/intel/pe-rat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acrotrends.net/stocks/charts/AMD/amd/pe-ratio" TargetMode="External"/><Relationship Id="rId15" Type="http://schemas.openxmlformats.org/officeDocument/2006/relationships/hyperlink" Target="https://www.sec.gov/ix?doc=/Archives/edgar/data/1045810/000104581023000017/nvda-20230129.htm" TargetMode="External"/><Relationship Id="rId14" Type="http://schemas.openxmlformats.org/officeDocument/2006/relationships/hyperlink" Target="https://www.sec.gov/ix?doc=/Archives/edgar/data/1045810/000104581023000017/nvda-20230129.htm" TargetMode="External"/><Relationship Id="rId17" Type="http://schemas.openxmlformats.org/officeDocument/2006/relationships/hyperlink" Target="https://www.macrotrends.net/stocks/charts/NVDA/nvidia/quick-ratio" TargetMode="External"/><Relationship Id="rId16" Type="http://schemas.openxmlformats.org/officeDocument/2006/relationships/hyperlink" Target="https://www.macrotrends.net/stocks/charts/NVDA/nvidia/pe-ratio" TargetMode="External"/><Relationship Id="rId5" Type="http://schemas.openxmlformats.org/officeDocument/2006/relationships/styles" Target="styles.xml"/><Relationship Id="rId19" Type="http://schemas.openxmlformats.org/officeDocument/2006/relationships/hyperlink" Target="https://csimarket.com/Industry/industry_Financial_Strength_Ratios.php?ind=1010" TargetMode="External"/><Relationship Id="rId6" Type="http://schemas.openxmlformats.org/officeDocument/2006/relationships/image" Target="media/image3.png"/><Relationship Id="rId18" Type="http://schemas.openxmlformats.org/officeDocument/2006/relationships/hyperlink" Target="https://csimarket.com/Industry/industry_Financial_Strength_Ratios.php?ind=1010"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