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Towson Marching Percussion Video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Week 8: </w:t>
      </w:r>
      <w:r w:rsidDel="00000000" w:rsidR="00000000" w:rsidRPr="00000000">
        <w:rPr>
          <w:b w:val="1"/>
          <w:color w:val="ff0000"/>
          <w:rtl w:val="0"/>
        </w:rPr>
        <w:t xml:space="preserve">Due on Friday, November 1st, before 3:45 PM</w:t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(Submission instructions by section)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Music Links: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Who, What, When, Where, Why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Snares: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 before R to End - The Who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 before C to F8 - Why Can't We Be Friends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Tenors: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 to the End - Whenever, Wherever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to the End - Why Can’t We Be Friends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Basses: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 before R to the End - The Who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to the End - Whenever, Wherever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 to the End - Why Can’t We Be Friends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Cymbals: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J9 to O - The Who (Evens and Odds record separately, including kneel at 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to the End - Why Can’t We Be Friends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iFGU8SXdG94AO0eHHoxjROyTpOkh7pMs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