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6914" w14:textId="2E136CC6" w:rsidR="00CA2B28" w:rsidRDefault="00585EFC" w:rsidP="00CA2B28">
      <w:pPr>
        <w:spacing w:line="480" w:lineRule="auto"/>
      </w:pPr>
      <w:r>
        <w:t>Privacy Assessment</w:t>
      </w:r>
    </w:p>
    <w:p w14:paraId="32960CA4" w14:textId="77777777" w:rsidR="00CA2B28" w:rsidRDefault="00CA2B28" w:rsidP="00CA2B28">
      <w:pPr>
        <w:spacing w:line="480" w:lineRule="auto"/>
      </w:pPr>
    </w:p>
    <w:p w14:paraId="416FCA64" w14:textId="77777777" w:rsidR="00CA2B28" w:rsidRDefault="00CA2B28" w:rsidP="00CA2B28">
      <w:pPr>
        <w:spacing w:line="480" w:lineRule="auto"/>
      </w:pPr>
    </w:p>
    <w:p w14:paraId="78B43DDC" w14:textId="77777777" w:rsidR="00CA2B28" w:rsidRDefault="00CA2B28" w:rsidP="00CA2B28">
      <w:pPr>
        <w:spacing w:line="480" w:lineRule="auto"/>
      </w:pPr>
    </w:p>
    <w:p w14:paraId="35B61177" w14:textId="77777777" w:rsidR="00CA2B28" w:rsidRDefault="00CA2B28" w:rsidP="00CA2B28">
      <w:pPr>
        <w:spacing w:line="480" w:lineRule="auto"/>
      </w:pPr>
    </w:p>
    <w:p w14:paraId="47B27B97" w14:textId="77777777" w:rsidR="00CA2B28" w:rsidRDefault="00CA2B28" w:rsidP="00CA2B28">
      <w:pPr>
        <w:spacing w:line="480" w:lineRule="auto"/>
        <w:rPr>
          <w:b/>
          <w:color w:val="FF0000"/>
        </w:rPr>
      </w:pPr>
    </w:p>
    <w:p w14:paraId="2090D74F" w14:textId="77777777" w:rsidR="007E761C" w:rsidRDefault="007E761C" w:rsidP="00CA2B28">
      <w:pPr>
        <w:spacing w:line="480" w:lineRule="auto"/>
      </w:pPr>
    </w:p>
    <w:p w14:paraId="253C3AA1" w14:textId="77777777" w:rsidR="00CA2B28" w:rsidRDefault="00CA2B28" w:rsidP="00CA2B28">
      <w:pPr>
        <w:spacing w:line="480" w:lineRule="auto"/>
      </w:pPr>
    </w:p>
    <w:p w14:paraId="12A2061D" w14:textId="77777777" w:rsidR="00CA2B28" w:rsidRDefault="00CA2B28" w:rsidP="00CA2B28">
      <w:pPr>
        <w:spacing w:line="480" w:lineRule="auto"/>
      </w:pPr>
    </w:p>
    <w:p w14:paraId="6CD12EEB" w14:textId="77777777" w:rsidR="00CA2B28" w:rsidRDefault="00CA2B28" w:rsidP="00CA2B28">
      <w:pPr>
        <w:spacing w:line="480" w:lineRule="auto"/>
      </w:pPr>
    </w:p>
    <w:p w14:paraId="3001E9E7" w14:textId="6677DEED" w:rsidR="00CA2B28" w:rsidRDefault="00585EFC" w:rsidP="00CA2B28">
      <w:pPr>
        <w:spacing w:line="480" w:lineRule="auto"/>
        <w:jc w:val="center"/>
      </w:pPr>
      <w:r>
        <w:t>Privacy Assessment</w:t>
      </w:r>
    </w:p>
    <w:p w14:paraId="5477188F" w14:textId="7A56F5B2" w:rsidR="00CA2B28" w:rsidRDefault="007E761C" w:rsidP="00CA2B28">
      <w:pPr>
        <w:spacing w:line="480" w:lineRule="auto"/>
        <w:jc w:val="center"/>
      </w:pPr>
      <w:r>
        <w:t>Nathan Ketterlinus</w:t>
      </w:r>
    </w:p>
    <w:p w14:paraId="77F61763" w14:textId="611E8BC1" w:rsidR="00CA2B28" w:rsidRDefault="00585EFC" w:rsidP="00CA2B28">
      <w:pPr>
        <w:spacing w:line="480" w:lineRule="auto"/>
        <w:jc w:val="center"/>
      </w:pPr>
      <w:r>
        <w:t>March</w:t>
      </w:r>
      <w:r w:rsidR="009C4C8E">
        <w:t xml:space="preserve"> </w:t>
      </w:r>
      <w:r>
        <w:t>3</w:t>
      </w:r>
      <w:r w:rsidR="009C4C8E">
        <w:t>, 20</w:t>
      </w:r>
      <w:r>
        <w:t>24</w:t>
      </w:r>
    </w:p>
    <w:p w14:paraId="36EC3151" w14:textId="06BCFE2B" w:rsidR="00CA2B28" w:rsidRDefault="007E761C" w:rsidP="00CA2B28">
      <w:pPr>
        <w:spacing w:line="480" w:lineRule="auto"/>
        <w:jc w:val="center"/>
      </w:pPr>
      <w:r>
        <w:t>Towson University, COSC418-102, Steven Evans</w:t>
      </w:r>
    </w:p>
    <w:p w14:paraId="1E2CD01D" w14:textId="77777777" w:rsidR="00CA2B28" w:rsidRDefault="00CA2B28" w:rsidP="00CA2B28">
      <w:pPr>
        <w:spacing w:line="480" w:lineRule="auto"/>
        <w:jc w:val="center"/>
      </w:pPr>
      <w:r>
        <w:br w:type="page"/>
      </w:r>
      <w:r>
        <w:lastRenderedPageBreak/>
        <w:t>Abstract</w:t>
      </w:r>
    </w:p>
    <w:p w14:paraId="38389A4A" w14:textId="1F5343E4" w:rsidR="00CA2B28" w:rsidRDefault="00585EFC" w:rsidP="00CA2B28">
      <w:pPr>
        <w:spacing w:line="480" w:lineRule="auto"/>
      </w:pPr>
      <w:r>
        <w:t>This paper answers the questions proposed by the Blackboard assignment “</w:t>
      </w:r>
      <w:r w:rsidRPr="00585EFC">
        <w:t xml:space="preserve">From Week 4 Privacy Assessment Due Mar 3, </w:t>
      </w:r>
      <w:proofErr w:type="gramStart"/>
      <w:r w:rsidRPr="00585EFC">
        <w:t>2024</w:t>
      </w:r>
      <w:proofErr w:type="gramEnd"/>
      <w:r w:rsidRPr="00585EFC">
        <w:t xml:space="preserve"> in Week 5</w:t>
      </w:r>
      <w:r>
        <w:t>”. It names the 3 types of privacy vulnerability mitigation controls: technical, physical, and administrative. It provides examples of each and looks in-depth at a study that used machine learning to detect insider threats. In addition, it proposes four policies for a fictitious organization that address four different privacy considerations, with sample implementations for each.</w:t>
      </w:r>
    </w:p>
    <w:p w14:paraId="6E83D3BC" w14:textId="77777777" w:rsidR="00CA2B28" w:rsidRDefault="00CA2B28" w:rsidP="00CA2B28">
      <w:pPr>
        <w:spacing w:line="480" w:lineRule="auto"/>
        <w:jc w:val="center"/>
      </w:pPr>
    </w:p>
    <w:p w14:paraId="525EBEBE" w14:textId="77777777" w:rsidR="00CA2B28" w:rsidRDefault="00CA2B28" w:rsidP="00CA2B28">
      <w:pPr>
        <w:spacing w:line="480" w:lineRule="auto"/>
        <w:jc w:val="center"/>
      </w:pPr>
    </w:p>
    <w:p w14:paraId="7EC34866" w14:textId="77777777" w:rsidR="00CA2B28" w:rsidRDefault="00CA2B28" w:rsidP="00CA2B28">
      <w:pPr>
        <w:spacing w:line="480" w:lineRule="auto"/>
        <w:jc w:val="center"/>
        <w:rPr>
          <w:b/>
          <w:color w:val="FF0000"/>
        </w:rPr>
      </w:pPr>
    </w:p>
    <w:p w14:paraId="25851B30" w14:textId="77777777" w:rsidR="007E761C" w:rsidRDefault="007E761C" w:rsidP="00CA2B28">
      <w:pPr>
        <w:spacing w:line="480" w:lineRule="auto"/>
        <w:jc w:val="center"/>
      </w:pPr>
    </w:p>
    <w:p w14:paraId="24BD68B8" w14:textId="77777777" w:rsidR="00CA2B28" w:rsidRDefault="00CA2B28" w:rsidP="00CA2B28">
      <w:pPr>
        <w:spacing w:line="480" w:lineRule="auto"/>
        <w:jc w:val="center"/>
      </w:pPr>
    </w:p>
    <w:p w14:paraId="11671178" w14:textId="77777777" w:rsidR="00CA2B28" w:rsidRDefault="00CA2B28" w:rsidP="00CA2B28">
      <w:pPr>
        <w:spacing w:line="480" w:lineRule="auto"/>
        <w:jc w:val="center"/>
      </w:pPr>
    </w:p>
    <w:p w14:paraId="3A15EC08" w14:textId="77777777" w:rsidR="00CA2B28" w:rsidRDefault="00CA2B28" w:rsidP="00CA2B28">
      <w:pPr>
        <w:spacing w:line="480" w:lineRule="auto"/>
        <w:jc w:val="center"/>
      </w:pPr>
    </w:p>
    <w:p w14:paraId="760CB4A9" w14:textId="77777777" w:rsidR="00CA2B28" w:rsidRDefault="00CA2B28" w:rsidP="00CA2B28">
      <w:pPr>
        <w:spacing w:line="480" w:lineRule="auto"/>
        <w:jc w:val="center"/>
      </w:pPr>
    </w:p>
    <w:p w14:paraId="607BBBB7" w14:textId="77777777" w:rsidR="00CA2B28" w:rsidRDefault="00CA2B28" w:rsidP="00CA2B28">
      <w:pPr>
        <w:spacing w:line="480" w:lineRule="auto"/>
        <w:jc w:val="center"/>
      </w:pPr>
    </w:p>
    <w:p w14:paraId="05DD534B" w14:textId="77777777" w:rsidR="00CA2B28" w:rsidRDefault="00CA2B28" w:rsidP="00CA2B28">
      <w:pPr>
        <w:spacing w:line="480" w:lineRule="auto"/>
        <w:jc w:val="center"/>
      </w:pPr>
    </w:p>
    <w:p w14:paraId="16D128BC" w14:textId="77777777" w:rsidR="00CA2B28" w:rsidRDefault="00CA2B28" w:rsidP="00CA2B28">
      <w:pPr>
        <w:spacing w:line="480" w:lineRule="auto"/>
        <w:jc w:val="center"/>
      </w:pPr>
    </w:p>
    <w:p w14:paraId="71146885" w14:textId="77777777" w:rsidR="00CA2B28" w:rsidRDefault="00CA2B28" w:rsidP="00CA2B28">
      <w:pPr>
        <w:spacing w:line="480" w:lineRule="auto"/>
        <w:jc w:val="center"/>
      </w:pPr>
    </w:p>
    <w:p w14:paraId="36FAA74F" w14:textId="77777777" w:rsidR="00CA2B28" w:rsidRDefault="00CA2B28" w:rsidP="00CA2B28">
      <w:pPr>
        <w:spacing w:line="480" w:lineRule="auto"/>
        <w:jc w:val="center"/>
      </w:pPr>
    </w:p>
    <w:p w14:paraId="48F1583E" w14:textId="77777777" w:rsidR="00CA2B28" w:rsidRDefault="00CA2B28" w:rsidP="00CA2B28">
      <w:pPr>
        <w:spacing w:line="480" w:lineRule="auto"/>
        <w:jc w:val="center"/>
      </w:pPr>
    </w:p>
    <w:p w14:paraId="6DD3147E" w14:textId="77777777" w:rsidR="00CA2B28" w:rsidRDefault="00CA2B28" w:rsidP="00CA2B28">
      <w:pPr>
        <w:spacing w:line="480" w:lineRule="auto"/>
        <w:jc w:val="center"/>
      </w:pPr>
    </w:p>
    <w:p w14:paraId="55C61B09" w14:textId="77777777" w:rsidR="00CA2B28" w:rsidRDefault="00CA2B28" w:rsidP="00CA2B28">
      <w:pPr>
        <w:spacing w:line="480" w:lineRule="auto"/>
        <w:jc w:val="center"/>
      </w:pPr>
    </w:p>
    <w:p w14:paraId="2C080C73" w14:textId="77777777" w:rsidR="00CA2B28" w:rsidRDefault="00CA2B28" w:rsidP="00CA2B28">
      <w:pPr>
        <w:spacing w:line="480" w:lineRule="auto"/>
        <w:jc w:val="center"/>
      </w:pPr>
    </w:p>
    <w:p w14:paraId="4BD26BFF" w14:textId="77777777" w:rsidR="00CA2B28" w:rsidRDefault="00CA2B28" w:rsidP="00CA2B28">
      <w:pPr>
        <w:spacing w:line="480" w:lineRule="auto"/>
        <w:jc w:val="center"/>
      </w:pPr>
    </w:p>
    <w:p w14:paraId="6285F5C5" w14:textId="62A5A2BD" w:rsidR="00CA2B28" w:rsidRDefault="00585EFC" w:rsidP="00CA2B28">
      <w:pPr>
        <w:spacing w:line="480" w:lineRule="auto"/>
        <w:jc w:val="center"/>
      </w:pPr>
      <w:r>
        <w:t>Privacy Assessment</w:t>
      </w:r>
    </w:p>
    <w:p w14:paraId="102D1649" w14:textId="77777777" w:rsidR="00585EFC" w:rsidRPr="003A2DC4" w:rsidRDefault="00585EFC" w:rsidP="00585EFC">
      <w:pPr>
        <w:pStyle w:val="NormalWeb"/>
        <w:shd w:val="clear" w:color="auto" w:fill="FFFFFF"/>
        <w:spacing w:before="0" w:beforeAutospacing="0" w:after="0" w:afterAutospacing="0" w:line="480" w:lineRule="auto"/>
        <w:rPr>
          <w:color w:val="262626"/>
        </w:rPr>
      </w:pPr>
      <w:r w:rsidRPr="003A2DC4">
        <w:rPr>
          <w:color w:val="262626"/>
        </w:rPr>
        <w:t>1. The three controls used to mitigate privacy vulnerabilities are technical, physical, and administrative. Technical controls are those that are implemented through hardware or software, such as firewalls or regular software updates (Klepper, 2019). Physical controls are those that are implemented physically to secure a site. Examples include "</w:t>
      </w:r>
      <w:r w:rsidRPr="003A2DC4">
        <w:rPr>
          <w:color w:val="161616"/>
        </w:rPr>
        <w:t>data center perimeter fencing, locks, guards, access control cards, biometric access control systems, surveillance cameras and intrusion detection sensors" (IBM, 2022). Finally, administrative controls are those that deal with selecting and training prospective employees to be properly privacy oriented. They are largely concerned with detecting and preventing insider threats. Manoharan et al. found a promising method to detect insider threats from balanced data sets by utilizing supervised machine learning. Sparing technical details, they found that a "</w:t>
      </w:r>
      <w:r w:rsidRPr="003A2DC4">
        <w:rPr>
          <w:color w:val="262626"/>
        </w:rPr>
        <w:t>supervised learning with a balanced dataset in RF obtains the best accuracy [discriminating threats vs non-threats] and F1-score of 95.9%" (Manoharan et al., 2023).</w:t>
      </w:r>
    </w:p>
    <w:p w14:paraId="2CBCAE23" w14:textId="77777777" w:rsidR="00585EFC" w:rsidRPr="003A2DC4" w:rsidRDefault="00585EFC" w:rsidP="00585EFC">
      <w:pPr>
        <w:pStyle w:val="NormalWeb"/>
        <w:shd w:val="clear" w:color="auto" w:fill="FFFFFF"/>
        <w:spacing w:before="0" w:beforeAutospacing="0" w:after="0" w:afterAutospacing="0" w:line="480" w:lineRule="auto"/>
        <w:rPr>
          <w:color w:val="262626"/>
        </w:rPr>
      </w:pPr>
      <w:r w:rsidRPr="003A2DC4">
        <w:rPr>
          <w:color w:val="262626"/>
        </w:rPr>
        <w:t>2.</w:t>
      </w:r>
    </w:p>
    <w:p w14:paraId="5D71305B" w14:textId="77777777" w:rsidR="00585EFC" w:rsidRPr="003A2DC4" w:rsidRDefault="00585EFC" w:rsidP="00585EFC">
      <w:pPr>
        <w:pStyle w:val="NormalWeb"/>
        <w:shd w:val="clear" w:color="auto" w:fill="FFFFFF"/>
        <w:spacing w:before="0" w:beforeAutospacing="0" w:after="0" w:afterAutospacing="0" w:line="480" w:lineRule="auto"/>
        <w:ind w:firstLine="720"/>
        <w:rPr>
          <w:color w:val="262626"/>
        </w:rPr>
      </w:pPr>
      <w:r w:rsidRPr="003A2DC4">
        <w:rPr>
          <w:color w:val="262626"/>
        </w:rPr>
        <w:t xml:space="preserve">a. Password security. All passwords must be a minimum of 12 characters (16-18+ are encouraged), using a mix of numbers, uppercase, lowercase, and symbols. In addition, passwords must be changed every 6 months without reusing old passwords. While this may seem a bit overkill, it provides incredible protection against brute force attacks, requiring 30,000 years to crack with publicly available technology in 2023 (Redzepagic et al., 2023). </w:t>
      </w:r>
    </w:p>
    <w:p w14:paraId="5A590360" w14:textId="77777777" w:rsidR="00585EFC" w:rsidRPr="003A2DC4" w:rsidRDefault="00585EFC" w:rsidP="00585EFC">
      <w:pPr>
        <w:pStyle w:val="NormalWeb"/>
        <w:shd w:val="clear" w:color="auto" w:fill="FFFFFF"/>
        <w:spacing w:before="0" w:beforeAutospacing="0" w:after="0" w:afterAutospacing="0" w:line="480" w:lineRule="auto"/>
        <w:ind w:firstLine="720"/>
        <w:rPr>
          <w:color w:val="262626"/>
        </w:rPr>
      </w:pPr>
      <w:r w:rsidRPr="003A2DC4">
        <w:rPr>
          <w:color w:val="262626"/>
        </w:rPr>
        <w:lastRenderedPageBreak/>
        <w:t xml:space="preserve">b. </w:t>
      </w:r>
      <w:r>
        <w:rPr>
          <w:color w:val="262626"/>
        </w:rPr>
        <w:t>Employee training. All employee training should include a comprehensive review of best security practices in the workplace, privacy expectations as an employee, how to properly handle and report privacy violations, and the importance of combatting insider threats.</w:t>
      </w:r>
    </w:p>
    <w:p w14:paraId="23E35E6E" w14:textId="77777777" w:rsidR="00585EFC" w:rsidRPr="003A2DC4" w:rsidRDefault="00585EFC" w:rsidP="00585EFC">
      <w:pPr>
        <w:pStyle w:val="NormalWeb"/>
        <w:shd w:val="clear" w:color="auto" w:fill="FFFFFF"/>
        <w:spacing w:before="0" w:beforeAutospacing="0" w:after="0" w:afterAutospacing="0" w:line="480" w:lineRule="auto"/>
        <w:ind w:firstLine="720"/>
        <w:rPr>
          <w:color w:val="262626"/>
        </w:rPr>
      </w:pPr>
      <w:r w:rsidRPr="003A2DC4">
        <w:rPr>
          <w:color w:val="262626"/>
        </w:rPr>
        <w:t>c.</w:t>
      </w:r>
      <w:r>
        <w:rPr>
          <w:color w:val="262626"/>
        </w:rPr>
        <w:t xml:space="preserve"> Principle of least privilege. All company employees are given system and site access according to the principle of least privilege. This means that the only people that have access to any given resource are those that absolutely need it to do their job. It wouldn’t make sense to give the janitor access to the server room holding millions of dollars in trade secrets, for example.</w:t>
      </w:r>
    </w:p>
    <w:p w14:paraId="64AA72A8" w14:textId="77777777" w:rsidR="00585EFC" w:rsidRPr="003A2DC4" w:rsidRDefault="00585EFC" w:rsidP="00585EFC">
      <w:pPr>
        <w:pStyle w:val="NormalWeb"/>
        <w:shd w:val="clear" w:color="auto" w:fill="FFFFFF"/>
        <w:spacing w:before="0" w:beforeAutospacing="0" w:after="0" w:afterAutospacing="0" w:line="480" w:lineRule="auto"/>
        <w:ind w:firstLine="720"/>
        <w:rPr>
          <w:color w:val="262626"/>
        </w:rPr>
      </w:pPr>
      <w:r w:rsidRPr="003A2DC4">
        <w:rPr>
          <w:color w:val="262626"/>
        </w:rPr>
        <w:t xml:space="preserve">d. </w:t>
      </w:r>
      <w:r>
        <w:rPr>
          <w:color w:val="262626"/>
        </w:rPr>
        <w:t>All devices used on site or to do work of any kind must be company issued. BYOD policies, while convenient for the average employee, are an IT nightmare. The variance between devices means that the odds of a novel vulnerability unique to one system are much higher. By unifying used devices to the same security standard, vulnerabilities become much easier to patch out across the entire network.</w:t>
      </w:r>
    </w:p>
    <w:p w14:paraId="79FD88EB" w14:textId="77777777" w:rsidR="00585EFC" w:rsidRDefault="00585EFC" w:rsidP="00585EFC">
      <w:pPr>
        <w:pStyle w:val="NormalWeb"/>
        <w:shd w:val="clear" w:color="auto" w:fill="FFFFFF"/>
        <w:spacing w:before="0" w:beforeAutospacing="0" w:after="0" w:afterAutospacing="0" w:line="480" w:lineRule="auto"/>
        <w:ind w:firstLine="720"/>
        <w:rPr>
          <w:color w:val="262626"/>
        </w:rPr>
      </w:pPr>
      <w:r w:rsidRPr="003A2DC4">
        <w:rPr>
          <w:color w:val="262626"/>
        </w:rPr>
        <w:t xml:space="preserve">e. </w:t>
      </w:r>
      <w:r>
        <w:rPr>
          <w:color w:val="262626"/>
        </w:rPr>
        <w:t>(described in a-d respectively).</w:t>
      </w:r>
    </w:p>
    <w:p w14:paraId="335BA4E5" w14:textId="77777777" w:rsidR="00585EFC" w:rsidRDefault="00585EFC" w:rsidP="00585EFC">
      <w:pPr>
        <w:pStyle w:val="NormalWeb"/>
        <w:shd w:val="clear" w:color="auto" w:fill="FFFFFF"/>
        <w:spacing w:before="0" w:beforeAutospacing="0" w:after="0" w:afterAutospacing="0" w:line="480" w:lineRule="auto"/>
        <w:ind w:firstLine="720"/>
        <w:rPr>
          <w:color w:val="262626"/>
        </w:rPr>
      </w:pPr>
    </w:p>
    <w:p w14:paraId="529A6794" w14:textId="77777777" w:rsidR="00585EFC" w:rsidRDefault="00585EFC" w:rsidP="00585EFC">
      <w:pPr>
        <w:pStyle w:val="NormalWeb"/>
        <w:shd w:val="clear" w:color="auto" w:fill="FFFFFF"/>
        <w:spacing w:before="0" w:beforeAutospacing="0" w:after="0" w:afterAutospacing="0" w:line="480" w:lineRule="auto"/>
        <w:ind w:firstLine="720"/>
        <w:rPr>
          <w:color w:val="262626"/>
        </w:rPr>
      </w:pPr>
    </w:p>
    <w:p w14:paraId="5C1C36C1" w14:textId="77777777" w:rsidR="00585EFC" w:rsidRDefault="00585EFC" w:rsidP="00585EFC">
      <w:pPr>
        <w:pStyle w:val="NormalWeb"/>
        <w:shd w:val="clear" w:color="auto" w:fill="FFFFFF"/>
        <w:spacing w:before="0" w:beforeAutospacing="0" w:after="0" w:afterAutospacing="0" w:line="480" w:lineRule="auto"/>
        <w:ind w:firstLine="720"/>
        <w:rPr>
          <w:color w:val="262626"/>
        </w:rPr>
      </w:pPr>
    </w:p>
    <w:p w14:paraId="2043AF6A" w14:textId="77777777" w:rsidR="00585EFC" w:rsidRDefault="00585EFC" w:rsidP="00585EFC">
      <w:pPr>
        <w:pStyle w:val="NormalWeb"/>
        <w:shd w:val="clear" w:color="auto" w:fill="FFFFFF"/>
        <w:spacing w:before="0" w:beforeAutospacing="0" w:after="0" w:afterAutospacing="0" w:line="480" w:lineRule="auto"/>
        <w:ind w:firstLine="720"/>
        <w:rPr>
          <w:color w:val="262626"/>
        </w:rPr>
      </w:pPr>
    </w:p>
    <w:p w14:paraId="12185111" w14:textId="77777777" w:rsidR="00585EFC" w:rsidRDefault="00585EFC" w:rsidP="00585EFC">
      <w:pPr>
        <w:pStyle w:val="NormalWeb"/>
        <w:shd w:val="clear" w:color="auto" w:fill="FFFFFF"/>
        <w:spacing w:before="0" w:beforeAutospacing="0" w:after="0" w:afterAutospacing="0" w:line="480" w:lineRule="auto"/>
        <w:ind w:firstLine="720"/>
        <w:rPr>
          <w:color w:val="262626"/>
        </w:rPr>
      </w:pPr>
    </w:p>
    <w:p w14:paraId="4A4D5B95" w14:textId="77777777" w:rsidR="00585EFC" w:rsidRDefault="00585EFC" w:rsidP="00585EFC">
      <w:pPr>
        <w:pStyle w:val="NormalWeb"/>
        <w:shd w:val="clear" w:color="auto" w:fill="FFFFFF"/>
        <w:spacing w:before="0" w:beforeAutospacing="0" w:after="0" w:afterAutospacing="0" w:line="480" w:lineRule="auto"/>
        <w:ind w:firstLine="720"/>
        <w:rPr>
          <w:color w:val="262626"/>
        </w:rPr>
      </w:pPr>
    </w:p>
    <w:p w14:paraId="4869C1B1" w14:textId="77777777" w:rsidR="00585EFC" w:rsidRDefault="00585EFC" w:rsidP="00585EFC">
      <w:pPr>
        <w:pStyle w:val="NormalWeb"/>
        <w:shd w:val="clear" w:color="auto" w:fill="FFFFFF"/>
        <w:spacing w:before="0" w:beforeAutospacing="0" w:after="0" w:afterAutospacing="0" w:line="480" w:lineRule="auto"/>
        <w:rPr>
          <w:color w:val="262626"/>
        </w:rPr>
      </w:pPr>
    </w:p>
    <w:p w14:paraId="00CF61A5" w14:textId="77777777" w:rsidR="00585EFC" w:rsidRDefault="00585EFC" w:rsidP="00585EFC">
      <w:pPr>
        <w:pStyle w:val="NormalWeb"/>
        <w:shd w:val="clear" w:color="auto" w:fill="FFFFFF"/>
        <w:spacing w:before="0" w:beforeAutospacing="0" w:after="0" w:afterAutospacing="0" w:line="480" w:lineRule="auto"/>
        <w:rPr>
          <w:color w:val="262626"/>
        </w:rPr>
      </w:pPr>
    </w:p>
    <w:p w14:paraId="3D8D469B" w14:textId="77777777" w:rsidR="00585EFC" w:rsidRPr="003A2DC4" w:rsidRDefault="00585EFC" w:rsidP="00585EFC">
      <w:pPr>
        <w:pStyle w:val="NormalWeb"/>
        <w:shd w:val="clear" w:color="auto" w:fill="FFFFFF"/>
        <w:spacing w:before="0" w:beforeAutospacing="0" w:after="0" w:afterAutospacing="0" w:line="480" w:lineRule="auto"/>
        <w:ind w:firstLine="720"/>
        <w:rPr>
          <w:color w:val="262626"/>
        </w:rPr>
      </w:pPr>
    </w:p>
    <w:p w14:paraId="0E7AA32C" w14:textId="77777777" w:rsidR="00585EFC" w:rsidRPr="003A2DC4" w:rsidRDefault="00585EFC" w:rsidP="00585EFC">
      <w:pPr>
        <w:pStyle w:val="NormalWeb"/>
        <w:shd w:val="clear" w:color="auto" w:fill="FFFFFF"/>
        <w:spacing w:before="0" w:beforeAutospacing="0" w:after="0" w:afterAutospacing="0" w:line="480" w:lineRule="auto"/>
        <w:jc w:val="center"/>
        <w:rPr>
          <w:color w:val="262626"/>
        </w:rPr>
      </w:pPr>
      <w:r w:rsidRPr="003A2DC4">
        <w:rPr>
          <w:color w:val="262626"/>
        </w:rPr>
        <w:lastRenderedPageBreak/>
        <w:t>References</w:t>
      </w:r>
    </w:p>
    <w:p w14:paraId="11D295F2" w14:textId="77777777" w:rsidR="00585EFC" w:rsidRPr="00585EFC" w:rsidRDefault="00585EFC" w:rsidP="00585EFC">
      <w:pPr>
        <w:pStyle w:val="NormalWeb"/>
        <w:shd w:val="clear" w:color="auto" w:fill="FFFFFF"/>
        <w:spacing w:before="0" w:beforeAutospacing="0" w:after="0" w:afterAutospacing="0" w:line="480" w:lineRule="auto"/>
        <w:ind w:left="720" w:hanging="720"/>
        <w:rPr>
          <w:color w:val="4F81BD" w:themeColor="accent1"/>
        </w:rPr>
      </w:pPr>
      <w:r w:rsidRPr="00585EFC">
        <w:t xml:space="preserve">IBM. (2022). </w:t>
      </w:r>
      <w:r w:rsidRPr="00585EFC">
        <w:rPr>
          <w:rStyle w:val="Emphasis"/>
        </w:rPr>
        <w:t>What are security controls?</w:t>
      </w:r>
      <w:r w:rsidRPr="00585EFC">
        <w:t xml:space="preserve"> </w:t>
      </w:r>
      <w:hyperlink r:id="rId8" w:tgtFrame="_blank" w:history="1">
        <w:r w:rsidRPr="00585EFC">
          <w:rPr>
            <w:rStyle w:val="Hyperlink"/>
            <w:color w:val="4F81BD" w:themeColor="accent1"/>
          </w:rPr>
          <w:t>https://www.ibm.com/topics/security-controls</w:t>
        </w:r>
      </w:hyperlink>
      <w:r w:rsidRPr="00585EFC">
        <w:rPr>
          <w:color w:val="4F81BD" w:themeColor="accent1"/>
        </w:rPr>
        <w:t> </w:t>
      </w:r>
    </w:p>
    <w:p w14:paraId="56CF18EA" w14:textId="77777777" w:rsidR="00585EFC" w:rsidRPr="00585EFC" w:rsidRDefault="00585EFC" w:rsidP="00585EFC">
      <w:pPr>
        <w:pStyle w:val="NormalWeb"/>
        <w:shd w:val="clear" w:color="auto" w:fill="FFFFFF"/>
        <w:spacing w:before="0" w:beforeAutospacing="0" w:after="0" w:afterAutospacing="0" w:line="480" w:lineRule="auto"/>
        <w:ind w:left="720" w:hanging="720"/>
      </w:pPr>
      <w:r w:rsidRPr="00585EFC">
        <w:t xml:space="preserve">Klepper, M. (2019, October 30). </w:t>
      </w:r>
      <w:r w:rsidRPr="00585EFC">
        <w:rPr>
          <w:rStyle w:val="Emphasis"/>
        </w:rPr>
        <w:t>Technical controls to mitigate security risk</w:t>
      </w:r>
      <w:r w:rsidRPr="00585EFC">
        <w:t xml:space="preserve">. </w:t>
      </w:r>
      <w:proofErr w:type="spellStart"/>
      <w:r w:rsidRPr="00585EFC">
        <w:t>Infosecurity</w:t>
      </w:r>
      <w:proofErr w:type="spellEnd"/>
      <w:r w:rsidRPr="00585EFC">
        <w:t xml:space="preserve"> Magazine. </w:t>
      </w:r>
      <w:hyperlink r:id="rId9" w:tgtFrame="_blank" w:history="1">
        <w:r w:rsidRPr="00585EFC">
          <w:rPr>
            <w:rStyle w:val="Hyperlink"/>
            <w:color w:val="4F81BD" w:themeColor="accent1"/>
          </w:rPr>
          <w:t>https://www.infosecurity-magazine.com/blogs/technical-controls-mitigate/</w:t>
        </w:r>
      </w:hyperlink>
    </w:p>
    <w:p w14:paraId="61FBA518" w14:textId="77777777" w:rsidR="00585EFC" w:rsidRPr="00585EFC" w:rsidRDefault="00585EFC" w:rsidP="00585EFC">
      <w:pPr>
        <w:pStyle w:val="NormalWeb"/>
        <w:shd w:val="clear" w:color="auto" w:fill="FFFFFF"/>
        <w:spacing w:before="0" w:beforeAutospacing="0" w:after="0" w:afterAutospacing="0" w:line="480" w:lineRule="auto"/>
        <w:ind w:left="720" w:hanging="720"/>
      </w:pPr>
      <w:r w:rsidRPr="00585EFC">
        <w:t>Manoharan, P., Yin, J., Wang, H., Zhang, Y., &amp; Ye, W. (2023). Insider threat detection using supervised machine learning algorithms. </w:t>
      </w:r>
      <w:r w:rsidRPr="00585EFC">
        <w:rPr>
          <w:rStyle w:val="Emphasis"/>
        </w:rPr>
        <w:t>Telecommunication Systems: Modelling, Analysis, Design and Management</w:t>
      </w:r>
      <w:r w:rsidRPr="00585EFC">
        <w:t xml:space="preserve">, 1–17. </w:t>
      </w:r>
      <w:hyperlink r:id="rId10" w:tgtFrame="_blank" w:history="1">
        <w:r w:rsidRPr="00585EFC">
          <w:rPr>
            <w:rStyle w:val="Hyperlink"/>
            <w:color w:val="4F81BD" w:themeColor="accent1"/>
          </w:rPr>
          <w:t>https://doi.org/10.1007/s11235-023-01085-3</w:t>
        </w:r>
      </w:hyperlink>
    </w:p>
    <w:p w14:paraId="0DF96CA1" w14:textId="77777777" w:rsidR="00585EFC" w:rsidRPr="00585EFC" w:rsidRDefault="00585EFC" w:rsidP="00585EFC">
      <w:pPr>
        <w:pStyle w:val="NormalWeb"/>
        <w:shd w:val="clear" w:color="auto" w:fill="FFFFFF"/>
        <w:spacing w:before="0" w:beforeAutospacing="0" w:after="0" w:afterAutospacing="0" w:line="480" w:lineRule="auto"/>
        <w:ind w:left="720" w:hanging="720"/>
      </w:pPr>
      <w:r w:rsidRPr="00585EFC">
        <w:t xml:space="preserve">Redzepagic, J., </w:t>
      </w:r>
      <w:proofErr w:type="spellStart"/>
      <w:r w:rsidRPr="00585EFC">
        <w:t>Dakic</w:t>
      </w:r>
      <w:proofErr w:type="spellEnd"/>
      <w:r w:rsidRPr="00585EFC">
        <w:t>, V., Stanesic, J., &amp; Basic, M. (2023). Analysis of Password Security Policies and Their Implications on Real-Life Security. </w:t>
      </w:r>
      <w:r w:rsidRPr="00585EFC">
        <w:rPr>
          <w:rStyle w:val="Emphasis"/>
        </w:rPr>
        <w:t>Annals of DAAAM &amp; Proceedings</w:t>
      </w:r>
      <w:r w:rsidRPr="00585EFC">
        <w:t>, </w:t>
      </w:r>
      <w:r w:rsidRPr="00585EFC">
        <w:rPr>
          <w:rStyle w:val="Emphasis"/>
        </w:rPr>
        <w:t>34</w:t>
      </w:r>
      <w:r w:rsidRPr="00585EFC">
        <w:t xml:space="preserve">, 77–81. </w:t>
      </w:r>
      <w:hyperlink r:id="rId11" w:tgtFrame="_blank" w:history="1">
        <w:r w:rsidRPr="00585EFC">
          <w:rPr>
            <w:rStyle w:val="Hyperlink"/>
            <w:color w:val="4F81BD" w:themeColor="accent1"/>
          </w:rPr>
          <w:t>https://doi.org/10.2507/34th.daaam.proceedings.011</w:t>
        </w:r>
      </w:hyperlink>
    </w:p>
    <w:p w14:paraId="0CC8B57B" w14:textId="77777777" w:rsidR="00CA2B28" w:rsidRDefault="00CA2B28" w:rsidP="00CA2B28">
      <w:pPr>
        <w:spacing w:line="480" w:lineRule="auto"/>
        <w:ind w:firstLine="720"/>
      </w:pPr>
    </w:p>
    <w:p w14:paraId="4F6D22AD" w14:textId="55AA04CD" w:rsidR="00CA2B28" w:rsidRDefault="00CA2B28" w:rsidP="00585EFC">
      <w:pPr>
        <w:spacing w:line="480" w:lineRule="auto"/>
      </w:pPr>
    </w:p>
    <w:sectPr w:rsidR="00CA2B28" w:rsidSect="009062C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5B7B" w14:textId="77777777" w:rsidR="009062C9" w:rsidRDefault="009062C9">
      <w:r>
        <w:separator/>
      </w:r>
    </w:p>
  </w:endnote>
  <w:endnote w:type="continuationSeparator" w:id="0">
    <w:p w14:paraId="5F43C1CC" w14:textId="77777777" w:rsidR="009062C9" w:rsidRDefault="0090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1B7B" w14:textId="77777777" w:rsidR="009062C9" w:rsidRDefault="009062C9">
      <w:r>
        <w:separator/>
      </w:r>
    </w:p>
  </w:footnote>
  <w:footnote w:type="continuationSeparator" w:id="0">
    <w:p w14:paraId="29E983A0" w14:textId="77777777" w:rsidR="009062C9" w:rsidRDefault="00906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8AE7" w14:textId="27CD9812" w:rsidR="008B7338" w:rsidRDefault="00585EFC" w:rsidP="005822A3">
    <w:pPr>
      <w:pStyle w:val="Header"/>
    </w:pPr>
    <w:r>
      <w:t>Privacy Assessment</w:t>
    </w:r>
    <w:r w:rsidR="008B7338">
      <w:t xml:space="preserve">  </w:t>
    </w:r>
    <w:r w:rsidR="005822A3">
      <w:t xml:space="preserve">                                                                                            </w:t>
    </w:r>
    <w:r>
      <w:t xml:space="preserve">                       </w:t>
    </w:r>
    <w:r w:rsidR="005822A3">
      <w:t xml:space="preserve">    </w:t>
    </w:r>
    <w:r w:rsidR="008B7338">
      <w:fldChar w:fldCharType="begin"/>
    </w:r>
    <w:r w:rsidR="008B7338">
      <w:instrText xml:space="preserve"> PAGE  \* MERGEFORMAT </w:instrText>
    </w:r>
    <w:r w:rsidR="008B7338">
      <w:fldChar w:fldCharType="separate"/>
    </w:r>
    <w:r w:rsidR="005822A3">
      <w:rPr>
        <w:noProof/>
      </w:rPr>
      <w:t>1</w:t>
    </w:r>
    <w:r w:rsidR="008B733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8"/>
    <w:rsid w:val="000B3F2B"/>
    <w:rsid w:val="002351D7"/>
    <w:rsid w:val="00423331"/>
    <w:rsid w:val="004318A1"/>
    <w:rsid w:val="00533C29"/>
    <w:rsid w:val="005822A3"/>
    <w:rsid w:val="00585EFC"/>
    <w:rsid w:val="00611B3A"/>
    <w:rsid w:val="00657D1C"/>
    <w:rsid w:val="006A7831"/>
    <w:rsid w:val="007E761C"/>
    <w:rsid w:val="008464D4"/>
    <w:rsid w:val="008B7338"/>
    <w:rsid w:val="009062C9"/>
    <w:rsid w:val="00976782"/>
    <w:rsid w:val="009C4C8E"/>
    <w:rsid w:val="00B54966"/>
    <w:rsid w:val="00CA2B28"/>
    <w:rsid w:val="00D65AD6"/>
    <w:rsid w:val="00FD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80CC3"/>
  <w14:defaultImageDpi w14:val="300"/>
  <w15:docId w15:val="{1A2BF1FF-5B69-44F1-8717-8061746A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4C4C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rsid w:val="00F2199C"/>
    <w:pPr>
      <w:tabs>
        <w:tab w:val="center" w:pos="4320"/>
        <w:tab w:val="right" w:pos="8640"/>
      </w:tabs>
    </w:pPr>
  </w:style>
  <w:style w:type="character" w:styleId="Hyperlink">
    <w:name w:val="Hyperlink"/>
    <w:basedOn w:val="DefaultParagraphFont"/>
    <w:uiPriority w:val="99"/>
    <w:unhideWhenUsed/>
    <w:rsid w:val="002351D7"/>
    <w:rPr>
      <w:color w:val="0000FF" w:themeColor="hyperlink"/>
      <w:u w:val="single"/>
    </w:rPr>
  </w:style>
  <w:style w:type="paragraph" w:styleId="NormalWeb">
    <w:name w:val="Normal (Web)"/>
    <w:basedOn w:val="Normal"/>
    <w:uiPriority w:val="99"/>
    <w:unhideWhenUsed/>
    <w:rsid w:val="00585EFC"/>
    <w:pPr>
      <w:spacing w:before="100" w:beforeAutospacing="1" w:after="100" w:afterAutospacing="1"/>
    </w:pPr>
  </w:style>
  <w:style w:type="character" w:styleId="Emphasis">
    <w:name w:val="Emphasis"/>
    <w:basedOn w:val="DefaultParagraphFont"/>
    <w:uiPriority w:val="20"/>
    <w:qFormat/>
    <w:rsid w:val="00585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8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security-contr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507/34th.daaam.proceedings.011" TargetMode="External"/><Relationship Id="rId5" Type="http://schemas.openxmlformats.org/officeDocument/2006/relationships/webSettings" Target="webSettings.xml"/><Relationship Id="rId10" Type="http://schemas.openxmlformats.org/officeDocument/2006/relationships/hyperlink" Target="https://doi.org/10.1007/s11235-023-01085-3" TargetMode="External"/><Relationship Id="rId4" Type="http://schemas.openxmlformats.org/officeDocument/2006/relationships/settings" Target="settings.xml"/><Relationship Id="rId9" Type="http://schemas.openxmlformats.org/officeDocument/2006/relationships/hyperlink" Target="https://www.infosecurity-magazine.com/blogs/technical-controls-mitig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B97-ECE2-CE40-8894-6DAA46F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Running head:  PERSONAL PERSPECTIVE PAPER</vt:lpstr>
    </vt:vector>
  </TitlesOfParts>
  <Manager/>
  <Company/>
  <LinksUpToDate>false</LinksUpToDate>
  <CharactersWithSpaces>4375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PERSONAL PERSPECTIVE PAPER</dc:title>
  <dc:subject/>
  <dc:creator>Steven Evans</dc:creator>
  <cp:keywords/>
  <dc:description/>
  <cp:lastModifiedBy>Nate Ketterlinus</cp:lastModifiedBy>
  <cp:revision>3</cp:revision>
  <dcterms:created xsi:type="dcterms:W3CDTF">2024-03-01T15:42:00Z</dcterms:created>
  <dcterms:modified xsi:type="dcterms:W3CDTF">2024-03-01T15:48:00Z</dcterms:modified>
  <cp:category/>
</cp:coreProperties>
</file>