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355CDE">
        <w:rPr>
          <w:color w:val="E36C0A" w:themeColor="accent6" w:themeShade="BF"/>
        </w:rPr>
        <w:t>1</w:t>
      </w:r>
      <w:r w:rsidR="007C11BF">
        <w:rPr>
          <w:color w:val="E36C0A" w:themeColor="accent6" w:themeShade="BF"/>
        </w:rPr>
        <w:t>0</w:t>
      </w:r>
      <w:r w:rsidR="0047710F">
        <w:rPr>
          <w:color w:val="E36C0A" w:themeColor="accent6" w:themeShade="BF"/>
        </w:rPr>
        <w:t xml:space="preserve">0, </w:t>
      </w:r>
      <w:r w:rsidR="002C1F95">
        <w:rPr>
          <w:color w:val="E36C0A" w:themeColor="accent6" w:themeShade="BF"/>
        </w:rPr>
        <w:t>400</w:t>
      </w:r>
      <w:r w:rsidR="00CF3170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