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74151" w14:textId="77777777" w:rsidR="00791A6F" w:rsidRPr="00B630BE" w:rsidRDefault="00460434" w:rsidP="00F5495F">
      <w:pPr>
        <w:rPr>
          <w:lang w:val="en-US"/>
        </w:rPr>
      </w:pPr>
      <w:r w:rsidRPr="00B630BE">
        <w:rPr>
          <w:lang w:val="en-US"/>
        </w:rPr>
        <w:t xml:space="preserve">A simple demonstration of </w:t>
      </w:r>
      <w:r w:rsidR="00730F00" w:rsidRPr="00B630BE">
        <w:rPr>
          <w:lang w:val="en-US"/>
        </w:rPr>
        <w:t>a bookmark</w:t>
      </w:r>
      <w:r w:rsidR="00791A6F" w:rsidRPr="00B630BE">
        <w:rPr>
          <w:lang w:val="en-US"/>
        </w:rPr>
        <w:t>:</w:t>
      </w:r>
    </w:p>
    <w:p w14:paraId="5431B876" w14:textId="06C8651B" w:rsidR="00730F00" w:rsidRDefault="00730F00" w:rsidP="00F5495F">
      <w:r>
        <w:fldChar w:fldCharType="begin"/>
      </w:r>
      <w:r>
        <w:instrText xml:space="preserve"> m:</w:instrText>
      </w:r>
      <w:r>
        <w:rPr>
          <w:color w:val="E36C0A" w:themeColor="accent6" w:themeShade="BF"/>
        </w:rPr>
        <w:instrText>'Artifact1'.asBookmarkRef('Art1'</w:instrText>
      </w:r>
      <w:r w:rsidR="00B630BE">
        <w:rPr>
          <w:color w:val="E36C0A" w:themeColor="accent6" w:themeShade="BF"/>
        </w:rPr>
        <w:instrText>, true</w:instrText>
      </w:r>
      <w:r>
        <w:rPr>
          <w:color w:val="E36C0A" w:themeColor="accent6" w:themeShade="BF"/>
        </w:rPr>
        <w:instrText>)</w:instrText>
      </w:r>
      <w:r>
        <w:instrText xml:space="preserve"> </w:instrText>
      </w:r>
      <w:r>
        <w:fldChar w:fldCharType="end"/>
      </w:r>
    </w:p>
    <w:p w14:paraId="127E6042" w14:textId="77777777" w:rsidR="00C52979" w:rsidRDefault="00791A6F" w:rsidP="00F5495F">
      <w:r>
        <w:t>End of demonstration.</w:t>
      </w:r>
    </w:p>
    <w:p w14:paraId="153F9234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0BE"/>
    <w:rsid w:val="00B70A7E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50941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2024-08-30T13:51:00Z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