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demonstration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>
        <w:instrText>=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  <w:r w:rsidR="000321D3">
        <w:t xml:space="preserve">The </w:t>
      </w:r>
      <w:r w:rsidR="006E6505">
        <w:t>THEN</w:t>
      </w:r>
      <w:r>
        <w:t xml:space="preserve"> </w:t>
      </w:r>
      <w:proofErr w:type="spellStart"/>
      <w:r>
        <w:t>paragraph</w:t>
      </w:r>
      <w:proofErr w:type="spellEnd"/>
      <w:r>
        <w:t>.</w:t>
      </w: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082F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83143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16</Words>
  <Characters>90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2017-02-22T13:49:00Z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