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0321D3">
      <w:pPr>
        <w:tabs>
          <w:tab w:pos="3119" w:val="left"/>
        </w:tabs>
      </w:pPr>
      <w:proofErr w:type="spellStart"/>
      <w:proofErr w:type="spellEnd"/>
      <w:r>
        <w:t xml:space="preserve">The </w:t>
      </w:r>
      <w:r w:rsidR="00A07687">
        <w:t>ELSE</w:t>
      </w:r>
      <w:r w:rsidR="002A1F2A">
        <w:t xml:space="preserve"> </w:t>
      </w:r>
      <w:r w:rsidR="002A1F2A">
        <w:t>paragraph</w:t>
      </w:r>
      <w:r w:rsidR="002A1F2A"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