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BFC9" w14:textId="77777777"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14:paraId="1F815651" w14:textId="5535D6B8" w:rsidR="001C0E6E" w:rsidRDefault="001C0E6E" w:rsidP="00F5495F">
      <w:pPr>
        <w:rPr>
          <w:lang w:val="en-US"/>
        </w:rPr>
      </w:pPr>
      <w:hyperlink r:id="rId6" w:tooltip="This will open the Obeo website.">
        <w:r>
          <w:rPr>
            <w:lang w:val="en-US"/>
          </w:rPr>
          <w:t>Obeo's website</w:t>
        </w:r>
      </w:hyperlink>
    </w:p>
    <w:p w14:paraId="3FD9222A" w14:textId="77777777" w:rsidR="00C52979" w:rsidRDefault="00791A6F" w:rsidP="00F5495F">
      <w:r>
        <w:t>End of demonstration.</w:t>
      </w:r>
    </w:p>
    <w:p w14:paraId="08007CB4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C68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3899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2023-12-01T09:31:00Z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