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of Fermentabot Meeting w/Blanca Del Noval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 April 2019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Blanca Del Noval - new POC for BCC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bdelnoval@bculinary.com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 Poitrast - POC for OpenAg Fermentabot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BCC: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Expecting at least 1 prototype to test with chefs in Basque and Spain + October 6-9 Conference in San Sebastian (OpenAg participates): https://www.sansebastiangastronomika.com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BCC Goal: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What’s opportunity in real world and market with machines; This will decide whether they’d like to continue working on this project; Use conference and testing as a justification for more funding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OpenAg: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2-3 weeks of continued testing w/all 3 units in Middleton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“Functional” = recipe runs for 72 hours (humidity, temperature, recording and shared to cloud, uses PFC_EDU UI)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Timeline: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May 1 - </w:t>
      </w:r>
      <w:r w:rsidDel="00000000" w:rsidR="00000000" w:rsidRPr="00000000">
        <w:rPr>
          <w:rtl w:val="0"/>
        </w:rPr>
        <w:t xml:space="preserve">Mechanical files already final in GitHub + Documentation drafts packaged together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June 1 - 2 of 3 units shipped + video training to write a recipe (b/c it’s still in JSON, don’t have an editor)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TO 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Blanca to find out if there’s BCC admin support for shipping and customs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Blanca to write an experiment design (exact instructions) and send to OpenAg team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Dan &amp; Blanca - share contact info for companies of interest to support project at MIT (to create project proposal together for MIT)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delnoval@bculinar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