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jc w:val="center"/>
      </w:pPr>
      <w:r>
        <w:rPr>
          <w:rFonts w:ascii="Calibri" w:hAnsi="Calibri"/>
          <w:b/>
          <w:color w:val="004B87"/>
          <w:sz w:val="96"/>
        </w:rPr>
        <w:t>SIGNAL</w:t>
      </w:r>
    </w:p>
    <w:p>
      <w:pPr>
        <w:spacing w:before="80" w:after="0"/>
        <w:jc w:val="center"/>
      </w:pPr>
      <w:r>
        <w:rPr>
          <w:rFonts w:ascii="Calibri" w:hAnsi="Calibri"/>
          <w:color w:val="000000"/>
          <w:sz w:val="48"/>
        </w:rPr>
        <w:t>User Operations Manual</w:t>
      </w:r>
    </w:p>
    <w:p>
      <w:pPr>
        <w:spacing w:before="240" w:after="0"/>
        <w:jc w:val="center"/>
      </w:pPr>
      <w:r>
        <w:rPr>
          <w:rFonts w:ascii="Calibri" w:hAnsi="Calibri"/>
          <w:color w:val="374151"/>
          <w:sz w:val="28"/>
        </w:rPr>
        <w:t>AI-Powered Energy Intelligence Platform</w:t>
      </w:r>
    </w:p>
    <w:p>
      <w:pPr>
        <w:spacing w:before="640"/>
        <w:jc w:val="center"/>
      </w:pPr>
    </w:p>
    <w:p>
      <w:pPr>
        <w:spacing w:after="60"/>
        <w:jc w:val="center"/>
      </w:pPr>
      <w:r>
        <w:rPr>
          <w:rFonts w:ascii="Calibri" w:hAnsi="Calibri"/>
          <w:b/>
          <w:color w:val="000000"/>
          <w:sz w:val="22"/>
        </w:rPr>
        <w:t xml:space="preserve">Organization:  </w:t>
      </w:r>
      <w:r>
        <w:rPr>
          <w:rFonts w:ascii="Calibri" w:hAnsi="Calibri"/>
          <w:color w:val="000000"/>
          <w:sz w:val="22"/>
        </w:rPr>
        <w:t>Shell Energy</w:t>
      </w:r>
    </w:p>
    <w:p>
      <w:pPr>
        <w:spacing w:after="60"/>
        <w:jc w:val="center"/>
      </w:pPr>
      <w:r>
        <w:rPr>
          <w:rFonts w:ascii="Calibri" w:hAnsi="Calibri"/>
          <w:b/>
          <w:color w:val="000000"/>
          <w:sz w:val="22"/>
        </w:rPr>
        <w:t xml:space="preserve">Document Type:  </w:t>
      </w:r>
      <w:r>
        <w:rPr>
          <w:rFonts w:ascii="Calibri" w:hAnsi="Calibri"/>
          <w:color w:val="000000"/>
          <w:sz w:val="22"/>
        </w:rPr>
        <w:t>User Operations Manual</w:t>
      </w:r>
    </w:p>
    <w:p>
      <w:pPr>
        <w:spacing w:after="60"/>
        <w:jc w:val="center"/>
      </w:pPr>
      <w:r>
        <w:rPr>
          <w:rFonts w:ascii="Calibri" w:hAnsi="Calibri"/>
          <w:b/>
          <w:color w:val="000000"/>
          <w:sz w:val="22"/>
        </w:rPr>
        <w:t xml:space="preserve">Version:  </w:t>
      </w:r>
      <w:r>
        <w:rPr>
          <w:rFonts w:ascii="Calibri" w:hAnsi="Calibri"/>
          <w:color w:val="000000"/>
          <w:sz w:val="22"/>
        </w:rPr>
        <w:t>2.0</w:t>
      </w:r>
    </w:p>
    <w:p>
      <w:pPr>
        <w:spacing w:after="60"/>
        <w:jc w:val="center"/>
      </w:pPr>
      <w:r>
        <w:rPr>
          <w:rFonts w:ascii="Calibri" w:hAnsi="Calibri"/>
          <w:b/>
          <w:color w:val="000000"/>
          <w:sz w:val="22"/>
        </w:rPr>
        <w:t xml:space="preserve">Audience:  </w:t>
      </w:r>
      <w:r>
        <w:rPr>
          <w:rFonts w:ascii="Calibri" w:hAnsi="Calibri"/>
          <w:color w:val="000000"/>
          <w:sz w:val="22"/>
        </w:rPr>
        <w:t>Analyst &amp; Executive</w:t>
      </w:r>
    </w:p>
    <w:p>
      <w:pPr>
        <w:spacing w:after="60"/>
        <w:jc w:val="center"/>
      </w:pPr>
      <w:r>
        <w:rPr>
          <w:rFonts w:ascii="Calibri" w:hAnsi="Calibri"/>
          <w:b/>
          <w:color w:val="000000"/>
          <w:sz w:val="22"/>
        </w:rPr>
        <w:t xml:space="preserve">Classification:  </w:t>
      </w:r>
      <w:r>
        <w:rPr>
          <w:rFonts w:ascii="Calibri" w:hAnsi="Calibri"/>
          <w:color w:val="000000"/>
          <w:sz w:val="22"/>
        </w:rPr>
        <w:t>INTERNAL / CONFIDENTIAL</w:t>
      </w:r>
    </w:p>
    <w:p>
      <w:r>
        <w:br w:type="page"/>
      </w:r>
    </w:p>
    <w:p>
      <w:pPr>
        <w:pStyle w:val="Heading1"/>
      </w:pPr>
      <w:r>
        <w:t>Table of Contents</w:t>
      </w:r>
    </w:p>
    <w:p>
      <w:pPr>
        <w:spacing w:after="60"/>
      </w:pPr>
      <w:r>
        <w:rPr>
          <w:rFonts w:ascii="Calibri" w:hAnsi="Calibri"/>
          <w:color w:val="000000"/>
          <w:sz w:val="22"/>
        </w:rPr>
        <w:t>1.  System Overview</w:t>
      </w:r>
    </w:p>
    <w:p>
      <w:pPr>
        <w:spacing w:after="60"/>
      </w:pPr>
      <w:r>
        <w:rPr>
          <w:rFonts w:ascii="Calibri" w:hAnsi="Calibri"/>
          <w:color w:val="000000"/>
          <w:sz w:val="22"/>
        </w:rPr>
        <w:t>2.  Getting Started</w:t>
      </w:r>
    </w:p>
    <w:p>
      <w:pPr>
        <w:spacing w:after="60"/>
      </w:pPr>
      <w:r>
        <w:rPr>
          <w:rFonts w:ascii="Calibri" w:hAnsi="Calibri"/>
          <w:color w:val="000000"/>
          <w:sz w:val="22"/>
        </w:rPr>
        <w:t>3.  Dashboard Walkthrough</w:t>
      </w:r>
    </w:p>
    <w:p>
      <w:pPr>
        <w:spacing w:after="60"/>
      </w:pPr>
      <w:r>
        <w:rPr>
          <w:rFonts w:ascii="Calibri" w:hAnsi="Calibri"/>
          <w:color w:val="000000"/>
          <w:sz w:val="22"/>
        </w:rPr>
        <w:t>4.  Intelligence Feed</w:t>
      </w:r>
    </w:p>
    <w:p>
      <w:pPr>
        <w:spacing w:after="60"/>
      </w:pPr>
      <w:r>
        <w:rPr>
          <w:rFonts w:ascii="Calibri" w:hAnsi="Calibri"/>
          <w:color w:val="000000"/>
          <w:sz w:val="22"/>
        </w:rPr>
        <w:t>5.  Commodity View</w:t>
      </w:r>
    </w:p>
    <w:p>
      <w:pPr>
        <w:spacing w:after="60"/>
      </w:pPr>
      <w:r>
        <w:rPr>
          <w:rFonts w:ascii="Calibri" w:hAnsi="Calibri"/>
          <w:color w:val="000000"/>
          <w:sz w:val="22"/>
        </w:rPr>
        <w:t>6.  Analytics</w:t>
      </w:r>
    </w:p>
    <w:p>
      <w:pPr>
        <w:spacing w:after="60"/>
      </w:pPr>
      <w:r>
        <w:rPr>
          <w:rFonts w:ascii="Calibri" w:hAnsi="Calibri"/>
          <w:color w:val="000000"/>
          <w:sz w:val="22"/>
        </w:rPr>
        <w:t>7.  AI Models Explained</w:t>
      </w:r>
    </w:p>
    <w:p>
      <w:pPr>
        <w:spacing w:after="60"/>
      </w:pPr>
      <w:r>
        <w:rPr>
          <w:rFonts w:ascii="Calibri" w:hAnsi="Calibri"/>
          <w:color w:val="000000"/>
          <w:sz w:val="22"/>
        </w:rPr>
        <w:t>8.  Price Forecast</w:t>
      </w:r>
    </w:p>
    <w:p>
      <w:pPr>
        <w:spacing w:after="60"/>
      </w:pPr>
      <w:r>
        <w:rPr>
          <w:rFonts w:ascii="Calibri" w:hAnsi="Calibri"/>
          <w:color w:val="000000"/>
          <w:sz w:val="22"/>
        </w:rPr>
        <w:t>9.  Interpreting Signals</w:t>
      </w:r>
    </w:p>
    <w:p>
      <w:pPr>
        <w:spacing w:after="60"/>
      </w:pPr>
      <w:r>
        <w:rPr>
          <w:rFonts w:ascii="Calibri" w:hAnsi="Calibri"/>
          <w:color w:val="000000"/>
          <w:sz w:val="22"/>
        </w:rPr>
        <w:t>10.  Use Cases</w:t>
      </w:r>
    </w:p>
    <w:p>
      <w:pPr>
        <w:spacing w:after="60"/>
      </w:pPr>
      <w:r>
        <w:rPr>
          <w:rFonts w:ascii="Calibri" w:hAnsi="Calibri"/>
          <w:color w:val="000000"/>
          <w:sz w:val="22"/>
        </w:rPr>
        <w:t>11.  Best Practices</w:t>
      </w:r>
    </w:p>
    <w:p>
      <w:pPr>
        <w:spacing w:after="60"/>
      </w:pPr>
      <w:r>
        <w:rPr>
          <w:rFonts w:ascii="Calibri" w:hAnsi="Calibri"/>
          <w:color w:val="000000"/>
          <w:sz w:val="22"/>
        </w:rPr>
        <w:t>12.  Settings &amp; Configuration</w:t>
      </w:r>
    </w:p>
    <w:p>
      <w:pPr>
        <w:spacing w:after="60"/>
      </w:pPr>
      <w:r>
        <w:rPr>
          <w:rFonts w:ascii="Calibri" w:hAnsi="Calibri"/>
          <w:color w:val="000000"/>
          <w:sz w:val="22"/>
        </w:rPr>
        <w:t>13.  Conclusion</w:t>
      </w:r>
    </w:p>
    <w:p>
      <w:pPr>
        <w:spacing w:after="60"/>
      </w:pPr>
      <w:r>
        <w:rPr>
          <w:rFonts w:ascii="Calibri" w:hAnsi="Calibri"/>
          <w:color w:val="000000"/>
          <w:sz w:val="22"/>
        </w:rPr>
        <w:t>14.  Troubleshooting</w:t>
      </w:r>
    </w:p>
    <w:p>
      <w:r>
        <w:br w:type="page"/>
      </w:r>
    </w:p>
    <w:p>
      <w:pPr>
        <w:pStyle w:val="Heading1"/>
      </w:pPr>
      <w:r>
        <w:t>1.  System Overview</w:t>
      </w:r>
    </w:p>
    <w:p>
      <w:pPr>
        <w:pStyle w:val="Heading2"/>
      </w:pPr>
      <w:r>
        <w:t>1.1  What SIGNAL Does</w:t>
      </w:r>
    </w:p>
    <w:p>
      <w:pPr/>
      <w:r>
        <w:rPr>
          <w:rFonts w:ascii="Calibri" w:hAnsi="Calibri"/>
          <w:b w:val="0"/>
          <w:color w:val="000000"/>
          <w:sz w:val="22"/>
        </w:rPr>
        <w:t>SIGNAL (System for Intelligent Geopolitical News and Asset Linking) is Shell Energy's enterprise crude oil market intelligence platform. It ingests real-time geopolitical news, applies natural language processing (NLP) sentiment analysis, and runs two purpose-built machine-learning models to deliver actionable price-direction and price-level signals to traders, analysts, and executives.</w:t>
      </w:r>
    </w:p>
    <w:p>
      <w:pPr/>
      <w:r>
        <w:rPr>
          <w:rFonts w:ascii="Calibri" w:hAnsi="Calibri"/>
          <w:b w:val="0"/>
          <w:color w:val="000000"/>
          <w:sz w:val="22"/>
        </w:rPr>
        <w:t>SIGNAL is a decision-support system — not an autonomous trading engine. It augments human judgment with data-driven intelligence, enabling faster and more informed responses to market-moving events.</w:t>
      </w:r>
    </w:p>
    <w:p>
      <w:pPr>
        <w:pStyle w:val="Heading2"/>
      </w:pPr>
      <w:r>
        <w:t>1.2  Dual-Engine Architecture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E3A5F"/>
            <w:vAlign w:val="center"/>
          </w:tcPr>
          <w:p>
            <w:pPr>
              <w:jc w:val="left"/>
            </w:pPr>
            <w:r>
              <w:rPr>
                <w:rFonts w:ascii="Calibri" w:hAnsi="Calibri"/>
                <w:b/>
                <w:color w:val="FFFFFF"/>
                <w:sz w:val="20"/>
              </w:rPr>
              <w:t>Engine</w:t>
            </w:r>
          </w:p>
        </w:tc>
        <w:tc>
          <w:tcPr>
            <w:tcW w:type="dxa" w:w="3024"/>
            <w:shd w:val="clear" w:color="auto" w:fill="1E3A5F"/>
            <w:vAlign w:val="center"/>
          </w:tcPr>
          <w:p>
            <w:pPr>
              <w:jc w:val="left"/>
            </w:pPr>
            <w:r>
              <w:rPr>
                <w:rFonts w:ascii="Calibri" w:hAnsi="Calibri"/>
                <w:b/>
                <w:color w:val="FFFFFF"/>
                <w:sz w:val="20"/>
              </w:rPr>
              <w:t>Type</w:t>
            </w:r>
          </w:p>
        </w:tc>
        <w:tc>
          <w:tcPr>
            <w:tcW w:type="dxa" w:w="2880"/>
            <w:shd w:val="clear" w:color="auto" w:fill="1E3A5F"/>
            <w:vAlign w:val="center"/>
          </w:tcPr>
          <w:p>
            <w:pPr>
              <w:jc w:val="left"/>
            </w:pPr>
            <w:r>
              <w:rPr>
                <w:rFonts w:ascii="Calibri" w:hAnsi="Calibri"/>
                <w:b/>
                <w:color w:val="FFFFFF"/>
                <w:sz w:val="20"/>
              </w:rPr>
              <w:t>Output</w:t>
            </w:r>
          </w:p>
        </w:tc>
        <w:tc>
          <w:tcPr>
            <w:tcW w:type="dxa" w:w="3024"/>
            <w:shd w:val="clear" w:color="auto" w:fill="1E3A5F"/>
            <w:vAlign w:val="center"/>
          </w:tcPr>
          <w:p>
            <w:pPr>
              <w:jc w:val="left"/>
            </w:pPr>
            <w:r>
              <w:rPr>
                <w:rFonts w:ascii="Calibri" w:hAnsi="Calibri"/>
                <w:b/>
                <w:color w:val="FFFFFF"/>
                <w:sz w:val="20"/>
              </w:rPr>
              <w:t>Performance</w:t>
            </w:r>
          </w:p>
        </w:tc>
      </w:tr>
      <w:tr>
        <w:tc>
          <w:tcPr>
            <w:tcW w:type="dxa" w:w="2592"/>
            <w:shd w:val="clear" w:color="auto" w:fill="F9FAFB"/>
          </w:tcPr>
          <w:p>
            <w:r>
              <w:rPr>
                <w:rFonts w:ascii="Calibri" w:hAnsi="Calibri"/>
                <w:color w:val="000000"/>
                <w:sz w:val="20"/>
              </w:rPr>
              <w:t>Direction Signal Engine</w:t>
            </w:r>
          </w:p>
        </w:tc>
        <w:tc>
          <w:tcPr>
            <w:tcW w:type="dxa" w:w="3024"/>
            <w:shd w:val="clear" w:color="auto" w:fill="F9FAFB"/>
          </w:tcPr>
          <w:p>
            <w:r>
              <w:rPr>
                <w:rFonts w:ascii="Calibri" w:hAnsi="Calibri"/>
                <w:color w:val="000000"/>
                <w:sz w:val="20"/>
              </w:rPr>
              <w:t>Classification</w:t>
              <w:br/>
              <w:t>(Random Forest + XGBoost)</w:t>
            </w:r>
          </w:p>
        </w:tc>
        <w:tc>
          <w:tcPr>
            <w:tcW w:type="dxa" w:w="2880"/>
            <w:shd w:val="clear" w:color="auto" w:fill="F9FAFB"/>
          </w:tcPr>
          <w:p>
            <w:r>
              <w:rPr>
                <w:rFonts w:ascii="Calibri" w:hAnsi="Calibri"/>
                <w:color w:val="000000"/>
                <w:sz w:val="20"/>
              </w:rPr>
              <w:t>UP ▲ / DOWN ▼ + confidence probability</w:t>
            </w:r>
          </w:p>
        </w:tc>
        <w:tc>
          <w:tcPr>
            <w:tcW w:type="dxa" w:w="3024"/>
            <w:shd w:val="clear" w:color="auto" w:fill="F9FAFB"/>
          </w:tcPr>
          <w:p>
            <w:r>
              <w:rPr>
                <w:rFonts w:ascii="Calibri" w:hAnsi="Calibri"/>
                <w:color w:val="000000"/>
                <w:sz w:val="20"/>
              </w:rPr>
              <w:t>81.5% accuracy on holdout test set</w:t>
            </w:r>
          </w:p>
        </w:tc>
      </w:tr>
      <w:tr>
        <w:tc>
          <w:tcPr>
            <w:tcW w:type="dxa" w:w="2592"/>
            <w:shd w:val="clear" w:color="auto" w:fill="FFFFFF"/>
          </w:tcPr>
          <w:p>
            <w:r>
              <w:rPr>
                <w:rFonts w:ascii="Calibri" w:hAnsi="Calibri"/>
                <w:color w:val="000000"/>
                <w:sz w:val="20"/>
              </w:rPr>
              <w:t>Price Forecast Engine</w:t>
            </w:r>
          </w:p>
        </w:tc>
        <w:tc>
          <w:tcPr>
            <w:tcW w:type="dxa" w:w="3024"/>
            <w:shd w:val="clear" w:color="auto" w:fill="FFFFFF"/>
          </w:tcPr>
          <w:p>
            <w:r>
              <w:rPr>
                <w:rFonts w:ascii="Calibri" w:hAnsi="Calibri"/>
                <w:color w:val="000000"/>
                <w:sz w:val="20"/>
              </w:rPr>
              <w:t>Regression</w:t>
              <w:br/>
              <w:t>(Stacking: Ridge + HistGBM + LightGBM → RidgeCV)</w:t>
            </w:r>
          </w:p>
        </w:tc>
        <w:tc>
          <w:tcPr>
            <w:tcW w:type="dxa" w:w="2880"/>
            <w:shd w:val="clear" w:color="auto" w:fill="FFFFFF"/>
          </w:tcPr>
          <w:p>
            <w:r>
              <w:rPr>
                <w:rFonts w:ascii="Calibri" w:hAnsi="Calibri"/>
                <w:color w:val="000000"/>
                <w:sz w:val="20"/>
              </w:rPr>
              <w:t>Next-day WTI price in $/bbl</w:t>
            </w:r>
          </w:p>
        </w:tc>
        <w:tc>
          <w:tcPr>
            <w:tcW w:type="dxa" w:w="3024"/>
            <w:shd w:val="clear" w:color="auto" w:fill="FFFFFF"/>
          </w:tcPr>
          <w:p>
            <w:r>
              <w:rPr>
                <w:rFonts w:ascii="Calibri" w:hAnsi="Calibri"/>
                <w:color w:val="000000"/>
                <w:sz w:val="20"/>
              </w:rPr>
              <w:t>RMSE $2.07/bbl  |  R² 0.953  |  MAPE ~2.5%</w:t>
            </w:r>
          </w:p>
        </w:tc>
      </w:tr>
    </w:tbl>
    <w:p/>
    <w:p>
      <w:pPr>
        <w:spacing w:before="120" w:after="120"/>
        <w:shd w:val="clear" w:color="auto" w:fill="DBEAFE"/>
        <w:pBdr>
          <w:top w:val="single" w:sz="6" w:space="4" w:color="93C5FD"/>
          <w:left w:val="single" w:sz="6" w:space="4" w:color="93C5FD"/>
          <w:bottom w:val="single" w:sz="6" w:space="4" w:color="93C5FD"/>
          <w:right w:val="single" w:sz="6" w:space="4" w:color="93C5FD"/>
        </w:pBdr>
      </w:pPr>
      <w:r>
        <w:rPr>
          <w:rFonts w:ascii="Calibri" w:hAnsi="Calibri"/>
          <w:b/>
          <w:color w:val="1F2D3D"/>
          <w:sz w:val="22"/>
        </w:rPr>
        <w:t xml:space="preserve">Key Principle:  </w:t>
      </w:r>
      <w:r>
        <w:rPr>
          <w:rFonts w:ascii="Calibri" w:hAnsi="Calibri"/>
          <w:color w:val="000000"/>
          <w:sz w:val="22"/>
        </w:rPr>
        <w:t>Both engines run daily after market close. Results publish to the dashboard the following morning, giving users overnight intelligence before trading opens.</w:t>
      </w:r>
    </w:p>
    <w:p>
      <w:r>
        <w:br w:type="page"/>
      </w:r>
    </w:p>
    <w:p>
      <w:pPr>
        <w:pStyle w:val="Heading1"/>
      </w:pPr>
      <w:r>
        <w:t>2.  Getting Started</w:t>
      </w:r>
    </w:p>
    <w:p>
      <w:pPr>
        <w:pStyle w:val="Heading2"/>
      </w:pPr>
      <w:r>
        <w:t>2.1  Login Process</w:t>
      </w:r>
    </w:p>
    <w:p>
      <w:pPr/>
      <w:r>
        <w:rPr>
          <w:rFonts w:ascii="Calibri" w:hAnsi="Calibri"/>
          <w:b w:val="0"/>
          <w:color w:val="000000"/>
          <w:sz w:val="22"/>
        </w:rPr>
        <w:t>Navigate to the SIGNAL URL provided by your system administrator. Enter your registered email address and password, then click Access SIGNAL.</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Login Screen — Email / Password / Access SIGNAL button ]</w:t>
      </w:r>
    </w:p>
    <w:p>
      <w:pPr>
        <w:pStyle w:val="Heading2"/>
      </w:pPr>
      <w:r>
        <w:t>2.2  Registration</w:t>
      </w:r>
    </w:p>
    <w:p>
      <w:pPr/>
      <w:r>
        <w:rPr>
          <w:rFonts w:ascii="Calibri" w:hAnsi="Calibri"/>
          <w:b w:val="0"/>
          <w:color w:val="000000"/>
          <w:sz w:val="22"/>
        </w:rPr>
        <w:t>New users click Create Account on the login page. Complete the registration form with your full name, email address, a secure password, and your role access code issued by your Shell Energy administrator.</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Registration Screen — New Account Form with Access Code field ]</w:t>
      </w:r>
    </w:p>
    <w:p>
      <w:pPr>
        <w:pStyle w:val="Heading2"/>
      </w:pPr>
      <w:r>
        <w:t>2.3  Role-Based Access Control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1E3A5F"/>
            <w:vAlign w:val="center"/>
          </w:tcPr>
          <w:p>
            <w:pPr>
              <w:jc w:val="left"/>
            </w:pPr>
            <w:r>
              <w:rPr>
                <w:rFonts w:ascii="Calibri" w:hAnsi="Calibri"/>
                <w:b/>
                <w:color w:val="FFFFFF"/>
                <w:sz w:val="20"/>
              </w:rPr>
              <w:t>Role</w:t>
            </w:r>
          </w:p>
        </w:tc>
        <w:tc>
          <w:tcPr>
            <w:tcW w:type="dxa" w:w="1872"/>
            <w:shd w:val="clear" w:color="auto" w:fill="1E3A5F"/>
            <w:vAlign w:val="center"/>
          </w:tcPr>
          <w:p>
            <w:pPr>
              <w:jc w:val="left"/>
            </w:pPr>
            <w:r>
              <w:rPr>
                <w:rFonts w:ascii="Calibri" w:hAnsi="Calibri"/>
                <w:b/>
                <w:color w:val="FFFFFF"/>
                <w:sz w:val="20"/>
              </w:rPr>
              <w:t>Access Code</w:t>
            </w:r>
          </w:p>
        </w:tc>
        <w:tc>
          <w:tcPr>
            <w:tcW w:type="dxa" w:w="4032"/>
            <w:shd w:val="clear" w:color="auto" w:fill="1E3A5F"/>
            <w:vAlign w:val="center"/>
          </w:tcPr>
          <w:p>
            <w:pPr>
              <w:jc w:val="left"/>
            </w:pPr>
            <w:r>
              <w:rPr>
                <w:rFonts w:ascii="Calibri" w:hAnsi="Calibri"/>
                <w:b/>
                <w:color w:val="FFFFFF"/>
                <w:sz w:val="20"/>
              </w:rPr>
              <w:t>Pages Available</w:t>
            </w:r>
          </w:p>
        </w:tc>
        <w:tc>
          <w:tcPr>
            <w:tcW w:type="dxa" w:w="4176"/>
            <w:shd w:val="clear" w:color="auto" w:fill="1E3A5F"/>
            <w:vAlign w:val="center"/>
          </w:tcPr>
          <w:p>
            <w:pPr>
              <w:jc w:val="left"/>
            </w:pPr>
            <w:r>
              <w:rPr>
                <w:rFonts w:ascii="Calibri" w:hAnsi="Calibri"/>
                <w:b/>
                <w:color w:val="FFFFFF"/>
                <w:sz w:val="20"/>
              </w:rPr>
              <w:t>Special Features</w:t>
            </w:r>
          </w:p>
        </w:tc>
      </w:tr>
      <w:tr>
        <w:tc>
          <w:tcPr>
            <w:tcW w:type="dxa" w:w="1440"/>
            <w:shd w:val="clear" w:color="auto" w:fill="F9FAFB"/>
          </w:tcPr>
          <w:p>
            <w:r>
              <w:rPr>
                <w:rFonts w:ascii="Calibri" w:hAnsi="Calibri"/>
                <w:color w:val="000000"/>
                <w:sz w:val="20"/>
              </w:rPr>
              <w:t>Analyst</w:t>
            </w:r>
          </w:p>
        </w:tc>
        <w:tc>
          <w:tcPr>
            <w:tcW w:type="dxa" w:w="1872"/>
            <w:shd w:val="clear" w:color="auto" w:fill="F9FAFB"/>
          </w:tcPr>
          <w:p>
            <w:r>
              <w:rPr>
                <w:rFonts w:ascii="Calibri" w:hAnsi="Calibri"/>
                <w:color w:val="000000"/>
                <w:sz w:val="20"/>
              </w:rPr>
              <w:t>SIGNAL-ANL-01</w:t>
            </w:r>
          </w:p>
        </w:tc>
        <w:tc>
          <w:tcPr>
            <w:tcW w:type="dxa" w:w="4032"/>
            <w:shd w:val="clear" w:color="auto" w:fill="F9FAFB"/>
          </w:tcPr>
          <w:p>
            <w:r>
              <w:rPr>
                <w:rFonts w:ascii="Calibri" w:hAnsi="Calibri"/>
                <w:color w:val="000000"/>
                <w:sz w:val="20"/>
              </w:rPr>
              <w:t>Command Center, Intelligence Feed, Commodity View, Analytics, Direction Model, Price Forecast, Settings</w:t>
            </w:r>
          </w:p>
        </w:tc>
        <w:tc>
          <w:tcPr>
            <w:tcW w:type="dxa" w:w="4176"/>
            <w:shd w:val="clear" w:color="auto" w:fill="F9FAFB"/>
          </w:tcPr>
          <w:p>
            <w:r>
              <w:rPr>
                <w:rFonts w:ascii="Calibri" w:hAnsi="Calibri"/>
                <w:color w:val="000000"/>
                <w:sz w:val="20"/>
              </w:rPr>
              <w:t>Standard dashboard access</w:t>
            </w:r>
          </w:p>
        </w:tc>
      </w:tr>
      <w:tr>
        <w:tc>
          <w:tcPr>
            <w:tcW w:type="dxa" w:w="1440"/>
            <w:shd w:val="clear" w:color="auto" w:fill="FFFFFF"/>
          </w:tcPr>
          <w:p>
            <w:r>
              <w:rPr>
                <w:rFonts w:ascii="Calibri" w:hAnsi="Calibri"/>
                <w:color w:val="000000"/>
                <w:sz w:val="20"/>
              </w:rPr>
              <w:t>Executive</w:t>
            </w:r>
          </w:p>
        </w:tc>
        <w:tc>
          <w:tcPr>
            <w:tcW w:type="dxa" w:w="1872"/>
            <w:shd w:val="clear" w:color="auto" w:fill="FFFFFF"/>
          </w:tcPr>
          <w:p>
            <w:r>
              <w:rPr>
                <w:rFonts w:ascii="Calibri" w:hAnsi="Calibri"/>
                <w:color w:val="000000"/>
                <w:sz w:val="20"/>
              </w:rPr>
              <w:t>SIGNAL-EXEC-01</w:t>
            </w:r>
          </w:p>
        </w:tc>
        <w:tc>
          <w:tcPr>
            <w:tcW w:type="dxa" w:w="4032"/>
            <w:shd w:val="clear" w:color="auto" w:fill="FFFFFF"/>
          </w:tcPr>
          <w:p>
            <w:r>
              <w:rPr>
                <w:rFonts w:ascii="Calibri" w:hAnsi="Calibri"/>
                <w:color w:val="000000"/>
                <w:sz w:val="20"/>
              </w:rPr>
              <w:t>All Analyst pages + executive onboarding flow</w:t>
            </w:r>
          </w:p>
        </w:tc>
        <w:tc>
          <w:tcPr>
            <w:tcW w:type="dxa" w:w="4176"/>
            <w:shd w:val="clear" w:color="auto" w:fill="FFFFFF"/>
          </w:tcPr>
          <w:p>
            <w:r>
              <w:rPr>
                <w:rFonts w:ascii="Calibri" w:hAnsi="Calibri"/>
                <w:color w:val="000000"/>
                <w:sz w:val="20"/>
              </w:rPr>
              <w:t>Gold EXEC badge in sidebar; Strategic briefing; Escalation protocols; Priority alerts</w:t>
            </w:r>
          </w:p>
        </w:tc>
      </w:tr>
      <w:tr>
        <w:tc>
          <w:tcPr>
            <w:tcW w:type="dxa" w:w="1440"/>
            <w:shd w:val="clear" w:color="auto" w:fill="F9FAFB"/>
          </w:tcPr>
          <w:p>
            <w:r>
              <w:rPr>
                <w:rFonts w:ascii="Calibri" w:hAnsi="Calibri"/>
                <w:color w:val="000000"/>
                <w:sz w:val="20"/>
              </w:rPr>
              <w:t>Viewer</w:t>
            </w:r>
          </w:p>
        </w:tc>
        <w:tc>
          <w:tcPr>
            <w:tcW w:type="dxa" w:w="1872"/>
            <w:shd w:val="clear" w:color="auto" w:fill="F9FAFB"/>
          </w:tcPr>
          <w:p>
            <w:r>
              <w:rPr>
                <w:rFonts w:ascii="Calibri" w:hAnsi="Calibri"/>
                <w:color w:val="000000"/>
                <w:sz w:val="20"/>
              </w:rPr>
              <w:t>(no code required)</w:t>
            </w:r>
          </w:p>
        </w:tc>
        <w:tc>
          <w:tcPr>
            <w:tcW w:type="dxa" w:w="4032"/>
            <w:shd w:val="clear" w:color="auto" w:fill="F9FAFB"/>
          </w:tcPr>
          <w:p>
            <w:r>
              <w:rPr>
                <w:rFonts w:ascii="Calibri" w:hAnsi="Calibri"/>
                <w:color w:val="000000"/>
                <w:sz w:val="20"/>
              </w:rPr>
              <w:t>Command Center + Intelligence Feed (read-only)</w:t>
            </w:r>
          </w:p>
        </w:tc>
        <w:tc>
          <w:tcPr>
            <w:tcW w:type="dxa" w:w="4176"/>
            <w:shd w:val="clear" w:color="auto" w:fill="F9FAFB"/>
          </w:tcPr>
          <w:p>
            <w:r>
              <w:rPr>
                <w:rFonts w:ascii="Calibri" w:hAnsi="Calibri"/>
                <w:color w:val="000000"/>
                <w:sz w:val="20"/>
              </w:rPr>
              <w:t>No model or configuration access</w:t>
            </w:r>
          </w:p>
        </w:tc>
      </w:tr>
    </w:tbl>
    <w:p/>
    <w:p>
      <w:pPr>
        <w:pStyle w:val="Heading2"/>
      </w:pPr>
      <w:r>
        <w:t>2.4  Onboarding Flow</w:t>
      </w:r>
    </w:p>
    <w:p>
      <w:pPr/>
      <w:r>
        <w:rPr>
          <w:rFonts w:ascii="Calibri" w:hAnsi="Calibri"/>
          <w:b w:val="0"/>
          <w:color w:val="000000"/>
          <w:sz w:val="22"/>
        </w:rPr>
        <w:t>All new users complete a guided onboarding sequence before accessing the full dashboard. The steps differ by role:</w:t>
      </w:r>
    </w:p>
    <w:tbl>
      <w:tblPr>
        <w:tblStyle w:val="TableGrid"/>
        <w:tblW w:type="auto" w:w="0"/>
        <w:jc w:val="left"/>
        <w:tblLook w:firstColumn="1" w:firstRow="1" w:lastColumn="0" w:lastRow="0" w:noHBand="0" w:noVBand="1" w:val="04A0"/>
      </w:tblPr>
      <w:tblGrid>
        <w:gridCol w:w="3120"/>
        <w:gridCol w:w="3120"/>
        <w:gridCol w:w="3120"/>
      </w:tblGrid>
      <w:tr>
        <w:tc>
          <w:tcPr>
            <w:tcW w:type="dxa" w:w="720"/>
            <w:shd w:val="clear" w:color="auto" w:fill="1E3A5F"/>
            <w:vAlign w:val="center"/>
          </w:tcPr>
          <w:p>
            <w:pPr>
              <w:jc w:val="left"/>
            </w:pPr>
            <w:r>
              <w:rPr>
                <w:rFonts w:ascii="Calibri" w:hAnsi="Calibri"/>
                <w:b/>
                <w:color w:val="FFFFFF"/>
                <w:sz w:val="20"/>
              </w:rPr>
              <w:t>Step</w:t>
            </w:r>
          </w:p>
        </w:tc>
        <w:tc>
          <w:tcPr>
            <w:tcW w:type="dxa" w:w="4680"/>
            <w:shd w:val="clear" w:color="auto" w:fill="1E3A5F"/>
            <w:vAlign w:val="center"/>
          </w:tcPr>
          <w:p>
            <w:pPr>
              <w:jc w:val="left"/>
            </w:pPr>
            <w:r>
              <w:rPr>
                <w:rFonts w:ascii="Calibri" w:hAnsi="Calibri"/>
                <w:b/>
                <w:color w:val="FFFFFF"/>
                <w:sz w:val="20"/>
              </w:rPr>
              <w:t>Analyst (5 Steps)</w:t>
            </w:r>
          </w:p>
        </w:tc>
        <w:tc>
          <w:tcPr>
            <w:tcW w:type="dxa" w:w="4680"/>
            <w:shd w:val="clear" w:color="auto" w:fill="1E3A5F"/>
            <w:vAlign w:val="center"/>
          </w:tcPr>
          <w:p>
            <w:pPr>
              <w:jc w:val="left"/>
            </w:pPr>
            <w:r>
              <w:rPr>
                <w:rFonts w:ascii="Calibri" w:hAnsi="Calibri"/>
                <w:b/>
                <w:color w:val="FFFFFF"/>
                <w:sz w:val="20"/>
              </w:rPr>
              <w:t>Executive (6 Steps)</w:t>
            </w:r>
          </w:p>
        </w:tc>
      </w:tr>
      <w:tr>
        <w:tc>
          <w:tcPr>
            <w:tcW w:type="dxa" w:w="720"/>
            <w:shd w:val="clear" w:color="auto" w:fill="F9FAFB"/>
          </w:tcPr>
          <w:p>
            <w:r>
              <w:rPr>
                <w:rFonts w:ascii="Calibri" w:hAnsi="Calibri"/>
                <w:color w:val="000000"/>
                <w:sz w:val="20"/>
              </w:rPr>
              <w:t>1</w:t>
            </w:r>
          </w:p>
        </w:tc>
        <w:tc>
          <w:tcPr>
            <w:tcW w:type="dxa" w:w="4680"/>
            <w:shd w:val="clear" w:color="auto" w:fill="F9FAFB"/>
          </w:tcPr>
          <w:p>
            <w:r>
              <w:rPr>
                <w:rFonts w:ascii="Calibri" w:hAnsi="Calibri"/>
                <w:color w:val="000000"/>
                <w:sz w:val="20"/>
              </w:rPr>
              <w:t>Welcome &amp; platform overview</w:t>
            </w:r>
          </w:p>
        </w:tc>
        <w:tc>
          <w:tcPr>
            <w:tcW w:type="dxa" w:w="4680"/>
            <w:shd w:val="clear" w:color="auto" w:fill="F9FAFB"/>
          </w:tcPr>
          <w:p>
            <w:r>
              <w:rPr>
                <w:rFonts w:ascii="Calibri" w:hAnsi="Calibri"/>
                <w:color w:val="000000"/>
                <w:sz w:val="20"/>
              </w:rPr>
              <w:t>Cinematic security verification</w:t>
            </w:r>
          </w:p>
        </w:tc>
      </w:tr>
      <w:tr>
        <w:tc>
          <w:tcPr>
            <w:tcW w:type="dxa" w:w="720"/>
            <w:shd w:val="clear" w:color="auto" w:fill="FFFFFF"/>
          </w:tcPr>
          <w:p>
            <w:r>
              <w:rPr>
                <w:rFonts w:ascii="Calibri" w:hAnsi="Calibri"/>
                <w:color w:val="000000"/>
                <w:sz w:val="20"/>
              </w:rPr>
              <w:t>2</w:t>
            </w:r>
          </w:p>
        </w:tc>
        <w:tc>
          <w:tcPr>
            <w:tcW w:type="dxa" w:w="4680"/>
            <w:shd w:val="clear" w:color="auto" w:fill="FFFFFF"/>
          </w:tcPr>
          <w:p>
            <w:r>
              <w:rPr>
                <w:rFonts w:ascii="Calibri" w:hAnsi="Calibri"/>
                <w:color w:val="000000"/>
                <w:sz w:val="20"/>
              </w:rPr>
              <w:t>Alert threshold configuration</w:t>
            </w:r>
          </w:p>
        </w:tc>
        <w:tc>
          <w:tcPr>
            <w:tcW w:type="dxa" w:w="4680"/>
            <w:shd w:val="clear" w:color="auto" w:fill="FFFFFF"/>
          </w:tcPr>
          <w:p>
            <w:r>
              <w:rPr>
                <w:rFonts w:ascii="Calibri" w:hAnsi="Calibri"/>
                <w:color w:val="000000"/>
                <w:sz w:val="20"/>
              </w:rPr>
              <w:t>Strategic briefing with live KPI data</w:t>
            </w:r>
          </w:p>
        </w:tc>
      </w:tr>
      <w:tr>
        <w:tc>
          <w:tcPr>
            <w:tcW w:type="dxa" w:w="720"/>
            <w:shd w:val="clear" w:color="auto" w:fill="F9FAFB"/>
          </w:tcPr>
          <w:p>
            <w:r>
              <w:rPr>
                <w:rFonts w:ascii="Calibri" w:hAnsi="Calibri"/>
                <w:color w:val="000000"/>
                <w:sz w:val="20"/>
              </w:rPr>
              <w:t>3</w:t>
            </w:r>
          </w:p>
        </w:tc>
        <w:tc>
          <w:tcPr>
            <w:tcW w:type="dxa" w:w="4680"/>
            <w:shd w:val="clear" w:color="auto" w:fill="F9FAFB"/>
          </w:tcPr>
          <w:p>
            <w:r>
              <w:rPr>
                <w:rFonts w:ascii="Calibri" w:hAnsi="Calibri"/>
                <w:color w:val="000000"/>
                <w:sz w:val="20"/>
              </w:rPr>
              <w:t>Data source acknowledgement</w:t>
            </w:r>
          </w:p>
        </w:tc>
        <w:tc>
          <w:tcPr>
            <w:tcW w:type="dxa" w:w="4680"/>
            <w:shd w:val="clear" w:color="auto" w:fill="F9FAFB"/>
          </w:tcPr>
          <w:p>
            <w:r>
              <w:rPr>
                <w:rFonts w:ascii="Calibri" w:hAnsi="Calibri"/>
                <w:color w:val="000000"/>
                <w:sz w:val="20"/>
              </w:rPr>
              <w:t>Strategic focus area selection</w:t>
            </w:r>
          </w:p>
        </w:tc>
      </w:tr>
      <w:tr>
        <w:tc>
          <w:tcPr>
            <w:tcW w:type="dxa" w:w="720"/>
            <w:shd w:val="clear" w:color="auto" w:fill="FFFFFF"/>
          </w:tcPr>
          <w:p>
            <w:r>
              <w:rPr>
                <w:rFonts w:ascii="Calibri" w:hAnsi="Calibri"/>
                <w:color w:val="000000"/>
                <w:sz w:val="20"/>
              </w:rPr>
              <w:t>4</w:t>
            </w:r>
          </w:p>
        </w:tc>
        <w:tc>
          <w:tcPr>
            <w:tcW w:type="dxa" w:w="4680"/>
            <w:shd w:val="clear" w:color="auto" w:fill="FFFFFF"/>
          </w:tcPr>
          <w:p>
            <w:r>
              <w:rPr>
                <w:rFonts w:ascii="Calibri" w:hAnsi="Calibri"/>
                <w:color w:val="000000"/>
                <w:sz w:val="20"/>
              </w:rPr>
              <w:t>Dashboard preview</w:t>
            </w:r>
          </w:p>
        </w:tc>
        <w:tc>
          <w:tcPr>
            <w:tcW w:type="dxa" w:w="4680"/>
            <w:shd w:val="clear" w:color="auto" w:fill="FFFFFF"/>
          </w:tcPr>
          <w:p>
            <w:r>
              <w:rPr>
                <w:rFonts w:ascii="Calibri" w:hAnsi="Calibri"/>
                <w:color w:val="000000"/>
                <w:sz w:val="20"/>
              </w:rPr>
              <w:t>Escalation protocols (briefing cadence + level)</w:t>
            </w:r>
          </w:p>
        </w:tc>
      </w:tr>
      <w:tr>
        <w:tc>
          <w:tcPr>
            <w:tcW w:type="dxa" w:w="720"/>
            <w:shd w:val="clear" w:color="auto" w:fill="F9FAFB"/>
          </w:tcPr>
          <w:p>
            <w:r>
              <w:rPr>
                <w:rFonts w:ascii="Calibri" w:hAnsi="Calibri"/>
                <w:color w:val="000000"/>
                <w:sz w:val="20"/>
              </w:rPr>
              <w:t>5</w:t>
            </w:r>
          </w:p>
        </w:tc>
        <w:tc>
          <w:tcPr>
            <w:tcW w:type="dxa" w:w="4680"/>
            <w:shd w:val="clear" w:color="auto" w:fill="F9FAFB"/>
          </w:tcPr>
          <w:p>
            <w:r>
              <w:rPr>
                <w:rFonts w:ascii="Calibri" w:hAnsi="Calibri"/>
                <w:color w:val="000000"/>
                <w:sz w:val="20"/>
              </w:rPr>
              <w:t>Activation — access granted</w:t>
            </w:r>
          </w:p>
        </w:tc>
        <w:tc>
          <w:tcPr>
            <w:tcW w:type="dxa" w:w="4680"/>
            <w:shd w:val="clear" w:color="auto" w:fill="F9FAFB"/>
          </w:tcPr>
          <w:p>
            <w:r>
              <w:rPr>
                <w:rFonts w:ascii="Calibri" w:hAnsi="Calibri"/>
                <w:color w:val="000000"/>
                <w:sz w:val="20"/>
              </w:rPr>
              <w:t>Dashboard preview</w:t>
            </w:r>
          </w:p>
        </w:tc>
      </w:tr>
      <w:tr>
        <w:tc>
          <w:tcPr>
            <w:tcW w:type="dxa" w:w="720"/>
            <w:shd w:val="clear" w:color="auto" w:fill="FFFFFF"/>
          </w:tcPr>
          <w:p>
            <w:r>
              <w:rPr>
                <w:rFonts w:ascii="Calibri" w:hAnsi="Calibri"/>
                <w:color w:val="000000"/>
                <w:sz w:val="20"/>
              </w:rPr>
              <w:t>6</w:t>
            </w:r>
          </w:p>
        </w:tc>
        <w:tc>
          <w:tcPr>
            <w:tcW w:type="dxa" w:w="4680"/>
            <w:shd w:val="clear" w:color="auto" w:fill="FFFFFF"/>
          </w:tcPr>
          <w:p>
            <w:r>
              <w:rPr>
                <w:rFonts w:ascii="Calibri" w:hAnsi="Calibri"/>
                <w:color w:val="000000"/>
                <w:sz w:val="20"/>
              </w:rPr>
              <w:t>—</w:t>
            </w:r>
          </w:p>
        </w:tc>
        <w:tc>
          <w:tcPr>
            <w:tcW w:type="dxa" w:w="4680"/>
            <w:shd w:val="clear" w:color="auto" w:fill="FFFFFF"/>
          </w:tcPr>
          <w:p>
            <w:r>
              <w:rPr>
                <w:rFonts w:ascii="Calibri" w:hAnsi="Calibri"/>
                <w:color w:val="000000"/>
                <w:sz w:val="20"/>
              </w:rPr>
              <w:t>Activation — EXEC badge applied</w:t>
            </w:r>
          </w:p>
        </w:tc>
      </w:tr>
    </w:tbl>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Onboarding Step 1 — Welcome Screen (Analyst Flow) ]</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Onboarding — Executive Security Verification Screen ]</w:t>
      </w:r>
    </w:p>
    <w:p>
      <w:r>
        <w:br w:type="page"/>
      </w:r>
    </w:p>
    <w:p>
      <w:pPr>
        <w:pStyle w:val="Heading1"/>
      </w:pPr>
      <w:r>
        <w:t>3.  Dashboard Walkthrough</w:t>
      </w:r>
    </w:p>
    <w:p>
      <w:pPr/>
      <w:r>
        <w:rPr>
          <w:rFonts w:ascii="Calibri" w:hAnsi="Calibri"/>
          <w:b w:val="0"/>
          <w:color w:val="000000"/>
          <w:sz w:val="22"/>
        </w:rPr>
        <w:t>The Command Center (/dashboard) is the primary intelligence screen. It delivers a complete situational picture — current AI signal, live price, model performance, news flow, and active alerts — on a single unified view.</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Full Command Center Overview — All Panels Visible ]</w:t>
      </w:r>
    </w:p>
    <w:p>
      <w:pPr>
        <w:pStyle w:val="Heading2"/>
      </w:pPr>
      <w:r>
        <w:t>3.1  KPI Summary Cards</w:t>
      </w:r>
    </w:p>
    <w:p>
      <w:pPr/>
      <w:r>
        <w:rPr>
          <w:rFonts w:ascii="Calibri" w:hAnsi="Calibri"/>
          <w:b w:val="0"/>
          <w:color w:val="000000"/>
          <w:sz w:val="22"/>
        </w:rPr>
        <w:t>Four metric cards at the top of the dashboard deliver the critical numbers at a glance:</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E3A5F"/>
            <w:vAlign w:val="center"/>
          </w:tcPr>
          <w:p>
            <w:pPr>
              <w:jc w:val="left"/>
            </w:pPr>
            <w:r>
              <w:rPr>
                <w:rFonts w:ascii="Calibri" w:hAnsi="Calibri"/>
                <w:b/>
                <w:color w:val="FFFFFF"/>
                <w:sz w:val="20"/>
              </w:rPr>
              <w:t>Card</w:t>
            </w:r>
          </w:p>
        </w:tc>
        <w:tc>
          <w:tcPr>
            <w:tcW w:type="dxa" w:w="3960"/>
            <w:shd w:val="clear" w:color="auto" w:fill="1E3A5F"/>
            <w:vAlign w:val="center"/>
          </w:tcPr>
          <w:p>
            <w:pPr>
              <w:jc w:val="left"/>
            </w:pPr>
            <w:r>
              <w:rPr>
                <w:rFonts w:ascii="Calibri" w:hAnsi="Calibri"/>
                <w:b/>
                <w:color w:val="FFFFFF"/>
                <w:sz w:val="20"/>
              </w:rPr>
              <w:t>What It Shows</w:t>
            </w:r>
          </w:p>
        </w:tc>
        <w:tc>
          <w:tcPr>
            <w:tcW w:type="dxa" w:w="5400"/>
            <w:shd w:val="clear" w:color="auto" w:fill="1E3A5F"/>
            <w:vAlign w:val="center"/>
          </w:tcPr>
          <w:p>
            <w:pPr>
              <w:jc w:val="left"/>
            </w:pPr>
            <w:r>
              <w:rPr>
                <w:rFonts w:ascii="Calibri" w:hAnsi="Calibri"/>
                <w:b/>
                <w:color w:val="FFFFFF"/>
                <w:sz w:val="20"/>
              </w:rPr>
              <w:t>How to Interpret</w:t>
            </w:r>
          </w:p>
        </w:tc>
      </w:tr>
      <w:tr>
        <w:tc>
          <w:tcPr>
            <w:tcW w:type="dxa" w:w="2160"/>
            <w:shd w:val="clear" w:color="auto" w:fill="F9FAFB"/>
          </w:tcPr>
          <w:p>
            <w:r>
              <w:rPr>
                <w:rFonts w:ascii="Calibri" w:hAnsi="Calibri"/>
                <w:color w:val="000000"/>
                <w:sz w:val="20"/>
              </w:rPr>
              <w:t>WTI Price</w:t>
            </w:r>
          </w:p>
        </w:tc>
        <w:tc>
          <w:tcPr>
            <w:tcW w:type="dxa" w:w="3960"/>
            <w:shd w:val="clear" w:color="auto" w:fill="F9FAFB"/>
          </w:tcPr>
          <w:p>
            <w:r>
              <w:rPr>
                <w:rFonts w:ascii="Calibri" w:hAnsi="Calibri"/>
                <w:color w:val="000000"/>
                <w:sz w:val="20"/>
              </w:rPr>
              <w:t>Latest West Texas Intermediate spot price ($/bbl)</w:t>
            </w:r>
          </w:p>
        </w:tc>
        <w:tc>
          <w:tcPr>
            <w:tcW w:type="dxa" w:w="5400"/>
            <w:shd w:val="clear" w:color="auto" w:fill="F9FAFB"/>
          </w:tcPr>
          <w:p>
            <w:r>
              <w:rPr>
                <w:rFonts w:ascii="Calibri" w:hAnsi="Calibri"/>
                <w:color w:val="000000"/>
                <w:sz w:val="20"/>
              </w:rPr>
              <w:t>Benchmark for all model outputs and price alerts.</w:t>
            </w:r>
          </w:p>
        </w:tc>
      </w:tr>
      <w:tr>
        <w:tc>
          <w:tcPr>
            <w:tcW w:type="dxa" w:w="2160"/>
            <w:shd w:val="clear" w:color="auto" w:fill="FFFFFF"/>
          </w:tcPr>
          <w:p>
            <w:r>
              <w:rPr>
                <w:rFonts w:ascii="Calibri" w:hAnsi="Calibri"/>
                <w:color w:val="000000"/>
                <w:sz w:val="20"/>
              </w:rPr>
              <w:t>Today's Signal</w:t>
            </w:r>
          </w:p>
        </w:tc>
        <w:tc>
          <w:tcPr>
            <w:tcW w:type="dxa" w:w="3960"/>
            <w:shd w:val="clear" w:color="auto" w:fill="FFFFFF"/>
          </w:tcPr>
          <w:p>
            <w:r>
              <w:rPr>
                <w:rFonts w:ascii="Calibri" w:hAnsi="Calibri"/>
                <w:color w:val="000000"/>
                <w:sz w:val="20"/>
              </w:rPr>
              <w:t>AI direction: UP ▲ / DOWN ▼ + confidence percentage</w:t>
            </w:r>
          </w:p>
        </w:tc>
        <w:tc>
          <w:tcPr>
            <w:tcW w:type="dxa" w:w="5400"/>
            <w:shd w:val="clear" w:color="auto" w:fill="FFFFFF"/>
          </w:tcPr>
          <w:p>
            <w:r>
              <w:rPr>
                <w:rFonts w:ascii="Calibri" w:hAnsi="Calibri"/>
                <w:color w:val="000000"/>
                <w:sz w:val="20"/>
              </w:rPr>
              <w:t>Confidence &gt; 75% = strong actionable signal.</w:t>
            </w:r>
          </w:p>
        </w:tc>
      </w:tr>
      <w:tr>
        <w:tc>
          <w:tcPr>
            <w:tcW w:type="dxa" w:w="2160"/>
            <w:shd w:val="clear" w:color="auto" w:fill="F9FAFB"/>
          </w:tcPr>
          <w:p>
            <w:r>
              <w:rPr>
                <w:rFonts w:ascii="Calibri" w:hAnsi="Calibri"/>
                <w:color w:val="000000"/>
                <w:sz w:val="20"/>
              </w:rPr>
              <w:t>24h Change</w:t>
            </w:r>
          </w:p>
        </w:tc>
        <w:tc>
          <w:tcPr>
            <w:tcW w:type="dxa" w:w="3960"/>
            <w:shd w:val="clear" w:color="auto" w:fill="F9FAFB"/>
          </w:tcPr>
          <w:p>
            <w:r>
              <w:rPr>
                <w:rFonts w:ascii="Calibri" w:hAnsi="Calibri"/>
                <w:color w:val="000000"/>
                <w:sz w:val="20"/>
              </w:rPr>
              <w:t>Absolute ($) and percentage change vs. prior close</w:t>
            </w:r>
          </w:p>
        </w:tc>
        <w:tc>
          <w:tcPr>
            <w:tcW w:type="dxa" w:w="5400"/>
            <w:shd w:val="clear" w:color="auto" w:fill="F9FAFB"/>
          </w:tcPr>
          <w:p>
            <w:r>
              <w:rPr>
                <w:rFonts w:ascii="Calibri" w:hAnsi="Calibri"/>
                <w:color w:val="000000"/>
                <w:sz w:val="20"/>
              </w:rPr>
              <w:t>Quick gauge of intraday momentum direction.</w:t>
            </w:r>
          </w:p>
        </w:tc>
      </w:tr>
      <w:tr>
        <w:tc>
          <w:tcPr>
            <w:tcW w:type="dxa" w:w="2160"/>
            <w:shd w:val="clear" w:color="auto" w:fill="FFFFFF"/>
          </w:tcPr>
          <w:p>
            <w:r>
              <w:rPr>
                <w:rFonts w:ascii="Calibri" w:hAnsi="Calibri"/>
                <w:color w:val="000000"/>
                <w:sz w:val="20"/>
              </w:rPr>
              <w:t>Sentiment Score</w:t>
            </w:r>
          </w:p>
        </w:tc>
        <w:tc>
          <w:tcPr>
            <w:tcW w:type="dxa" w:w="3960"/>
            <w:shd w:val="clear" w:color="auto" w:fill="FFFFFF"/>
          </w:tcPr>
          <w:p>
            <w:r>
              <w:rPr>
                <w:rFonts w:ascii="Calibri" w:hAnsi="Calibri"/>
                <w:color w:val="000000"/>
                <w:sz w:val="20"/>
              </w:rPr>
              <w:t>Aggregated 24-hour news sentiment score (−1.0 to +1.0)</w:t>
            </w:r>
          </w:p>
        </w:tc>
        <w:tc>
          <w:tcPr>
            <w:tcW w:type="dxa" w:w="5400"/>
            <w:shd w:val="clear" w:color="auto" w:fill="FFFFFF"/>
          </w:tcPr>
          <w:p>
            <w:r>
              <w:rPr>
                <w:rFonts w:ascii="Calibri" w:hAnsi="Calibri"/>
                <w:color w:val="000000"/>
                <w:sz w:val="20"/>
              </w:rPr>
              <w:t>&gt; 0.3 bullish · &lt; −0.3 bearish · otherwise neutral.</w:t>
            </w:r>
          </w:p>
        </w:tc>
      </w:tr>
    </w:tbl>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KPI Summary Cards — WTI Price, Signal, 24h Change, Sentiment Score ]</w:t>
      </w:r>
    </w:p>
    <w:p>
      <w:pPr>
        <w:pStyle w:val="Heading2"/>
      </w:pPr>
      <w:r>
        <w:t>3.2  Holdout Validation Chart</w:t>
      </w:r>
    </w:p>
    <w:p>
      <w:pPr/>
      <w:r>
        <w:rPr>
          <w:rFonts w:ascii="Calibri" w:hAnsi="Calibri"/>
          <w:b w:val="0"/>
          <w:color w:val="000000"/>
          <w:sz w:val="22"/>
        </w:rPr>
        <w:t>The left two-thirds of the middle panel shows the price forecast model's performance on unseen test data. Three lines are plotted:</w:t>
      </w:r>
    </w:p>
    <w:p>
      <w:pPr>
        <w:pStyle w:val="ListBullet"/>
        <w:spacing w:after="60"/>
        <w:ind w:left="360"/>
      </w:pPr>
      <w:r>
        <w:rPr>
          <w:rFonts w:ascii="Calibri" w:hAnsi="Calibri"/>
          <w:color w:val="000000"/>
          <w:sz w:val="22"/>
        </w:rPr>
        <w:t>Actual — real historical WTI closing prices.</w:t>
      </w:r>
    </w:p>
    <w:p>
      <w:pPr>
        <w:pStyle w:val="ListBullet"/>
        <w:spacing w:after="60"/>
        <w:ind w:left="360"/>
      </w:pPr>
      <w:r>
        <w:rPr>
          <w:rFonts w:ascii="Calibri" w:hAnsi="Calibri"/>
          <w:color w:val="000000"/>
          <w:sz w:val="22"/>
        </w:rPr>
        <w:t>Predicted — the model's forecast for those same dates.</w:t>
      </w:r>
    </w:p>
    <w:p>
      <w:pPr>
        <w:pStyle w:val="ListBullet"/>
        <w:spacing w:after="60"/>
        <w:ind w:left="360"/>
      </w:pPr>
      <w:r>
        <w:rPr>
          <w:rFonts w:ascii="Calibri" w:hAnsi="Calibri"/>
          <w:color w:val="000000"/>
          <w:sz w:val="22"/>
        </w:rPr>
        <w:t>Baseline — the naïve random-walk (last-price) benchmark.</w:t>
      </w:r>
    </w:p>
    <w:p>
      <w:pPr/>
      <w:r>
        <w:rPr>
          <w:rFonts w:ascii="Calibri" w:hAnsi="Calibri"/>
          <w:b w:val="0"/>
          <w:color w:val="000000"/>
          <w:sz w:val="22"/>
        </w:rPr>
        <w:t>When the Predicted line tracks closer to Actual than the Baseline, the model is demonstrably adding value. Use this panel to confirm the model remains accurate before acting on its signals.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Holdout Validation Chart — Actual vs Predicted vs Baseline (3 Lines) ]</w:t>
      </w:r>
    </w:p>
    <w:p>
      <w:pPr>
        <w:pStyle w:val="Heading2"/>
      </w:pPr>
      <w:r>
        <w:t>3.3  Intelligence Feed Panel</w:t>
      </w:r>
    </w:p>
    <w:p>
      <w:pPr/>
      <w:r>
        <w:rPr>
          <w:rFonts w:ascii="Calibri" w:hAnsi="Calibri"/>
          <w:b w:val="0"/>
          <w:color w:val="000000"/>
          <w:sz w:val="22"/>
        </w:rPr>
        <w:t>The right one-third of the middle panel shows the five most recent crude-market headlines. Each headline carries a sentiment badge (Positive / Negative / Neutral), publication source, timestamp, and a direct link to the full article.</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News Intelligence Panel — Recent Headlines with Sentiment Badges ]</w:t>
      </w:r>
    </w:p>
    <w:p>
      <w:pPr>
        <w:pStyle w:val="Heading2"/>
      </w:pPr>
      <w:r>
        <w:t>3.4  Live WTI Price Chart</w:t>
      </w:r>
    </w:p>
    <w:p>
      <w:pPr/>
      <w:r>
        <w:rPr>
          <w:rFonts w:ascii="Calibri" w:hAnsi="Calibri"/>
          <w:b w:val="0"/>
          <w:color w:val="000000"/>
          <w:sz w:val="22"/>
        </w:rPr>
        <w:t>The lower-left panel shows the full WTI price history with configurable date ranges (1W / 1M / 3M / 1Y / All). Hover over any point for the exact price and date.</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Live WTI Price Chart — Full Price History with Date Range Controls ]</w:t>
      </w:r>
    </w:p>
    <w:p>
      <w:pPr>
        <w:pStyle w:val="Heading2"/>
      </w:pPr>
      <w:r>
        <w:t>3.5  Active Alerts Panel</w:t>
      </w:r>
    </w:p>
    <w:p>
      <w:pPr/>
      <w:r>
        <w:rPr>
          <w:rFonts w:ascii="Calibri" w:hAnsi="Calibri"/>
          <w:b w:val="0"/>
          <w:color w:val="000000"/>
          <w:sz w:val="22"/>
        </w:rPr>
        <w:t>The lower-right panel displays recently triggered alerts. Each alert is severity-coded:</w:t>
      </w:r>
    </w:p>
    <w:p>
      <w:pPr>
        <w:pStyle w:val="ListBullet"/>
        <w:spacing w:after="60"/>
        <w:ind w:left="360"/>
      </w:pPr>
      <w:r>
        <w:rPr>
          <w:rFonts w:ascii="Calibri" w:hAnsi="Calibri"/>
          <w:color w:val="000000"/>
          <w:sz w:val="22"/>
        </w:rPr>
        <w:t>Critical (red) — immediate action may be required.</w:t>
      </w:r>
    </w:p>
    <w:p>
      <w:pPr>
        <w:pStyle w:val="ListBullet"/>
        <w:spacing w:after="60"/>
        <w:ind w:left="360"/>
      </w:pPr>
      <w:r>
        <w:rPr>
          <w:rFonts w:ascii="Calibri" w:hAnsi="Calibri"/>
          <w:color w:val="000000"/>
          <w:sz w:val="22"/>
        </w:rPr>
        <w:t>Warning (amber) — monitor closely; threshold approached.</w:t>
      </w:r>
    </w:p>
    <w:p>
      <w:pPr>
        <w:pStyle w:val="ListBullet"/>
        <w:spacing w:after="60"/>
        <w:ind w:left="360"/>
      </w:pPr>
      <w:r>
        <w:rPr>
          <w:rFonts w:ascii="Calibri" w:hAnsi="Calibri"/>
          <w:color w:val="000000"/>
          <w:sz w:val="22"/>
        </w:rPr>
        <w:t>Info (blue) — informational update, no immediate action needed.</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Active Alerts Panel — Severity-Coded Alert List ]</w:t>
      </w:r>
    </w:p>
    <w:p>
      <w:r>
        <w:br w:type="page"/>
      </w:r>
    </w:p>
    <w:p>
      <w:pPr>
        <w:pStyle w:val="Heading1"/>
      </w:pPr>
      <w:r>
        <w:t>4.  Intelligence Feed  (/signals)</w:t>
      </w:r>
    </w:p>
    <w:p>
      <w:pPr/>
      <w:r>
        <w:rPr>
          <w:rFonts w:ascii="Calibri" w:hAnsi="Calibri"/>
          <w:b w:val="0"/>
          <w:color w:val="000000"/>
          <w:sz w:val="22"/>
        </w:rPr>
        <w:t>The Intelligence Feed is the primary research view for analysts. It surfaces all ingested headlines with full NLP enrichment, enabling rapid review of market-moving events and their directional implications.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Intelligence Feed Page — Full Headline Table with Filters ]</w:t>
      </w:r>
    </w:p>
    <w:p>
      <w:pPr>
        <w:pStyle w:val="Heading2"/>
      </w:pPr>
      <w:r>
        <w:t>4.1  Headline Table Columns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E3A5F"/>
            <w:vAlign w:val="center"/>
          </w:tcPr>
          <w:p>
            <w:pPr>
              <w:jc w:val="left"/>
            </w:pPr>
            <w:r>
              <w:rPr>
                <w:rFonts w:ascii="Calibri" w:hAnsi="Calibri"/>
                <w:b/>
                <w:color w:val="FFFFFF"/>
                <w:sz w:val="20"/>
              </w:rPr>
              <w:t>Column</w:t>
            </w:r>
          </w:p>
        </w:tc>
        <w:tc>
          <w:tcPr>
            <w:tcW w:type="dxa" w:w="9360"/>
            <w:shd w:val="clear" w:color="auto" w:fill="1E3A5F"/>
            <w:vAlign w:val="center"/>
          </w:tcPr>
          <w:p>
            <w:pPr>
              <w:jc w:val="left"/>
            </w:pPr>
            <w:r>
              <w:rPr>
                <w:rFonts w:ascii="Calibri" w:hAnsi="Calibri"/>
                <w:b/>
                <w:color w:val="FFFFFF"/>
                <w:sz w:val="20"/>
              </w:rPr>
              <w:t>Description</w:t>
            </w:r>
          </w:p>
        </w:tc>
      </w:tr>
      <w:tr>
        <w:tc>
          <w:tcPr>
            <w:tcW w:type="dxa" w:w="2160"/>
            <w:shd w:val="clear" w:color="auto" w:fill="F9FAFB"/>
          </w:tcPr>
          <w:p>
            <w:r>
              <w:rPr>
                <w:rFonts w:ascii="Calibri" w:hAnsi="Calibri"/>
                <w:color w:val="000000"/>
                <w:sz w:val="20"/>
              </w:rPr>
              <w:t>Date / Time</w:t>
            </w:r>
          </w:p>
        </w:tc>
        <w:tc>
          <w:tcPr>
            <w:tcW w:type="dxa" w:w="9360"/>
            <w:shd w:val="clear" w:color="auto" w:fill="F9FAFB"/>
          </w:tcPr>
          <w:p>
            <w:r>
              <w:rPr>
                <w:rFonts w:ascii="Calibri" w:hAnsi="Calibri"/>
                <w:color w:val="000000"/>
                <w:sz w:val="20"/>
              </w:rPr>
              <w:t>When the article was published (local timezone).</w:t>
            </w:r>
          </w:p>
        </w:tc>
      </w:tr>
      <w:tr>
        <w:tc>
          <w:tcPr>
            <w:tcW w:type="dxa" w:w="2160"/>
            <w:shd w:val="clear" w:color="auto" w:fill="FFFFFF"/>
          </w:tcPr>
          <w:p>
            <w:r>
              <w:rPr>
                <w:rFonts w:ascii="Calibri" w:hAnsi="Calibri"/>
                <w:color w:val="000000"/>
                <w:sz w:val="20"/>
              </w:rPr>
              <w:t>Headline</w:t>
            </w:r>
          </w:p>
        </w:tc>
        <w:tc>
          <w:tcPr>
            <w:tcW w:type="dxa" w:w="9360"/>
            <w:shd w:val="clear" w:color="auto" w:fill="FFFFFF"/>
          </w:tcPr>
          <w:p>
            <w:r>
              <w:rPr>
                <w:rFonts w:ascii="Calibri" w:hAnsi="Calibri"/>
                <w:color w:val="000000"/>
                <w:sz w:val="20"/>
              </w:rPr>
              <w:t>Article title — click to open the source URL in a new tab.</w:t>
            </w:r>
          </w:p>
        </w:tc>
      </w:tr>
      <w:tr>
        <w:tc>
          <w:tcPr>
            <w:tcW w:type="dxa" w:w="2160"/>
            <w:shd w:val="clear" w:color="auto" w:fill="F9FAFB"/>
          </w:tcPr>
          <w:p>
            <w:r>
              <w:rPr>
                <w:rFonts w:ascii="Calibri" w:hAnsi="Calibri"/>
                <w:color w:val="000000"/>
                <w:sz w:val="20"/>
              </w:rPr>
              <w:t>Source</w:t>
            </w:r>
          </w:p>
        </w:tc>
        <w:tc>
          <w:tcPr>
            <w:tcW w:type="dxa" w:w="9360"/>
            <w:shd w:val="clear" w:color="auto" w:fill="F9FAFB"/>
          </w:tcPr>
          <w:p>
            <w:r>
              <w:rPr>
                <w:rFonts w:ascii="Calibri" w:hAnsi="Calibri"/>
                <w:color w:val="000000"/>
                <w:sz w:val="20"/>
              </w:rPr>
              <w:t>Publication name (e.g., Reuters, Bloomberg, S&amp;P Global).</w:t>
            </w:r>
          </w:p>
        </w:tc>
      </w:tr>
      <w:tr>
        <w:tc>
          <w:tcPr>
            <w:tcW w:type="dxa" w:w="2160"/>
            <w:shd w:val="clear" w:color="auto" w:fill="FFFFFF"/>
          </w:tcPr>
          <w:p>
            <w:r>
              <w:rPr>
                <w:rFonts w:ascii="Calibri" w:hAnsi="Calibri"/>
                <w:color w:val="000000"/>
                <w:sz w:val="20"/>
              </w:rPr>
              <w:t>Sentiment</w:t>
            </w:r>
          </w:p>
        </w:tc>
        <w:tc>
          <w:tcPr>
            <w:tcW w:type="dxa" w:w="9360"/>
            <w:shd w:val="clear" w:color="auto" w:fill="FFFFFF"/>
          </w:tcPr>
          <w:p>
            <w:r>
              <w:rPr>
                <w:rFonts w:ascii="Calibri" w:hAnsi="Calibri"/>
                <w:color w:val="000000"/>
                <w:sz w:val="20"/>
              </w:rPr>
              <w:t>NLP-derived label: Positive / Negative / Neutral badge.</w:t>
            </w:r>
          </w:p>
        </w:tc>
      </w:tr>
      <w:tr>
        <w:tc>
          <w:tcPr>
            <w:tcW w:type="dxa" w:w="2160"/>
            <w:shd w:val="clear" w:color="auto" w:fill="F9FAFB"/>
          </w:tcPr>
          <w:p>
            <w:r>
              <w:rPr>
                <w:rFonts w:ascii="Calibri" w:hAnsi="Calibri"/>
                <w:color w:val="000000"/>
                <w:sz w:val="20"/>
              </w:rPr>
              <w:t>Score</w:t>
            </w:r>
          </w:p>
        </w:tc>
        <w:tc>
          <w:tcPr>
            <w:tcW w:type="dxa" w:w="9360"/>
            <w:shd w:val="clear" w:color="auto" w:fill="F9FAFB"/>
          </w:tcPr>
          <w:p>
            <w:r>
              <w:rPr>
                <w:rFonts w:ascii="Calibri" w:hAnsi="Calibri"/>
                <w:color w:val="000000"/>
                <w:sz w:val="20"/>
              </w:rPr>
              <w:t>Raw VADER compound sentiment score (−1.0 to +1.0).</w:t>
            </w:r>
          </w:p>
        </w:tc>
      </w:tr>
      <w:tr>
        <w:tc>
          <w:tcPr>
            <w:tcW w:type="dxa" w:w="2160"/>
            <w:shd w:val="clear" w:color="auto" w:fill="FFFFFF"/>
          </w:tcPr>
          <w:p>
            <w:r>
              <w:rPr>
                <w:rFonts w:ascii="Calibri" w:hAnsi="Calibri"/>
                <w:color w:val="000000"/>
                <w:sz w:val="20"/>
              </w:rPr>
              <w:t>AI Impact</w:t>
            </w:r>
          </w:p>
        </w:tc>
        <w:tc>
          <w:tcPr>
            <w:tcW w:type="dxa" w:w="9360"/>
            <w:shd w:val="clear" w:color="auto" w:fill="FFFFFF"/>
          </w:tcPr>
          <w:p>
            <w:r>
              <w:rPr>
                <w:rFonts w:ascii="Calibri" w:hAnsi="Calibri"/>
                <w:color w:val="000000"/>
                <w:sz w:val="20"/>
              </w:rPr>
              <w:t>Model's assessment of the headline's directional impact on WTI.</w:t>
            </w:r>
          </w:p>
        </w:tc>
      </w:tr>
    </w:tbl>
    <w:p/>
    <w:p>
      <w:pPr>
        <w:pStyle w:val="Heading2"/>
      </w:pPr>
      <w:r>
        <w:t>4.2  Sentiment Scoring Methodology</w:t>
      </w:r>
    </w:p>
    <w:p>
      <w:pPr/>
      <w:r>
        <w:rPr>
          <w:rFonts w:ascii="Calibri" w:hAnsi="Calibri"/>
          <w:b w:val="0"/>
          <w:color w:val="000000"/>
          <w:sz w:val="22"/>
        </w:rPr>
        <w:t>SIGNAL uses VADER (Valence Aware Dictionary and sEntiment Reasoner), a lexicon-based model specifically calibrated for short, news-style text. Each headline receives a compound score between −1.0 and +1.0, bucketed into three labels:</w:t>
      </w:r>
    </w:p>
    <w:p>
      <w:pPr>
        <w:pStyle w:val="ListBullet"/>
        <w:spacing w:after="60"/>
        <w:ind w:left="360"/>
      </w:pPr>
      <w:r>
        <w:rPr>
          <w:rFonts w:ascii="Calibri" w:hAnsi="Calibri"/>
          <w:color w:val="000000"/>
          <w:sz w:val="22"/>
        </w:rPr>
        <w:t>Positive: compound score &gt; +0.05</w:t>
      </w:r>
    </w:p>
    <w:p>
      <w:pPr>
        <w:pStyle w:val="ListBullet"/>
        <w:spacing w:after="60"/>
        <w:ind w:left="360"/>
      </w:pPr>
      <w:r>
        <w:rPr>
          <w:rFonts w:ascii="Calibri" w:hAnsi="Calibri"/>
          <w:color w:val="000000"/>
          <w:sz w:val="22"/>
        </w:rPr>
        <w:t>Negative: compound score &lt; −0.05</w:t>
      </w:r>
    </w:p>
    <w:p>
      <w:pPr>
        <w:pStyle w:val="ListBullet"/>
        <w:spacing w:after="60"/>
        <w:ind w:left="360"/>
      </w:pPr>
      <w:r>
        <w:rPr>
          <w:rFonts w:ascii="Calibri" w:hAnsi="Calibri"/>
          <w:color w:val="000000"/>
          <w:sz w:val="22"/>
        </w:rPr>
        <w:t>Neutral: −0.05 ≤ compound score ≤ +0.05</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Intelligence Feed — Filtered View Showing Negative Sentiment Headlines ]</w:t>
      </w:r>
    </w:p>
    <w:p>
      <w:pPr>
        <w:pStyle w:val="Heading2"/>
      </w:pPr>
      <w:r>
        <w:t>4.3  Search and Filters</w:t>
      </w:r>
    </w:p>
    <w:p>
      <w:pPr/>
      <w:r>
        <w:rPr>
          <w:rFonts w:ascii="Calibri" w:hAnsi="Calibri"/>
          <w:b w:val="0"/>
          <w:color w:val="000000"/>
          <w:sz w:val="22"/>
        </w:rPr>
        <w:t>The search bar performs full-text search across all stored headlines. Filter chips allow narrowing by sentiment label (Positive / Negative / Neutral) and by date range.</w:t>
      </w:r>
    </w:p>
    <w:p>
      <w:r>
        <w:br w:type="page"/>
      </w:r>
    </w:p>
    <w:p>
      <w:pPr>
        <w:pStyle w:val="Heading1"/>
      </w:pPr>
      <w:r>
        <w:t>5.  Commodity View  (/commodity)</w:t>
      </w:r>
    </w:p>
    <w:p>
      <w:pPr/>
      <w:r>
        <w:rPr>
          <w:rFonts w:ascii="Calibri" w:hAnsi="Calibri"/>
          <w:b w:val="0"/>
          <w:color w:val="000000"/>
          <w:sz w:val="22"/>
        </w:rPr>
        <w:t>The Commodity View provides a detailed technical and historical price analysis for WTI crude oil, including configurable moving-average overlays and summary statistics.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Commodity View — Full Page with Price Chart and Statistics ]</w:t>
      </w:r>
    </w:p>
    <w:p>
      <w:pPr>
        <w:pStyle w:val="Heading2"/>
      </w:pPr>
      <w:r>
        <w:t>5.1  Interactive Price Chart</w:t>
      </w:r>
    </w:p>
    <w:p>
      <w:pPr/>
      <w:r>
        <w:rPr>
          <w:rFonts w:ascii="Calibri" w:hAnsi="Calibri"/>
          <w:b w:val="0"/>
          <w:color w:val="000000"/>
          <w:sz w:val="22"/>
        </w:rPr>
        <w:t>Full-history interactive line chart with configurable date ranges. Hover over any data point to display the exact date and closing price.</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WTI Price Chart with Moving Average Overlays (7-day, 30-day, 90-day) ]</w:t>
      </w:r>
    </w:p>
    <w:p>
      <w:pPr>
        <w:pStyle w:val="Heading2"/>
      </w:pPr>
      <w:r>
        <w:t>5.2  Moving Average Overlays</w:t>
      </w:r>
    </w:p>
    <w:p>
      <w:pPr>
        <w:pStyle w:val="ListBullet"/>
        <w:spacing w:after="60"/>
        <w:ind w:left="360"/>
      </w:pPr>
      <w:r>
        <w:rPr>
          <w:rFonts w:ascii="Calibri" w:hAnsi="Calibri"/>
          <w:color w:val="000000"/>
          <w:sz w:val="22"/>
        </w:rPr>
        <w:t>7-Day MA — Short-term trend indicator.</w:t>
      </w:r>
    </w:p>
    <w:p>
      <w:pPr>
        <w:pStyle w:val="ListBullet"/>
        <w:spacing w:after="60"/>
        <w:ind w:left="360"/>
      </w:pPr>
      <w:r>
        <w:rPr>
          <w:rFonts w:ascii="Calibri" w:hAnsi="Calibri"/>
          <w:color w:val="000000"/>
          <w:sz w:val="22"/>
        </w:rPr>
        <w:t>30-Day MA — Medium-term momentum indicator.</w:t>
      </w:r>
    </w:p>
    <w:p>
      <w:pPr>
        <w:pStyle w:val="ListBullet"/>
        <w:spacing w:after="60"/>
        <w:ind w:left="360"/>
      </w:pPr>
      <w:r>
        <w:rPr>
          <w:rFonts w:ascii="Calibri" w:hAnsi="Calibri"/>
          <w:color w:val="000000"/>
          <w:sz w:val="22"/>
        </w:rPr>
        <w:t>90-Day MA — Long-term cycle context.</w:t>
      </w:r>
    </w:p>
    <w:p>
      <w:pPr>
        <w:pStyle w:val="Heading2"/>
      </w:pPr>
      <w:r>
        <w:t>5.3  Summary Statistics Panel</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E3A5F"/>
            <w:vAlign w:val="center"/>
          </w:tcPr>
          <w:p>
            <w:pPr>
              <w:jc w:val="left"/>
            </w:pPr>
            <w:r>
              <w:rPr>
                <w:rFonts w:ascii="Calibri" w:hAnsi="Calibri"/>
                <w:b/>
                <w:color w:val="FFFFFF"/>
                <w:sz w:val="20"/>
              </w:rPr>
              <w:t>Statistic</w:t>
            </w:r>
          </w:p>
        </w:tc>
        <w:tc>
          <w:tcPr>
            <w:tcW w:type="dxa" w:w="7920"/>
            <w:shd w:val="clear" w:color="auto" w:fill="1E3A5F"/>
            <w:vAlign w:val="center"/>
          </w:tcPr>
          <w:p>
            <w:pPr>
              <w:jc w:val="left"/>
            </w:pPr>
            <w:r>
              <w:rPr>
                <w:rFonts w:ascii="Calibri" w:hAnsi="Calibri"/>
                <w:b/>
                <w:color w:val="FFFFFF"/>
                <w:sz w:val="20"/>
              </w:rPr>
              <w:t>Description</w:t>
            </w:r>
          </w:p>
        </w:tc>
      </w:tr>
      <w:tr>
        <w:tc>
          <w:tcPr>
            <w:tcW w:type="dxa" w:w="3600"/>
            <w:shd w:val="clear" w:color="auto" w:fill="F9FAFB"/>
          </w:tcPr>
          <w:p>
            <w:r>
              <w:rPr>
                <w:rFonts w:ascii="Calibri" w:hAnsi="Calibri"/>
                <w:color w:val="000000"/>
                <w:sz w:val="20"/>
              </w:rPr>
              <w:t>52-Week High / Low</w:t>
            </w:r>
          </w:p>
        </w:tc>
        <w:tc>
          <w:tcPr>
            <w:tcW w:type="dxa" w:w="7920"/>
            <w:shd w:val="clear" w:color="auto" w:fill="F9FAFB"/>
          </w:tcPr>
          <w:p>
            <w:r>
              <w:rPr>
                <w:rFonts w:ascii="Calibri" w:hAnsi="Calibri"/>
                <w:color w:val="000000"/>
                <w:sz w:val="20"/>
              </w:rPr>
              <w:t>Highest and lowest closing prices over the trailing 52 weeks.</w:t>
            </w:r>
          </w:p>
        </w:tc>
      </w:tr>
      <w:tr>
        <w:tc>
          <w:tcPr>
            <w:tcW w:type="dxa" w:w="3600"/>
            <w:shd w:val="clear" w:color="auto" w:fill="FFFFFF"/>
          </w:tcPr>
          <w:p>
            <w:r>
              <w:rPr>
                <w:rFonts w:ascii="Calibri" w:hAnsi="Calibri"/>
                <w:color w:val="000000"/>
                <w:sz w:val="20"/>
              </w:rPr>
              <w:t>YTD Performance</w:t>
            </w:r>
          </w:p>
        </w:tc>
        <w:tc>
          <w:tcPr>
            <w:tcW w:type="dxa" w:w="7920"/>
            <w:shd w:val="clear" w:color="auto" w:fill="FFFFFF"/>
          </w:tcPr>
          <w:p>
            <w:r>
              <w:rPr>
                <w:rFonts w:ascii="Calibri" w:hAnsi="Calibri"/>
                <w:color w:val="000000"/>
                <w:sz w:val="20"/>
              </w:rPr>
              <w:t>Percentage return since January 1 of the current year.</w:t>
            </w:r>
          </w:p>
        </w:tc>
      </w:tr>
      <w:tr>
        <w:tc>
          <w:tcPr>
            <w:tcW w:type="dxa" w:w="3600"/>
            <w:shd w:val="clear" w:color="auto" w:fill="F9FAFB"/>
          </w:tcPr>
          <w:p>
            <w:r>
              <w:rPr>
                <w:rFonts w:ascii="Calibri" w:hAnsi="Calibri"/>
                <w:color w:val="000000"/>
                <w:sz w:val="20"/>
              </w:rPr>
              <w:t>Avg Daily Range</w:t>
            </w:r>
          </w:p>
        </w:tc>
        <w:tc>
          <w:tcPr>
            <w:tcW w:type="dxa" w:w="7920"/>
            <w:shd w:val="clear" w:color="auto" w:fill="F9FAFB"/>
          </w:tcPr>
          <w:p>
            <w:r>
              <w:rPr>
                <w:rFonts w:ascii="Calibri" w:hAnsi="Calibri"/>
                <w:color w:val="000000"/>
                <w:sz w:val="20"/>
              </w:rPr>
              <w:t>Mean intraday high-minus-low over the trailing 30 days.</w:t>
            </w:r>
          </w:p>
        </w:tc>
      </w:tr>
      <w:tr>
        <w:tc>
          <w:tcPr>
            <w:tcW w:type="dxa" w:w="3600"/>
            <w:shd w:val="clear" w:color="auto" w:fill="FFFFFF"/>
          </w:tcPr>
          <w:p>
            <w:r>
              <w:rPr>
                <w:rFonts w:ascii="Calibri" w:hAnsi="Calibri"/>
                <w:color w:val="000000"/>
                <w:sz w:val="20"/>
              </w:rPr>
              <w:t>30-Day Volatility</w:t>
            </w:r>
          </w:p>
        </w:tc>
        <w:tc>
          <w:tcPr>
            <w:tcW w:type="dxa" w:w="7920"/>
            <w:shd w:val="clear" w:color="auto" w:fill="FFFFFF"/>
          </w:tcPr>
          <w:p>
            <w:r>
              <w:rPr>
                <w:rFonts w:ascii="Calibri" w:hAnsi="Calibri"/>
                <w:color w:val="000000"/>
                <w:sz w:val="20"/>
              </w:rPr>
              <w:t>Annualised standard deviation of daily returns over 30 days.</w:t>
            </w:r>
          </w:p>
        </w:tc>
      </w:tr>
    </w:tbl>
    <w:p/>
    <w:p>
      <w:r>
        <w:br w:type="page"/>
      </w:r>
    </w:p>
    <w:p>
      <w:pPr>
        <w:pStyle w:val="Heading1"/>
      </w:pPr>
      <w:r>
        <w:t>6.  Analytics  (/analytics)</w:t>
      </w:r>
    </w:p>
    <w:p>
      <w:pPr/>
      <w:r>
        <w:rPr>
          <w:rFonts w:ascii="Calibri" w:hAnsi="Calibri"/>
          <w:b w:val="0"/>
          <w:color w:val="000000"/>
          <w:sz w:val="22"/>
        </w:rPr>
        <w:t>The Analytics page reveals macro-level patterns in sentiment, news volume, and model confidence over time. It helps identify structural shifts in the information environment that may not be visible in day-to-day signal outputs.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Analytics Page — Sentiment Trend, Article Volume, Confidence Charts ]</w:t>
      </w:r>
    </w:p>
    <w:p>
      <w:pPr>
        <w:pStyle w:val="Heading2"/>
      </w:pPr>
      <w:r>
        <w:t>6.1  Sentiment Trend Chart</w:t>
      </w:r>
    </w:p>
    <w:p>
      <w:pPr/>
      <w:r>
        <w:rPr>
          <w:rFonts w:ascii="Calibri" w:hAnsi="Calibri"/>
          <w:b w:val="0"/>
          <w:color w:val="000000"/>
          <w:sz w:val="22"/>
        </w:rPr>
        <w:t>Daily average sentiment plotted over configurable windows (30 / 90 / 365 days). Sustained negative sentiment often precedes price weakness; sharp reversals in either direction can serve as early inflection signals.</w:t>
      </w:r>
    </w:p>
    <w:p>
      <w:pPr>
        <w:pStyle w:val="Heading2"/>
      </w:pPr>
      <w:r>
        <w:t>6.2  Article Volume Chart</w:t>
      </w:r>
    </w:p>
    <w:p>
      <w:pPr/>
      <w:r>
        <w:rPr>
          <w:rFonts w:ascii="Calibri" w:hAnsi="Calibri"/>
          <w:b w:val="0"/>
          <w:color w:val="000000"/>
          <w:sz w:val="22"/>
        </w:rPr>
        <w:t>Number of headlines ingested per day. Volume spikes typically indicate high-information days — OPEC decisions, supply disruptions, geopolitical events — where signal confidence is generally higher due to a richer input signal.</w:t>
      </w:r>
    </w:p>
    <w:p>
      <w:pPr>
        <w:pStyle w:val="Heading2"/>
      </w:pPr>
      <w:r>
        <w:t>6.3  Signal Confidence Over Time</w:t>
      </w:r>
    </w:p>
    <w:p>
      <w:pPr/>
      <w:r>
        <w:rPr>
          <w:rFonts w:ascii="Calibri" w:hAnsi="Calibri"/>
          <w:b w:val="0"/>
          <w:color w:val="000000"/>
          <w:sz w:val="22"/>
        </w:rPr>
        <w:t>A time-series view of the direction model's output probability. Extended periods of low confidence may indicate a regime change or an unusually noisy news environment requiring increased vigilance.</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Analytics — Signal Confidence History Chart ]</w:t>
      </w:r>
    </w:p>
    <w:p>
      <w:r>
        <w:br w:type="page"/>
      </w:r>
    </w:p>
    <w:p>
      <w:pPr>
        <w:pStyle w:val="Heading1"/>
      </w:pPr>
      <w:r>
        <w:t>7.  AI Models Explained</w:t>
      </w:r>
    </w:p>
    <w:p>
      <w:pPr/>
      <w:r>
        <w:rPr>
          <w:rFonts w:ascii="Calibri" w:hAnsi="Calibri"/>
          <w:b w:val="0"/>
          <w:color w:val="000000"/>
          <w:sz w:val="22"/>
        </w:rPr>
        <w:t>SIGNAL's two AI engines are purpose-built for complementary objectives: one predicts price direction, the other predicts price level. Together they provide a complete decision-support framework.</w:t>
      </w:r>
    </w:p>
    <w:p>
      <w:pPr>
        <w:pStyle w:val="Heading2"/>
      </w:pPr>
      <w:r>
        <w:t>7.1  Direction Signal Engine  (/dashboard/model)</w:t>
      </w:r>
    </w:p>
    <w:p>
      <w:pPr/>
      <w:r>
        <w:rPr>
          <w:rFonts w:ascii="Calibri" w:hAnsi="Calibri"/>
          <w:b w:val="0"/>
          <w:color w:val="000000"/>
          <w:sz w:val="22"/>
        </w:rPr>
        <w:t>A binary classification model that predicts whether WTI crude oil will close higher (UP) or lower (DOWN) on the following trading day.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3A5F"/>
            <w:vAlign w:val="center"/>
          </w:tcPr>
          <w:p>
            <w:pPr>
              <w:jc w:val="left"/>
            </w:pPr>
            <w:r>
              <w:rPr>
                <w:rFonts w:ascii="Calibri" w:hAnsi="Calibri"/>
                <w:b/>
                <w:color w:val="FFFFFF"/>
                <w:sz w:val="20"/>
              </w:rPr>
              <w:t>Component</w:t>
            </w:r>
          </w:p>
        </w:tc>
        <w:tc>
          <w:tcPr>
            <w:tcW w:type="dxa" w:w="8640"/>
            <w:shd w:val="clear" w:color="auto" w:fill="1E3A5F"/>
            <w:vAlign w:val="center"/>
          </w:tcPr>
          <w:p>
            <w:pPr>
              <w:jc w:val="left"/>
            </w:pPr>
            <w:r>
              <w:rPr>
                <w:rFonts w:ascii="Calibri" w:hAnsi="Calibri"/>
                <w:b/>
                <w:color w:val="FFFFFF"/>
                <w:sz w:val="20"/>
              </w:rPr>
              <w:t>Detail</w:t>
            </w:r>
          </w:p>
        </w:tc>
      </w:tr>
      <w:tr>
        <w:tc>
          <w:tcPr>
            <w:tcW w:type="dxa" w:w="2880"/>
            <w:shd w:val="clear" w:color="auto" w:fill="F9FAFB"/>
          </w:tcPr>
          <w:p>
            <w:r>
              <w:rPr>
                <w:rFonts w:ascii="Calibri" w:hAnsi="Calibri"/>
                <w:color w:val="000000"/>
                <w:sz w:val="20"/>
              </w:rPr>
              <w:t>Algorithm</w:t>
            </w:r>
          </w:p>
        </w:tc>
        <w:tc>
          <w:tcPr>
            <w:tcW w:type="dxa" w:w="8640"/>
            <w:shd w:val="clear" w:color="auto" w:fill="F9FAFB"/>
          </w:tcPr>
          <w:p>
            <w:r>
              <w:rPr>
                <w:rFonts w:ascii="Calibri" w:hAnsi="Calibri"/>
                <w:color w:val="000000"/>
                <w:sz w:val="20"/>
              </w:rPr>
              <w:t>Random Forest + XGBoost ensemble (voting classifier)</w:t>
            </w:r>
          </w:p>
        </w:tc>
      </w:tr>
      <w:tr>
        <w:tc>
          <w:tcPr>
            <w:tcW w:type="dxa" w:w="2880"/>
            <w:shd w:val="clear" w:color="auto" w:fill="FFFFFF"/>
          </w:tcPr>
          <w:p>
            <w:r>
              <w:rPr>
                <w:rFonts w:ascii="Calibri" w:hAnsi="Calibri"/>
                <w:color w:val="000000"/>
                <w:sz w:val="20"/>
              </w:rPr>
              <w:t>Training data</w:t>
            </w:r>
          </w:p>
        </w:tc>
        <w:tc>
          <w:tcPr>
            <w:tcW w:type="dxa" w:w="8640"/>
            <w:shd w:val="clear" w:color="auto" w:fill="FFFFFF"/>
          </w:tcPr>
          <w:p>
            <w:r>
              <w:rPr>
                <w:rFonts w:ascii="Calibri" w:hAnsi="Calibri"/>
                <w:color w:val="000000"/>
                <w:sz w:val="20"/>
              </w:rPr>
              <w:t>1,270 daily rows with enriched financial features</w:t>
            </w:r>
          </w:p>
        </w:tc>
      </w:tr>
      <w:tr>
        <w:tc>
          <w:tcPr>
            <w:tcW w:type="dxa" w:w="2880"/>
            <w:shd w:val="clear" w:color="auto" w:fill="F9FAFB"/>
          </w:tcPr>
          <w:p>
            <w:r>
              <w:rPr>
                <w:rFonts w:ascii="Calibri" w:hAnsi="Calibri"/>
                <w:color w:val="000000"/>
                <w:sz w:val="20"/>
              </w:rPr>
              <w:t>Input features</w:t>
            </w:r>
          </w:p>
        </w:tc>
        <w:tc>
          <w:tcPr>
            <w:tcW w:type="dxa" w:w="8640"/>
            <w:shd w:val="clear" w:color="auto" w:fill="F9FAFB"/>
          </w:tcPr>
          <w:p>
            <w:r>
              <w:rPr>
                <w:rFonts w:ascii="Calibri" w:hAnsi="Calibri"/>
                <w:color w:val="000000"/>
                <w:sz w:val="20"/>
              </w:rPr>
              <w:t>10-day price lags, 1/2/3/5/10-day returns, 3/5/10/20-day moving averages, 5/10/20-day volatility, rolling sentiment averages, rolling article-volume averages, day-of-week sin/cos encoding</w:t>
            </w:r>
          </w:p>
        </w:tc>
      </w:tr>
      <w:tr>
        <w:tc>
          <w:tcPr>
            <w:tcW w:type="dxa" w:w="2880"/>
            <w:shd w:val="clear" w:color="auto" w:fill="FFFFFF"/>
          </w:tcPr>
          <w:p>
            <w:r>
              <w:rPr>
                <w:rFonts w:ascii="Calibri" w:hAnsi="Calibri"/>
                <w:color w:val="000000"/>
                <w:sz w:val="20"/>
              </w:rPr>
              <w:t>Output</w:t>
            </w:r>
          </w:p>
        </w:tc>
        <w:tc>
          <w:tcPr>
            <w:tcW w:type="dxa" w:w="8640"/>
            <w:shd w:val="clear" w:color="auto" w:fill="FFFFFF"/>
          </w:tcPr>
          <w:p>
            <w:r>
              <w:rPr>
                <w:rFonts w:ascii="Calibri" w:hAnsi="Calibri"/>
                <w:color w:val="000000"/>
                <w:sz w:val="20"/>
              </w:rPr>
              <w:t>UP or DOWN directional label + probability score (0–1)</w:t>
            </w:r>
          </w:p>
        </w:tc>
      </w:tr>
      <w:tr>
        <w:tc>
          <w:tcPr>
            <w:tcW w:type="dxa" w:w="2880"/>
            <w:shd w:val="clear" w:color="auto" w:fill="F9FAFB"/>
          </w:tcPr>
          <w:p>
            <w:r>
              <w:rPr>
                <w:rFonts w:ascii="Calibri" w:hAnsi="Calibri"/>
                <w:color w:val="000000"/>
                <w:sz w:val="20"/>
              </w:rPr>
              <w:t>Uncertainty gating</w:t>
            </w:r>
          </w:p>
        </w:tc>
        <w:tc>
          <w:tcPr>
            <w:tcW w:type="dxa" w:w="8640"/>
            <w:shd w:val="clear" w:color="auto" w:fill="F9FAFB"/>
          </w:tcPr>
          <w:p>
            <w:r>
              <w:rPr>
                <w:rFonts w:ascii="Calibri" w:hAnsi="Calibri"/>
                <w:color w:val="000000"/>
                <w:sz w:val="20"/>
              </w:rPr>
              <w:t>Signal shown as 'Uncertain' when probability &lt; 0.60</w:t>
            </w:r>
          </w:p>
        </w:tc>
      </w:tr>
      <w:tr>
        <w:tc>
          <w:tcPr>
            <w:tcW w:type="dxa" w:w="2880"/>
            <w:shd w:val="clear" w:color="auto" w:fill="FFFFFF"/>
          </w:tcPr>
          <w:p>
            <w:r>
              <w:rPr>
                <w:rFonts w:ascii="Calibri" w:hAnsi="Calibri"/>
                <w:color w:val="000000"/>
                <w:sz w:val="20"/>
              </w:rPr>
              <w:t>Accuracy</w:t>
            </w:r>
          </w:p>
        </w:tc>
        <w:tc>
          <w:tcPr>
            <w:tcW w:type="dxa" w:w="8640"/>
            <w:shd w:val="clear" w:color="auto" w:fill="FFFFFF"/>
          </w:tcPr>
          <w:p>
            <w:r>
              <w:rPr>
                <w:rFonts w:ascii="Calibri" w:hAnsi="Calibri"/>
                <w:color w:val="000000"/>
                <w:sz w:val="20"/>
              </w:rPr>
              <w:t>81.5% on out-of-sample holdout test set</w:t>
            </w:r>
          </w:p>
        </w:tc>
      </w:tr>
      <w:tr>
        <w:tc>
          <w:tcPr>
            <w:tcW w:type="dxa" w:w="2880"/>
            <w:shd w:val="clear" w:color="auto" w:fill="F9FAFB"/>
          </w:tcPr>
          <w:p>
            <w:r>
              <w:rPr>
                <w:rFonts w:ascii="Calibri" w:hAnsi="Calibri"/>
                <w:color w:val="000000"/>
                <w:sz w:val="20"/>
              </w:rPr>
              <w:t>Other metrics</w:t>
            </w:r>
          </w:p>
        </w:tc>
        <w:tc>
          <w:tcPr>
            <w:tcW w:type="dxa" w:w="8640"/>
            <w:shd w:val="clear" w:color="auto" w:fill="F9FAFB"/>
          </w:tcPr>
          <w:p>
            <w:r>
              <w:rPr>
                <w:rFonts w:ascii="Calibri" w:hAnsi="Calibri"/>
                <w:color w:val="000000"/>
                <w:sz w:val="20"/>
              </w:rPr>
              <w:t>Precision, Recall, and F1-Score available on the Direction Model page</w:t>
            </w:r>
          </w:p>
        </w:tc>
      </w:tr>
    </w:tbl>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Direction Model Dashboard — Accuracy, Precision, Recall, F1 Cards ]</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Direction Model — Prediction History Chart ]</w:t>
      </w:r>
    </w:p>
    <w:p>
      <w:pPr>
        <w:pStyle w:val="Heading2"/>
      </w:pPr>
      <w:r>
        <w:t>7.2  Price Forecast Engine  (/dashboard/forecast)</w:t>
      </w:r>
    </w:p>
    <w:p>
      <w:pPr/>
      <w:r>
        <w:rPr>
          <w:rFonts w:ascii="Calibri" w:hAnsi="Calibri"/>
          <w:b w:val="0"/>
          <w:color w:val="000000"/>
          <w:sz w:val="22"/>
        </w:rPr>
        <w:t>A regression ensemble that estimates the exact next-day WTI closing price in dollars per barrel.</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3A5F"/>
            <w:vAlign w:val="center"/>
          </w:tcPr>
          <w:p>
            <w:pPr>
              <w:jc w:val="left"/>
            </w:pPr>
            <w:r>
              <w:rPr>
                <w:rFonts w:ascii="Calibri" w:hAnsi="Calibri"/>
                <w:b/>
                <w:color w:val="FFFFFF"/>
                <w:sz w:val="20"/>
              </w:rPr>
              <w:t>Component</w:t>
            </w:r>
          </w:p>
        </w:tc>
        <w:tc>
          <w:tcPr>
            <w:tcW w:type="dxa" w:w="8640"/>
            <w:shd w:val="clear" w:color="auto" w:fill="1E3A5F"/>
            <w:vAlign w:val="center"/>
          </w:tcPr>
          <w:p>
            <w:pPr>
              <w:jc w:val="left"/>
            </w:pPr>
            <w:r>
              <w:rPr>
                <w:rFonts w:ascii="Calibri" w:hAnsi="Calibri"/>
                <w:b/>
                <w:color w:val="FFFFFF"/>
                <w:sz w:val="20"/>
              </w:rPr>
              <w:t>Detail</w:t>
            </w:r>
          </w:p>
        </w:tc>
      </w:tr>
      <w:tr>
        <w:tc>
          <w:tcPr>
            <w:tcW w:type="dxa" w:w="2880"/>
            <w:shd w:val="clear" w:color="auto" w:fill="F9FAFB"/>
          </w:tcPr>
          <w:p>
            <w:r>
              <w:rPr>
                <w:rFonts w:ascii="Calibri" w:hAnsi="Calibri"/>
                <w:color w:val="000000"/>
                <w:sz w:val="20"/>
              </w:rPr>
              <w:t>Architecture</w:t>
            </w:r>
          </w:p>
        </w:tc>
        <w:tc>
          <w:tcPr>
            <w:tcW w:type="dxa" w:w="8640"/>
            <w:shd w:val="clear" w:color="auto" w:fill="F9FAFB"/>
          </w:tcPr>
          <w:p>
            <w:r>
              <w:rPr>
                <w:rFonts w:ascii="Calibri" w:hAnsi="Calibri"/>
                <w:color w:val="000000"/>
                <w:sz w:val="20"/>
              </w:rPr>
              <w:t>Stacking ensemble: Ridge + HistGradientBoosting + LightGBM (base models) → RidgeCV (meta-learner)</w:t>
            </w:r>
          </w:p>
        </w:tc>
      </w:tr>
      <w:tr>
        <w:tc>
          <w:tcPr>
            <w:tcW w:type="dxa" w:w="2880"/>
            <w:shd w:val="clear" w:color="auto" w:fill="FFFFFF"/>
          </w:tcPr>
          <w:p>
            <w:r>
              <w:rPr>
                <w:rFonts w:ascii="Calibri" w:hAnsi="Calibri"/>
                <w:color w:val="000000"/>
                <w:sz w:val="20"/>
              </w:rPr>
              <w:t>Training data</w:t>
            </w:r>
          </w:p>
        </w:tc>
        <w:tc>
          <w:tcPr>
            <w:tcW w:type="dxa" w:w="8640"/>
            <w:shd w:val="clear" w:color="auto" w:fill="FFFFFF"/>
          </w:tcPr>
          <w:p>
            <w:r>
              <w:rPr>
                <w:rFonts w:ascii="Calibri" w:hAnsi="Calibri"/>
                <w:color w:val="000000"/>
                <w:sz w:val="20"/>
              </w:rPr>
              <w:t>Same 1,270-row enriched feature set as the Direction Engine</w:t>
            </w:r>
          </w:p>
        </w:tc>
      </w:tr>
      <w:tr>
        <w:tc>
          <w:tcPr>
            <w:tcW w:type="dxa" w:w="2880"/>
            <w:shd w:val="clear" w:color="auto" w:fill="F9FAFB"/>
          </w:tcPr>
          <w:p>
            <w:r>
              <w:rPr>
                <w:rFonts w:ascii="Calibri" w:hAnsi="Calibri"/>
                <w:color w:val="000000"/>
                <w:sz w:val="20"/>
              </w:rPr>
              <w:t>Target variable</w:t>
            </w:r>
          </w:p>
        </w:tc>
        <w:tc>
          <w:tcPr>
            <w:tcW w:type="dxa" w:w="8640"/>
            <w:shd w:val="clear" w:color="auto" w:fill="F9FAFB"/>
          </w:tcPr>
          <w:p>
            <w:r>
              <w:rPr>
                <w:rFonts w:ascii="Calibri" w:hAnsi="Calibri"/>
                <w:color w:val="000000"/>
                <w:sz w:val="20"/>
              </w:rPr>
              <w:t>Next-day WTI closing price ($/bbl)</w:t>
            </w:r>
          </w:p>
        </w:tc>
      </w:tr>
      <w:tr>
        <w:tc>
          <w:tcPr>
            <w:tcW w:type="dxa" w:w="2880"/>
            <w:shd w:val="clear" w:color="auto" w:fill="FFFFFF"/>
          </w:tcPr>
          <w:p>
            <w:r>
              <w:rPr>
                <w:rFonts w:ascii="Calibri" w:hAnsi="Calibri"/>
                <w:color w:val="000000"/>
                <w:sz w:val="20"/>
              </w:rPr>
              <w:t>Baseline comparison</w:t>
            </w:r>
          </w:p>
        </w:tc>
        <w:tc>
          <w:tcPr>
            <w:tcW w:type="dxa" w:w="8640"/>
            <w:shd w:val="clear" w:color="auto" w:fill="FFFFFF"/>
          </w:tcPr>
          <w:p>
            <w:r>
              <w:rPr>
                <w:rFonts w:ascii="Calibri" w:hAnsi="Calibri"/>
                <w:color w:val="000000"/>
                <w:sz w:val="20"/>
              </w:rPr>
              <w:t>Evaluated against naïve last-price (random-walk) benchmark</w:t>
            </w:r>
          </w:p>
        </w:tc>
      </w:tr>
      <w:tr>
        <w:tc>
          <w:tcPr>
            <w:tcW w:type="dxa" w:w="2880"/>
            <w:shd w:val="clear" w:color="auto" w:fill="F9FAFB"/>
          </w:tcPr>
          <w:p>
            <w:r>
              <w:rPr>
                <w:rFonts w:ascii="Calibri" w:hAnsi="Calibri"/>
                <w:color w:val="000000"/>
                <w:sz w:val="20"/>
              </w:rPr>
              <w:t>RMSE</w:t>
            </w:r>
          </w:p>
        </w:tc>
        <w:tc>
          <w:tcPr>
            <w:tcW w:type="dxa" w:w="8640"/>
            <w:shd w:val="clear" w:color="auto" w:fill="F9FAFB"/>
          </w:tcPr>
          <w:p>
            <w:r>
              <w:rPr>
                <w:rFonts w:ascii="Calibri" w:hAnsi="Calibri"/>
                <w:color w:val="000000"/>
                <w:sz w:val="20"/>
              </w:rPr>
              <w:t>$2.07/bbl (vs. baseline $2.09/bbl — model outperforms the baseline)</w:t>
            </w:r>
          </w:p>
        </w:tc>
      </w:tr>
      <w:tr>
        <w:tc>
          <w:tcPr>
            <w:tcW w:type="dxa" w:w="2880"/>
            <w:shd w:val="clear" w:color="auto" w:fill="FFFFFF"/>
          </w:tcPr>
          <w:p>
            <w:r>
              <w:rPr>
                <w:rFonts w:ascii="Calibri" w:hAnsi="Calibri"/>
                <w:color w:val="000000"/>
                <w:sz w:val="20"/>
              </w:rPr>
              <w:t>R²</w:t>
            </w:r>
          </w:p>
        </w:tc>
        <w:tc>
          <w:tcPr>
            <w:tcW w:type="dxa" w:w="8640"/>
            <w:shd w:val="clear" w:color="auto" w:fill="FFFFFF"/>
          </w:tcPr>
          <w:p>
            <w:r>
              <w:rPr>
                <w:rFonts w:ascii="Calibri" w:hAnsi="Calibri"/>
                <w:color w:val="000000"/>
                <w:sz w:val="20"/>
              </w:rPr>
              <w:t>0.9532 — the model explains 95.3% of daily price variance</w:t>
            </w:r>
          </w:p>
        </w:tc>
      </w:tr>
      <w:tr>
        <w:tc>
          <w:tcPr>
            <w:tcW w:type="dxa" w:w="2880"/>
            <w:shd w:val="clear" w:color="auto" w:fill="F9FAFB"/>
          </w:tcPr>
          <w:p>
            <w:r>
              <w:rPr>
                <w:rFonts w:ascii="Calibri" w:hAnsi="Calibri"/>
                <w:color w:val="000000"/>
                <w:sz w:val="20"/>
              </w:rPr>
              <w:t>MAPE</w:t>
            </w:r>
          </w:p>
        </w:tc>
        <w:tc>
          <w:tcPr>
            <w:tcW w:type="dxa" w:w="8640"/>
            <w:shd w:val="clear" w:color="auto" w:fill="F9FAFB"/>
          </w:tcPr>
          <w:p>
            <w:r>
              <w:rPr>
                <w:rFonts w:ascii="Calibri" w:hAnsi="Calibri"/>
                <w:color w:val="000000"/>
                <w:sz w:val="20"/>
              </w:rPr>
              <w:t>~2.5% mean absolute percentage error</w:t>
            </w:r>
          </w:p>
        </w:tc>
      </w:tr>
    </w:tbl>
    <w:p/>
    <w:p>
      <w:pPr>
        <w:pStyle w:val="Heading2"/>
      </w:pPr>
      <w:r>
        <w:t>7.3  Performance in Business Terms</w:t>
      </w:r>
    </w:p>
    <w:p>
      <w:pPr>
        <w:spacing w:before="120" w:after="120"/>
        <w:shd w:val="clear" w:color="auto" w:fill="D1FAE5"/>
        <w:pBdr>
          <w:top w:val="single" w:sz="6" w:space="4" w:color="FCD34D"/>
          <w:left w:val="single" w:sz="6" w:space="4" w:color="FCD34D"/>
          <w:bottom w:val="single" w:sz="6" w:space="4" w:color="FCD34D"/>
          <w:right w:val="single" w:sz="6" w:space="4" w:color="FCD34D"/>
        </w:pBdr>
      </w:pPr>
      <w:r>
        <w:rPr>
          <w:rFonts w:ascii="Calibri" w:hAnsi="Calibri"/>
          <w:b/>
          <w:color w:val="1F2D3D"/>
          <w:sz w:val="22"/>
        </w:rPr>
        <w:t xml:space="preserve">Direction Engine:  </w:t>
      </w:r>
      <w:r>
        <w:rPr>
          <w:rFonts w:ascii="Calibri" w:hAnsi="Calibri"/>
          <w:color w:val="000000"/>
          <w:sz w:val="22"/>
        </w:rPr>
        <w:t>An 81.5% accurate directional signal means that when SIGNAL says UP with high confidence, that prediction has historically been correct 81.5% of the time — materially better than a 50/50 random outcome.</w:t>
      </w:r>
    </w:p>
    <w:p>
      <w:pPr>
        <w:spacing w:after="80"/>
      </w:pPr>
    </w:p>
    <w:p>
      <w:pPr>
        <w:spacing w:before="120" w:after="120"/>
        <w:shd w:val="clear" w:color="auto" w:fill="DBEAFE"/>
        <w:pBdr>
          <w:top w:val="single" w:sz="6" w:space="4" w:color="93C5FD"/>
          <w:left w:val="single" w:sz="6" w:space="4" w:color="93C5FD"/>
          <w:bottom w:val="single" w:sz="6" w:space="4" w:color="93C5FD"/>
          <w:right w:val="single" w:sz="6" w:space="4" w:color="93C5FD"/>
        </w:pBdr>
      </w:pPr>
      <w:r>
        <w:rPr>
          <w:rFonts w:ascii="Calibri" w:hAnsi="Calibri"/>
          <w:b/>
          <w:color w:val="1F2D3D"/>
          <w:sz w:val="22"/>
        </w:rPr>
        <w:t xml:space="preserve">Price Forecast:  </w:t>
      </w:r>
      <w:r>
        <w:rPr>
          <w:rFonts w:ascii="Calibri" w:hAnsi="Calibri"/>
          <w:color w:val="000000"/>
          <w:sz w:val="22"/>
        </w:rPr>
        <w:t>A $2.07 RMSE at a ~$75/bbl spot price equates to approximately 2.8% average error. In practical terms, the model's daily price estimate is typically within $2 of the actual close.</w:t>
      </w:r>
    </w:p>
    <w:p>
      <w:pPr>
        <w:spacing w:after="80"/>
      </w:pPr>
    </w:p>
    <w:p>
      <w:pPr>
        <w:spacing w:before="120" w:after="120"/>
        <w:shd w:val="clear" w:color="auto" w:fill="FEF3C7"/>
        <w:pBdr>
          <w:top w:val="single" w:sz="6" w:space="4" w:color="FCD34D"/>
          <w:left w:val="single" w:sz="6" w:space="4" w:color="FCD34D"/>
          <w:bottom w:val="single" w:sz="6" w:space="4" w:color="FCD34D"/>
          <w:right w:val="single" w:sz="6" w:space="4" w:color="FCD34D"/>
        </w:pBdr>
      </w:pPr>
      <w:r>
        <w:rPr>
          <w:rFonts w:ascii="Calibri" w:hAnsi="Calibri"/>
          <w:b/>
          <w:color w:val="1F2D3D"/>
          <w:sz w:val="22"/>
        </w:rPr>
        <w:t xml:space="preserve">Important Caveat:  </w:t>
      </w:r>
      <w:r>
        <w:rPr>
          <w:rFonts w:ascii="Calibri" w:hAnsi="Calibri"/>
          <w:color w:val="000000"/>
          <w:sz w:val="22"/>
        </w:rPr>
        <w:t>Black swan events — sudden geopolitical shocks, force majeure incidents, pandemic responses — are not predictable by any model trained on historical data. SIGNAL outputs must always be combined with human market judgment.</w:t>
      </w:r>
    </w:p>
    <w:p>
      <w:r>
        <w:br w:type="page"/>
      </w:r>
    </w:p>
    <w:p>
      <w:pPr>
        <w:pStyle w:val="Heading1"/>
      </w:pPr>
      <w:r>
        <w:t>8.  Price Forecast  (/dashboard/forecast)</w:t>
      </w:r>
    </w:p>
    <w:p>
      <w:pPr/>
      <w:r>
        <w:rPr>
          <w:rFonts w:ascii="Calibri" w:hAnsi="Calibri"/>
          <w:b w:val="0"/>
          <w:color w:val="000000"/>
          <w:sz w:val="22"/>
        </w:rPr>
        <w:t>The Price Forecast page presents the regression model's outputs in full analytical detail — performance metrics, historical validation, feature contributions, and model architecture.</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Price Forecast Page — Full Overview (Metric Cards + Chart) ]</w:t>
      </w:r>
    </w:p>
    <w:p>
      <w:pPr>
        <w:pStyle w:val="Heading2"/>
      </w:pPr>
      <w:r>
        <w:t>8.1  Performance Metric Cards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E3A5F"/>
            <w:vAlign w:val="center"/>
          </w:tcPr>
          <w:p>
            <w:pPr>
              <w:jc w:val="left"/>
            </w:pPr>
            <w:r>
              <w:rPr>
                <w:rFonts w:ascii="Calibri" w:hAnsi="Calibri"/>
                <w:b/>
                <w:color w:val="FFFFFF"/>
                <w:sz w:val="20"/>
              </w:rPr>
              <w:t>Metric</w:t>
            </w:r>
          </w:p>
        </w:tc>
        <w:tc>
          <w:tcPr>
            <w:tcW w:type="dxa" w:w="2160"/>
            <w:shd w:val="clear" w:color="auto" w:fill="1E3A5F"/>
            <w:vAlign w:val="center"/>
          </w:tcPr>
          <w:p>
            <w:pPr>
              <w:jc w:val="left"/>
            </w:pPr>
            <w:r>
              <w:rPr>
                <w:rFonts w:ascii="Calibri" w:hAnsi="Calibri"/>
                <w:b/>
                <w:color w:val="FFFFFF"/>
                <w:sz w:val="20"/>
              </w:rPr>
              <w:t>Value</w:t>
            </w:r>
          </w:p>
        </w:tc>
        <w:tc>
          <w:tcPr>
            <w:tcW w:type="dxa" w:w="7200"/>
            <w:shd w:val="clear" w:color="auto" w:fill="1E3A5F"/>
            <w:vAlign w:val="center"/>
          </w:tcPr>
          <w:p>
            <w:pPr>
              <w:jc w:val="left"/>
            </w:pPr>
            <w:r>
              <w:rPr>
                <w:rFonts w:ascii="Calibri" w:hAnsi="Calibri"/>
                <w:b/>
                <w:color w:val="FFFFFF"/>
                <w:sz w:val="20"/>
              </w:rPr>
              <w:t>What It Means</w:t>
            </w:r>
          </w:p>
        </w:tc>
      </w:tr>
      <w:tr>
        <w:tc>
          <w:tcPr>
            <w:tcW w:type="dxa" w:w="2160"/>
            <w:shd w:val="clear" w:color="auto" w:fill="F9FAFB"/>
          </w:tcPr>
          <w:p>
            <w:r>
              <w:rPr>
                <w:rFonts w:ascii="Calibri" w:hAnsi="Calibri"/>
                <w:color w:val="000000"/>
                <w:sz w:val="20"/>
              </w:rPr>
              <w:t>RMSE</w:t>
            </w:r>
          </w:p>
        </w:tc>
        <w:tc>
          <w:tcPr>
            <w:tcW w:type="dxa" w:w="2160"/>
            <w:shd w:val="clear" w:color="auto" w:fill="F9FAFB"/>
          </w:tcPr>
          <w:p>
            <w:r>
              <w:rPr>
                <w:rFonts w:ascii="Calibri" w:hAnsi="Calibri"/>
                <w:color w:val="000000"/>
                <w:sz w:val="20"/>
              </w:rPr>
              <w:t>$2.07 / bbl</w:t>
            </w:r>
          </w:p>
        </w:tc>
        <w:tc>
          <w:tcPr>
            <w:tcW w:type="dxa" w:w="7200"/>
            <w:shd w:val="clear" w:color="auto" w:fill="F9FAFB"/>
          </w:tcPr>
          <w:p>
            <w:r>
              <w:rPr>
                <w:rFonts w:ascii="Calibri" w:hAnsi="Calibri"/>
                <w:color w:val="000000"/>
                <w:sz w:val="20"/>
              </w:rPr>
              <w:t>Root mean square error — typical prediction error in dollar terms.</w:t>
            </w:r>
          </w:p>
        </w:tc>
      </w:tr>
      <w:tr>
        <w:tc>
          <w:tcPr>
            <w:tcW w:type="dxa" w:w="2160"/>
            <w:shd w:val="clear" w:color="auto" w:fill="FFFFFF"/>
          </w:tcPr>
          <w:p>
            <w:r>
              <w:rPr>
                <w:rFonts w:ascii="Calibri" w:hAnsi="Calibri"/>
                <w:color w:val="000000"/>
                <w:sz w:val="20"/>
              </w:rPr>
              <w:t>MAE</w:t>
            </w:r>
          </w:p>
        </w:tc>
        <w:tc>
          <w:tcPr>
            <w:tcW w:type="dxa" w:w="2160"/>
            <w:shd w:val="clear" w:color="auto" w:fill="FFFFFF"/>
          </w:tcPr>
          <w:p>
            <w:r>
              <w:rPr>
                <w:rFonts w:ascii="Calibri" w:hAnsi="Calibri"/>
                <w:color w:val="000000"/>
                <w:sz w:val="20"/>
              </w:rPr>
              <w:t>~$1.60 / bbl</w:t>
            </w:r>
          </w:p>
        </w:tc>
        <w:tc>
          <w:tcPr>
            <w:tcW w:type="dxa" w:w="7200"/>
            <w:shd w:val="clear" w:color="auto" w:fill="FFFFFF"/>
          </w:tcPr>
          <w:p>
            <w:r>
              <w:rPr>
                <w:rFonts w:ascii="Calibri" w:hAnsi="Calibri"/>
                <w:color w:val="000000"/>
                <w:sz w:val="20"/>
              </w:rPr>
              <w:t>Mean absolute error — average magnitude of daily forecast errors.</w:t>
            </w:r>
          </w:p>
        </w:tc>
      </w:tr>
      <w:tr>
        <w:tc>
          <w:tcPr>
            <w:tcW w:type="dxa" w:w="2160"/>
            <w:shd w:val="clear" w:color="auto" w:fill="F9FAFB"/>
          </w:tcPr>
          <w:p>
            <w:r>
              <w:rPr>
                <w:rFonts w:ascii="Calibri" w:hAnsi="Calibri"/>
                <w:color w:val="000000"/>
                <w:sz w:val="20"/>
              </w:rPr>
              <w:t>R²</w:t>
            </w:r>
          </w:p>
        </w:tc>
        <w:tc>
          <w:tcPr>
            <w:tcW w:type="dxa" w:w="2160"/>
            <w:shd w:val="clear" w:color="auto" w:fill="F9FAFB"/>
          </w:tcPr>
          <w:p>
            <w:r>
              <w:rPr>
                <w:rFonts w:ascii="Calibri" w:hAnsi="Calibri"/>
                <w:color w:val="000000"/>
                <w:sz w:val="20"/>
              </w:rPr>
              <w:t>0.9532</w:t>
            </w:r>
          </w:p>
        </w:tc>
        <w:tc>
          <w:tcPr>
            <w:tcW w:type="dxa" w:w="7200"/>
            <w:shd w:val="clear" w:color="auto" w:fill="F9FAFB"/>
          </w:tcPr>
          <w:p>
            <w:r>
              <w:rPr>
                <w:rFonts w:ascii="Calibri" w:hAnsi="Calibri"/>
                <w:color w:val="000000"/>
                <w:sz w:val="20"/>
              </w:rPr>
              <w:t>95.3% of daily price variance is explained by the model.</w:t>
            </w:r>
          </w:p>
        </w:tc>
      </w:tr>
      <w:tr>
        <w:tc>
          <w:tcPr>
            <w:tcW w:type="dxa" w:w="2160"/>
            <w:shd w:val="clear" w:color="auto" w:fill="FFFFFF"/>
          </w:tcPr>
          <w:p>
            <w:r>
              <w:rPr>
                <w:rFonts w:ascii="Calibri" w:hAnsi="Calibri"/>
                <w:color w:val="000000"/>
                <w:sz w:val="20"/>
              </w:rPr>
              <w:t>MAPE</w:t>
            </w:r>
          </w:p>
        </w:tc>
        <w:tc>
          <w:tcPr>
            <w:tcW w:type="dxa" w:w="2160"/>
            <w:shd w:val="clear" w:color="auto" w:fill="FFFFFF"/>
          </w:tcPr>
          <w:p>
            <w:r>
              <w:rPr>
                <w:rFonts w:ascii="Calibri" w:hAnsi="Calibri"/>
                <w:color w:val="000000"/>
                <w:sz w:val="20"/>
              </w:rPr>
              <w:t>~2.5%</w:t>
            </w:r>
          </w:p>
        </w:tc>
        <w:tc>
          <w:tcPr>
            <w:tcW w:type="dxa" w:w="7200"/>
            <w:shd w:val="clear" w:color="auto" w:fill="FFFFFF"/>
          </w:tcPr>
          <w:p>
            <w:r>
              <w:rPr>
                <w:rFonts w:ascii="Calibri" w:hAnsi="Calibri"/>
                <w:color w:val="000000"/>
                <w:sz w:val="20"/>
              </w:rPr>
              <w:t>Average percentage error of daily price prediction.</w:t>
            </w:r>
          </w:p>
        </w:tc>
      </w:tr>
    </w:tbl>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Price Forecast — Metric Cards (RMSE, MAE, R², MAPE) ]</w:t>
      </w:r>
    </w:p>
    <w:p>
      <w:pPr>
        <w:pStyle w:val="Heading2"/>
      </w:pPr>
      <w:r>
        <w:t>8.2  Actual vs. Predicted Chart</w:t>
      </w:r>
    </w:p>
    <w:p>
      <w:pPr/>
      <w:r>
        <w:rPr>
          <w:rFonts w:ascii="Calibri" w:hAnsi="Calibri"/>
          <w:b w:val="0"/>
          <w:color w:val="000000"/>
          <w:sz w:val="22"/>
        </w:rPr>
        <w:t>A three-line chart plotted over the holdout test window — data the model never saw during training. Users can toggle individual lines by clicking their legend labels. Hover for exact date and price values.</w:t>
      </w:r>
    </w:p>
    <w:p>
      <w:pPr>
        <w:pStyle w:val="ListBullet"/>
        <w:spacing w:after="60"/>
        <w:ind w:left="360"/>
      </w:pPr>
      <w:r>
        <w:rPr>
          <w:rFonts w:ascii="Calibri" w:hAnsi="Calibri"/>
          <w:color w:val="000000"/>
          <w:sz w:val="22"/>
        </w:rPr>
        <w:t>Actual (blue) — real WTI closing prices.</w:t>
      </w:r>
    </w:p>
    <w:p>
      <w:pPr>
        <w:pStyle w:val="ListBullet"/>
        <w:spacing w:after="60"/>
        <w:ind w:left="360"/>
      </w:pPr>
      <w:r>
        <w:rPr>
          <w:rFonts w:ascii="Calibri" w:hAnsi="Calibri"/>
          <w:color w:val="000000"/>
          <w:sz w:val="22"/>
        </w:rPr>
        <w:t>Predicted (orange) — model's price forecast.</w:t>
      </w:r>
    </w:p>
    <w:p>
      <w:pPr>
        <w:pStyle w:val="ListBullet"/>
        <w:spacing w:after="60"/>
        <w:ind w:left="360"/>
      </w:pPr>
      <w:r>
        <w:rPr>
          <w:rFonts w:ascii="Calibri" w:hAnsi="Calibri"/>
          <w:color w:val="000000"/>
          <w:sz w:val="22"/>
        </w:rPr>
        <w:t>Baseline (grey) — naïve last-price random-walk benchmark.</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Actual vs Predicted Chart — 3-Line Holdout Validation (Actual / Predicted / Baseline) ]</w:t>
      </w:r>
    </w:p>
    <w:p>
      <w:pPr>
        <w:pStyle w:val="Heading2"/>
      </w:pPr>
      <w:r>
        <w:t>8.3  Error Analysis Row</w:t>
      </w:r>
    </w:p>
    <w:tbl>
      <w:tblPr>
        <w:tblStyle w:val="TableGrid"/>
        <w:tblW w:type="auto" w:w="0"/>
        <w:jc w:val="left"/>
        <w:tblLook w:firstColumn="1" w:firstRow="1" w:lastColumn="0" w:lastRow="0" w:noHBand="0" w:noVBand="1" w:val="04A0"/>
      </w:tblPr>
      <w:tblGrid>
        <w:gridCol w:w="4680"/>
        <w:gridCol w:w="4680"/>
      </w:tblGrid>
      <w:tr>
        <w:tc>
          <w:tcPr>
            <w:tcW w:type="dxa" w:w="3240"/>
            <w:shd w:val="clear" w:color="auto" w:fill="1E3A5F"/>
            <w:vAlign w:val="center"/>
          </w:tcPr>
          <w:p>
            <w:pPr>
              <w:jc w:val="left"/>
            </w:pPr>
            <w:r>
              <w:rPr>
                <w:rFonts w:ascii="Calibri" w:hAnsi="Calibri"/>
                <w:b/>
                <w:color w:val="FFFFFF"/>
                <w:sz w:val="20"/>
              </w:rPr>
              <w:t>Card</w:t>
            </w:r>
          </w:p>
        </w:tc>
        <w:tc>
          <w:tcPr>
            <w:tcW w:type="dxa" w:w="8280"/>
            <w:shd w:val="clear" w:color="auto" w:fill="1E3A5F"/>
            <w:vAlign w:val="center"/>
          </w:tcPr>
          <w:p>
            <w:pPr>
              <w:jc w:val="left"/>
            </w:pPr>
            <w:r>
              <w:rPr>
                <w:rFonts w:ascii="Calibri" w:hAnsi="Calibri"/>
                <w:b/>
                <w:color w:val="FFFFFF"/>
                <w:sz w:val="20"/>
              </w:rPr>
              <w:t>What It Measures</w:t>
            </w:r>
          </w:p>
        </w:tc>
      </w:tr>
      <w:tr>
        <w:tc>
          <w:tcPr>
            <w:tcW w:type="dxa" w:w="3240"/>
            <w:shd w:val="clear" w:color="auto" w:fill="F9FAFB"/>
          </w:tcPr>
          <w:p>
            <w:r>
              <w:rPr>
                <w:rFonts w:ascii="Calibri" w:hAnsi="Calibri"/>
                <w:color w:val="000000"/>
                <w:sz w:val="20"/>
              </w:rPr>
              <w:t>Within ±2% of Actual</w:t>
            </w:r>
          </w:p>
        </w:tc>
        <w:tc>
          <w:tcPr>
            <w:tcW w:type="dxa" w:w="8280"/>
            <w:shd w:val="clear" w:color="auto" w:fill="F9FAFB"/>
          </w:tcPr>
          <w:p>
            <w:r>
              <w:rPr>
                <w:rFonts w:ascii="Calibri" w:hAnsi="Calibri"/>
                <w:color w:val="000000"/>
                <w:sz w:val="20"/>
              </w:rPr>
              <w:t>Percentage of holdout test days where the model's prediction was within 2% of the real closing price.</w:t>
            </w:r>
          </w:p>
        </w:tc>
      </w:tr>
      <w:tr>
        <w:tc>
          <w:tcPr>
            <w:tcW w:type="dxa" w:w="3240"/>
            <w:shd w:val="clear" w:color="auto" w:fill="FFFFFF"/>
          </w:tcPr>
          <w:p>
            <w:r>
              <w:rPr>
                <w:rFonts w:ascii="Calibri" w:hAnsi="Calibri"/>
                <w:color w:val="000000"/>
                <w:sz w:val="20"/>
              </w:rPr>
              <w:t>Largest Single-Day Miss</w:t>
            </w:r>
          </w:p>
        </w:tc>
        <w:tc>
          <w:tcPr>
            <w:tcW w:type="dxa" w:w="8280"/>
            <w:shd w:val="clear" w:color="auto" w:fill="FFFFFF"/>
          </w:tcPr>
          <w:p>
            <w:r>
              <w:rPr>
                <w:rFonts w:ascii="Calibri" w:hAnsi="Calibri"/>
                <w:color w:val="000000"/>
                <w:sz w:val="20"/>
              </w:rPr>
              <w:t>The maximum absolute error recorded on any single day in the holdout test set.</w:t>
            </w:r>
          </w:p>
        </w:tc>
      </w:tr>
      <w:tr>
        <w:tc>
          <w:tcPr>
            <w:tcW w:type="dxa" w:w="3240"/>
            <w:shd w:val="clear" w:color="auto" w:fill="F9FAFB"/>
          </w:tcPr>
          <w:p>
            <w:r>
              <w:rPr>
                <w:rFonts w:ascii="Calibri" w:hAnsi="Calibri"/>
                <w:color w:val="000000"/>
                <w:sz w:val="20"/>
              </w:rPr>
              <w:t>Direction Accuracy</w:t>
            </w:r>
          </w:p>
        </w:tc>
        <w:tc>
          <w:tcPr>
            <w:tcW w:type="dxa" w:w="8280"/>
            <w:shd w:val="clear" w:color="auto" w:fill="F9FAFB"/>
          </w:tcPr>
          <w:p>
            <w:r>
              <w:rPr>
                <w:rFonts w:ascii="Calibri" w:hAnsi="Calibri"/>
                <w:color w:val="000000"/>
                <w:sz w:val="20"/>
              </w:rPr>
              <w:t>Percentage of holdout days where the model correctly predicted the direction of price movement.</w:t>
            </w:r>
          </w:p>
        </w:tc>
      </w:tr>
    </w:tbl>
    <w:p/>
    <w:p>
      <w:pPr>
        <w:pStyle w:val="Heading2"/>
      </w:pPr>
      <w:r>
        <w:t>8.4  Feature Importance Chart</w:t>
      </w:r>
    </w:p>
    <w:p>
      <w:pPr/>
      <w:r>
        <w:rPr>
          <w:rFonts w:ascii="Calibri" w:hAnsi="Calibri"/>
          <w:b w:val="0"/>
          <w:color w:val="000000"/>
          <w:sz w:val="22"/>
        </w:rPr>
        <w:t>A horizontal bar chart showing which input features contribute most to the model's predictions, colour-coded by category:</w:t>
      </w:r>
    </w:p>
    <w:p>
      <w:pPr>
        <w:pStyle w:val="ListBullet"/>
        <w:spacing w:after="60"/>
        <w:ind w:left="360"/>
      </w:pPr>
      <w:r>
        <w:rPr>
          <w:rFonts w:ascii="Calibri" w:hAnsi="Calibri"/>
          <w:color w:val="000000"/>
          <w:sz w:val="22"/>
        </w:rPr>
        <w:t>Price-lag features (blue) — typically the most dominant drivers.</w:t>
      </w:r>
    </w:p>
    <w:p>
      <w:pPr>
        <w:pStyle w:val="ListBullet"/>
        <w:spacing w:after="60"/>
        <w:ind w:left="360"/>
      </w:pPr>
      <w:r>
        <w:rPr>
          <w:rFonts w:ascii="Calibri" w:hAnsi="Calibri"/>
          <w:color w:val="000000"/>
          <w:sz w:val="22"/>
        </w:rPr>
        <w:t>Moving-average features (green) — medium-term trend signals.</w:t>
      </w:r>
    </w:p>
    <w:p>
      <w:pPr>
        <w:pStyle w:val="ListBullet"/>
        <w:spacing w:after="60"/>
        <w:ind w:left="360"/>
      </w:pPr>
      <w:r>
        <w:rPr>
          <w:rFonts w:ascii="Calibri" w:hAnsi="Calibri"/>
          <w:color w:val="000000"/>
          <w:sz w:val="22"/>
        </w:rPr>
        <w:t>Volatility features (amber) — risk environment context.</w:t>
      </w:r>
    </w:p>
    <w:p>
      <w:pPr>
        <w:pStyle w:val="ListBullet"/>
        <w:spacing w:after="60"/>
        <w:ind w:left="360"/>
      </w:pPr>
      <w:r>
        <w:rPr>
          <w:rFonts w:ascii="Calibri" w:hAnsi="Calibri"/>
          <w:color w:val="000000"/>
          <w:sz w:val="22"/>
        </w:rPr>
        <w:t>Sentiment features (purple) — news-derived market mood signals.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Feature Importance Chart — Colour-Coded Bar Chart by Feature Category ]</w:t>
      </w:r>
    </w:p>
    <w:p>
      <w:pPr>
        <w:pStyle w:val="Heading2"/>
      </w:pPr>
      <w:r>
        <w:t>8.5  Model Architecture Explainer</w:t>
      </w:r>
    </w:p>
    <w:p>
      <w:pPr/>
      <w:r>
        <w:rPr>
          <w:rFonts w:ascii="Calibri" w:hAnsi="Calibri"/>
          <w:b w:val="0"/>
          <w:color w:val="000000"/>
          <w:sz w:val="22"/>
        </w:rPr>
        <w:t>A three-step visual explainer describes the stacking pipeline: Step 1 — Base Models (Ridge, HistGBM, LightGBM) generate independent price predictions. Step 2 — Meta-Learner (RidgeCV) learns optimal weights for combining base model outputs. Step 3 — Final prediction output in $/bbl.</w:t>
      </w:r>
    </w:p>
    <w:p>
      <w:pPr/>
      <w:r>
        <w:rPr>
          <w:rFonts w:ascii="Calibri" w:hAnsi="Calibri"/>
          <w:b w:val="0"/>
          <w:color w:val="000000"/>
          <w:sz w:val="22"/>
        </w:rPr>
        <w:t>A collapsible model comparison table lists all evaluated algorithms alongside their RMSE and R² scores, documenting why the stacking ensemble was selected as the production model.</w:t>
      </w:r>
    </w:p>
    <w:p>
      <w:r>
        <w:br w:type="page"/>
      </w:r>
    </w:p>
    <w:p>
      <w:pPr>
        <w:pStyle w:val="Heading1"/>
      </w:pPr>
      <w:r>
        <w:t>9.  Interpreting Signals</w:t>
      </w:r>
    </w:p>
    <w:p>
      <w:pPr>
        <w:pStyle w:val="Heading2"/>
      </w:pPr>
      <w:r>
        <w:t>9.1  Signal States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E3A5F"/>
            <w:vAlign w:val="center"/>
          </w:tcPr>
          <w:p>
            <w:pPr>
              <w:jc w:val="left"/>
            </w:pPr>
            <w:r>
              <w:rPr>
                <w:rFonts w:ascii="Calibri" w:hAnsi="Calibri"/>
                <w:b/>
                <w:color w:val="FFFFFF"/>
                <w:sz w:val="20"/>
              </w:rPr>
              <w:t>Signal State</w:t>
            </w:r>
          </w:p>
        </w:tc>
        <w:tc>
          <w:tcPr>
            <w:tcW w:type="dxa" w:w="1440"/>
            <w:shd w:val="clear" w:color="auto" w:fill="1E3A5F"/>
            <w:vAlign w:val="center"/>
          </w:tcPr>
          <w:p>
            <w:pPr>
              <w:jc w:val="left"/>
            </w:pPr>
            <w:r>
              <w:rPr>
                <w:rFonts w:ascii="Calibri" w:hAnsi="Calibri"/>
                <w:b/>
                <w:color w:val="FFFFFF"/>
                <w:sz w:val="20"/>
              </w:rPr>
              <w:t>Confidence</w:t>
            </w:r>
          </w:p>
        </w:tc>
        <w:tc>
          <w:tcPr>
            <w:tcW w:type="dxa" w:w="3600"/>
            <w:shd w:val="clear" w:color="auto" w:fill="1E3A5F"/>
            <w:vAlign w:val="center"/>
          </w:tcPr>
          <w:p>
            <w:pPr>
              <w:jc w:val="left"/>
            </w:pPr>
            <w:r>
              <w:rPr>
                <w:rFonts w:ascii="Calibri" w:hAnsi="Calibri"/>
                <w:b/>
                <w:color w:val="FFFFFF"/>
                <w:sz w:val="20"/>
              </w:rPr>
              <w:t>Interpretation</w:t>
            </w:r>
          </w:p>
        </w:tc>
        <w:tc>
          <w:tcPr>
            <w:tcW w:type="dxa" w:w="4608"/>
            <w:shd w:val="clear" w:color="auto" w:fill="1E3A5F"/>
            <w:vAlign w:val="center"/>
          </w:tcPr>
          <w:p>
            <w:pPr>
              <w:jc w:val="left"/>
            </w:pPr>
            <w:r>
              <w:rPr>
                <w:rFonts w:ascii="Calibri" w:hAnsi="Calibri"/>
                <w:b/>
                <w:color w:val="FFFFFF"/>
                <w:sz w:val="20"/>
              </w:rPr>
              <w:t>Suggested Response</w:t>
            </w:r>
          </w:p>
        </w:tc>
      </w:tr>
      <w:tr>
        <w:tc>
          <w:tcPr>
            <w:tcW w:type="dxa" w:w="1872"/>
            <w:shd w:val="clear" w:color="auto" w:fill="F9FAFB"/>
          </w:tcPr>
          <w:p>
            <w:r>
              <w:rPr>
                <w:rFonts w:ascii="Calibri" w:hAnsi="Calibri"/>
                <w:color w:val="000000"/>
                <w:sz w:val="20"/>
              </w:rPr>
              <w:t>⬆ Strong UP</w:t>
            </w:r>
          </w:p>
        </w:tc>
        <w:tc>
          <w:tcPr>
            <w:tcW w:type="dxa" w:w="1440"/>
            <w:shd w:val="clear" w:color="auto" w:fill="F9FAFB"/>
          </w:tcPr>
          <w:p>
            <w:r>
              <w:rPr>
                <w:rFonts w:ascii="Calibri" w:hAnsi="Calibri"/>
                <w:color w:val="000000"/>
                <w:sz w:val="20"/>
              </w:rPr>
              <w:t>&gt; 80%</w:t>
            </w:r>
          </w:p>
        </w:tc>
        <w:tc>
          <w:tcPr>
            <w:tcW w:type="dxa" w:w="3600"/>
            <w:shd w:val="clear" w:color="auto" w:fill="F9FAFB"/>
          </w:tcPr>
          <w:p>
            <w:r>
              <w:rPr>
                <w:rFonts w:ascii="Calibri" w:hAnsi="Calibri"/>
                <w:color w:val="000000"/>
                <w:sz w:val="20"/>
              </w:rPr>
              <w:t>High-probability bullish move expected</w:t>
            </w:r>
          </w:p>
        </w:tc>
        <w:tc>
          <w:tcPr>
            <w:tcW w:type="dxa" w:w="4608"/>
            <w:shd w:val="clear" w:color="auto" w:fill="F9FAFB"/>
          </w:tcPr>
          <w:p>
            <w:r>
              <w:rPr>
                <w:rFonts w:ascii="Calibri" w:hAnsi="Calibri"/>
                <w:color w:val="000000"/>
                <w:sz w:val="20"/>
              </w:rPr>
              <w:t>Lean long; review call optionality.</w:t>
            </w:r>
          </w:p>
        </w:tc>
      </w:tr>
      <w:tr>
        <w:tc>
          <w:tcPr>
            <w:tcW w:type="dxa" w:w="1872"/>
            <w:shd w:val="clear" w:color="auto" w:fill="FFFFFF"/>
          </w:tcPr>
          <w:p>
            <w:r>
              <w:rPr>
                <w:rFonts w:ascii="Calibri" w:hAnsi="Calibri"/>
                <w:color w:val="000000"/>
                <w:sz w:val="20"/>
              </w:rPr>
              <w:t>↑ UP</w:t>
            </w:r>
          </w:p>
        </w:tc>
        <w:tc>
          <w:tcPr>
            <w:tcW w:type="dxa" w:w="1440"/>
            <w:shd w:val="clear" w:color="auto" w:fill="FFFFFF"/>
          </w:tcPr>
          <w:p>
            <w:r>
              <w:rPr>
                <w:rFonts w:ascii="Calibri" w:hAnsi="Calibri"/>
                <w:color w:val="000000"/>
                <w:sz w:val="20"/>
              </w:rPr>
              <w:t>60–80%</w:t>
            </w:r>
          </w:p>
        </w:tc>
        <w:tc>
          <w:tcPr>
            <w:tcW w:type="dxa" w:w="3600"/>
            <w:shd w:val="clear" w:color="auto" w:fill="FFFFFF"/>
          </w:tcPr>
          <w:p>
            <w:r>
              <w:rPr>
                <w:rFonts w:ascii="Calibri" w:hAnsi="Calibri"/>
                <w:color w:val="000000"/>
                <w:sz w:val="20"/>
              </w:rPr>
              <w:t>Moderate bullish lean</w:t>
            </w:r>
          </w:p>
        </w:tc>
        <w:tc>
          <w:tcPr>
            <w:tcW w:type="dxa" w:w="4608"/>
            <w:shd w:val="clear" w:color="auto" w:fill="FFFFFF"/>
          </w:tcPr>
          <w:p>
            <w:r>
              <w:rPr>
                <w:rFonts w:ascii="Calibri" w:hAnsi="Calibri"/>
                <w:color w:val="000000"/>
                <w:sz w:val="20"/>
              </w:rPr>
              <w:t>Monitor; wait for news confirmation before acting.</w:t>
            </w:r>
          </w:p>
        </w:tc>
      </w:tr>
      <w:tr>
        <w:tc>
          <w:tcPr>
            <w:tcW w:type="dxa" w:w="1872"/>
            <w:shd w:val="clear" w:color="auto" w:fill="F9FAFB"/>
          </w:tcPr>
          <w:p>
            <w:r>
              <w:rPr>
                <w:rFonts w:ascii="Calibri" w:hAnsi="Calibri"/>
                <w:color w:val="000000"/>
                <w:sz w:val="20"/>
              </w:rPr>
              <w:t>Uncertain</w:t>
            </w:r>
          </w:p>
        </w:tc>
        <w:tc>
          <w:tcPr>
            <w:tcW w:type="dxa" w:w="1440"/>
            <w:shd w:val="clear" w:color="auto" w:fill="F9FAFB"/>
          </w:tcPr>
          <w:p>
            <w:r>
              <w:rPr>
                <w:rFonts w:ascii="Calibri" w:hAnsi="Calibri"/>
                <w:color w:val="000000"/>
                <w:sz w:val="20"/>
              </w:rPr>
              <w:t>&lt; 60%</w:t>
            </w:r>
          </w:p>
        </w:tc>
        <w:tc>
          <w:tcPr>
            <w:tcW w:type="dxa" w:w="3600"/>
            <w:shd w:val="clear" w:color="auto" w:fill="F9FAFB"/>
          </w:tcPr>
          <w:p>
            <w:r>
              <w:rPr>
                <w:rFonts w:ascii="Calibri" w:hAnsi="Calibri"/>
                <w:color w:val="000000"/>
                <w:sz w:val="20"/>
              </w:rPr>
              <w:t>Model lacks sufficient conviction</w:t>
            </w:r>
          </w:p>
        </w:tc>
        <w:tc>
          <w:tcPr>
            <w:tcW w:type="dxa" w:w="4608"/>
            <w:shd w:val="clear" w:color="auto" w:fill="F9FAFB"/>
          </w:tcPr>
          <w:p>
            <w:r>
              <w:rPr>
                <w:rFonts w:ascii="Calibri" w:hAnsi="Calibri"/>
                <w:color w:val="000000"/>
                <w:sz w:val="20"/>
              </w:rPr>
              <w:t>Hold current position; avoid new directional bets.</w:t>
            </w:r>
          </w:p>
        </w:tc>
      </w:tr>
      <w:tr>
        <w:tc>
          <w:tcPr>
            <w:tcW w:type="dxa" w:w="1872"/>
            <w:shd w:val="clear" w:color="auto" w:fill="FFFFFF"/>
          </w:tcPr>
          <w:p>
            <w:r>
              <w:rPr>
                <w:rFonts w:ascii="Calibri" w:hAnsi="Calibri"/>
                <w:color w:val="000000"/>
                <w:sz w:val="20"/>
              </w:rPr>
              <w:t>↓ DOWN</w:t>
            </w:r>
          </w:p>
        </w:tc>
        <w:tc>
          <w:tcPr>
            <w:tcW w:type="dxa" w:w="1440"/>
            <w:shd w:val="clear" w:color="auto" w:fill="FFFFFF"/>
          </w:tcPr>
          <w:p>
            <w:r>
              <w:rPr>
                <w:rFonts w:ascii="Calibri" w:hAnsi="Calibri"/>
                <w:color w:val="000000"/>
                <w:sz w:val="20"/>
              </w:rPr>
              <w:t>60–80%</w:t>
            </w:r>
          </w:p>
        </w:tc>
        <w:tc>
          <w:tcPr>
            <w:tcW w:type="dxa" w:w="3600"/>
            <w:shd w:val="clear" w:color="auto" w:fill="FFFFFF"/>
          </w:tcPr>
          <w:p>
            <w:r>
              <w:rPr>
                <w:rFonts w:ascii="Calibri" w:hAnsi="Calibri"/>
                <w:color w:val="000000"/>
                <w:sz w:val="20"/>
              </w:rPr>
              <w:t>Moderate bearish lean</w:t>
            </w:r>
          </w:p>
        </w:tc>
        <w:tc>
          <w:tcPr>
            <w:tcW w:type="dxa" w:w="4608"/>
            <w:shd w:val="clear" w:color="auto" w:fill="FFFFFF"/>
          </w:tcPr>
          <w:p>
            <w:r>
              <w:rPr>
                <w:rFonts w:ascii="Calibri" w:hAnsi="Calibri"/>
                <w:color w:val="000000"/>
                <w:sz w:val="20"/>
              </w:rPr>
              <w:t>Review short-side hedges; monitor closely.</w:t>
            </w:r>
          </w:p>
        </w:tc>
      </w:tr>
      <w:tr>
        <w:tc>
          <w:tcPr>
            <w:tcW w:type="dxa" w:w="1872"/>
            <w:shd w:val="clear" w:color="auto" w:fill="F9FAFB"/>
          </w:tcPr>
          <w:p>
            <w:r>
              <w:rPr>
                <w:rFonts w:ascii="Calibri" w:hAnsi="Calibri"/>
                <w:color w:val="000000"/>
                <w:sz w:val="20"/>
              </w:rPr>
              <w:t>⬇ Strong DOWN</w:t>
            </w:r>
          </w:p>
        </w:tc>
        <w:tc>
          <w:tcPr>
            <w:tcW w:type="dxa" w:w="1440"/>
            <w:shd w:val="clear" w:color="auto" w:fill="F9FAFB"/>
          </w:tcPr>
          <w:p>
            <w:r>
              <w:rPr>
                <w:rFonts w:ascii="Calibri" w:hAnsi="Calibri"/>
                <w:color w:val="000000"/>
                <w:sz w:val="20"/>
              </w:rPr>
              <w:t>&gt; 80%</w:t>
            </w:r>
          </w:p>
        </w:tc>
        <w:tc>
          <w:tcPr>
            <w:tcW w:type="dxa" w:w="3600"/>
            <w:shd w:val="clear" w:color="auto" w:fill="F9FAFB"/>
          </w:tcPr>
          <w:p>
            <w:r>
              <w:rPr>
                <w:rFonts w:ascii="Calibri" w:hAnsi="Calibri"/>
                <w:color w:val="000000"/>
                <w:sz w:val="20"/>
              </w:rPr>
              <w:t>High-probability bearish move expected</w:t>
            </w:r>
          </w:p>
        </w:tc>
        <w:tc>
          <w:tcPr>
            <w:tcW w:type="dxa" w:w="4608"/>
            <w:shd w:val="clear" w:color="auto" w:fill="F9FAFB"/>
          </w:tcPr>
          <w:p>
            <w:r>
              <w:rPr>
                <w:rFonts w:ascii="Calibri" w:hAnsi="Calibri"/>
                <w:color w:val="000000"/>
                <w:sz w:val="20"/>
              </w:rPr>
              <w:t>Review put protection or short futures exposure.</w:t>
            </w:r>
          </w:p>
        </w:tc>
      </w:tr>
    </w:tbl>
    <w:p/>
    <w:p>
      <w:pPr>
        <w:pStyle w:val="Heading2"/>
      </w:pPr>
      <w:r>
        <w:t>9.2  Confidence Thresholds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E3A5F"/>
            <w:vAlign w:val="center"/>
          </w:tcPr>
          <w:p>
            <w:pPr>
              <w:jc w:val="left"/>
            </w:pPr>
            <w:r>
              <w:rPr>
                <w:rFonts w:ascii="Calibri" w:hAnsi="Calibri"/>
                <w:b/>
                <w:color w:val="FFFFFF"/>
                <w:sz w:val="20"/>
              </w:rPr>
              <w:t>Probability</w:t>
            </w:r>
          </w:p>
        </w:tc>
        <w:tc>
          <w:tcPr>
            <w:tcW w:type="dxa" w:w="2160"/>
            <w:shd w:val="clear" w:color="auto" w:fill="1E3A5F"/>
            <w:vAlign w:val="center"/>
          </w:tcPr>
          <w:p>
            <w:pPr>
              <w:jc w:val="left"/>
            </w:pPr>
            <w:r>
              <w:rPr>
                <w:rFonts w:ascii="Calibri" w:hAnsi="Calibri"/>
                <w:b/>
                <w:color w:val="FFFFFF"/>
                <w:sz w:val="20"/>
              </w:rPr>
              <w:t>Label</w:t>
            </w:r>
          </w:p>
        </w:tc>
        <w:tc>
          <w:tcPr>
            <w:tcW w:type="dxa" w:w="7488"/>
            <w:shd w:val="clear" w:color="auto" w:fill="1E3A5F"/>
            <w:vAlign w:val="center"/>
          </w:tcPr>
          <w:p>
            <w:pPr>
              <w:jc w:val="left"/>
            </w:pPr>
            <w:r>
              <w:rPr>
                <w:rFonts w:ascii="Calibri" w:hAnsi="Calibri"/>
                <w:b/>
                <w:color w:val="FFFFFF"/>
                <w:sz w:val="20"/>
              </w:rPr>
              <w:t>Interpretation</w:t>
            </w:r>
          </w:p>
        </w:tc>
      </w:tr>
      <w:tr>
        <w:tc>
          <w:tcPr>
            <w:tcW w:type="dxa" w:w="1872"/>
            <w:shd w:val="clear" w:color="auto" w:fill="F9FAFB"/>
          </w:tcPr>
          <w:p>
            <w:r>
              <w:rPr>
                <w:rFonts w:ascii="Calibri" w:hAnsi="Calibri"/>
                <w:color w:val="000000"/>
                <w:sz w:val="20"/>
              </w:rPr>
              <w:t>p &gt; 0.80</w:t>
            </w:r>
          </w:p>
        </w:tc>
        <w:tc>
          <w:tcPr>
            <w:tcW w:type="dxa" w:w="2160"/>
            <w:shd w:val="clear" w:color="auto" w:fill="F9FAFB"/>
          </w:tcPr>
          <w:p>
            <w:r>
              <w:rPr>
                <w:rFonts w:ascii="Calibri" w:hAnsi="Calibri"/>
                <w:color w:val="000000"/>
                <w:sz w:val="20"/>
              </w:rPr>
              <w:t>Strong Signal</w:t>
            </w:r>
          </w:p>
        </w:tc>
        <w:tc>
          <w:tcPr>
            <w:tcW w:type="dxa" w:w="7488"/>
            <w:shd w:val="clear" w:color="auto" w:fill="F9FAFB"/>
          </w:tcPr>
          <w:p>
            <w:r>
              <w:rPr>
                <w:rFonts w:ascii="Calibri" w:hAnsi="Calibri"/>
                <w:color w:val="000000"/>
                <w:sz w:val="20"/>
              </w:rPr>
              <w:t>High conviction — historically the most reliable category.</w:t>
            </w:r>
          </w:p>
        </w:tc>
      </w:tr>
      <w:tr>
        <w:tc>
          <w:tcPr>
            <w:tcW w:type="dxa" w:w="1872"/>
            <w:shd w:val="clear" w:color="auto" w:fill="FFFFFF"/>
          </w:tcPr>
          <w:p>
            <w:r>
              <w:rPr>
                <w:rFonts w:ascii="Calibri" w:hAnsi="Calibri"/>
                <w:color w:val="000000"/>
                <w:sz w:val="20"/>
              </w:rPr>
              <w:t>0.65 – 0.80</w:t>
            </w:r>
          </w:p>
        </w:tc>
        <w:tc>
          <w:tcPr>
            <w:tcW w:type="dxa" w:w="2160"/>
            <w:shd w:val="clear" w:color="auto" w:fill="FFFFFF"/>
          </w:tcPr>
          <w:p>
            <w:r>
              <w:rPr>
                <w:rFonts w:ascii="Calibri" w:hAnsi="Calibri"/>
                <w:color w:val="000000"/>
                <w:sz w:val="20"/>
              </w:rPr>
              <w:t>Moderate Signal</w:t>
            </w:r>
          </w:p>
        </w:tc>
        <w:tc>
          <w:tcPr>
            <w:tcW w:type="dxa" w:w="7488"/>
            <w:shd w:val="clear" w:color="auto" w:fill="FFFFFF"/>
          </w:tcPr>
          <w:p>
            <w:r>
              <w:rPr>
                <w:rFonts w:ascii="Calibri" w:hAnsi="Calibri"/>
                <w:color w:val="000000"/>
                <w:sz w:val="20"/>
              </w:rPr>
              <w:t>Directional lean — use alongside corroborating indicators.</w:t>
            </w:r>
          </w:p>
        </w:tc>
      </w:tr>
      <w:tr>
        <w:tc>
          <w:tcPr>
            <w:tcW w:type="dxa" w:w="1872"/>
            <w:shd w:val="clear" w:color="auto" w:fill="F9FAFB"/>
          </w:tcPr>
          <w:p>
            <w:r>
              <w:rPr>
                <w:rFonts w:ascii="Calibri" w:hAnsi="Calibri"/>
                <w:color w:val="000000"/>
                <w:sz w:val="20"/>
              </w:rPr>
              <w:t>0.60 – 0.65</w:t>
            </w:r>
          </w:p>
        </w:tc>
        <w:tc>
          <w:tcPr>
            <w:tcW w:type="dxa" w:w="2160"/>
            <w:shd w:val="clear" w:color="auto" w:fill="F9FAFB"/>
          </w:tcPr>
          <w:p>
            <w:r>
              <w:rPr>
                <w:rFonts w:ascii="Calibri" w:hAnsi="Calibri"/>
                <w:color w:val="000000"/>
                <w:sz w:val="20"/>
              </w:rPr>
              <w:t>Weak Signal</w:t>
            </w:r>
          </w:p>
        </w:tc>
        <w:tc>
          <w:tcPr>
            <w:tcW w:type="dxa" w:w="7488"/>
            <w:shd w:val="clear" w:color="auto" w:fill="F9FAFB"/>
          </w:tcPr>
          <w:p>
            <w:r>
              <w:rPr>
                <w:rFonts w:ascii="Calibri" w:hAnsi="Calibri"/>
                <w:color w:val="000000"/>
                <w:sz w:val="20"/>
              </w:rPr>
              <w:t>Low conviction — treat with significant caution.</w:t>
            </w:r>
          </w:p>
        </w:tc>
      </w:tr>
      <w:tr>
        <w:tc>
          <w:tcPr>
            <w:tcW w:type="dxa" w:w="1872"/>
            <w:shd w:val="clear" w:color="auto" w:fill="FFFFFF"/>
          </w:tcPr>
          <w:p>
            <w:r>
              <w:rPr>
                <w:rFonts w:ascii="Calibri" w:hAnsi="Calibri"/>
                <w:color w:val="000000"/>
                <w:sz w:val="20"/>
              </w:rPr>
              <w:t>p &lt; 0.60</w:t>
            </w:r>
          </w:p>
        </w:tc>
        <w:tc>
          <w:tcPr>
            <w:tcW w:type="dxa" w:w="2160"/>
            <w:shd w:val="clear" w:color="auto" w:fill="FFFFFF"/>
          </w:tcPr>
          <w:p>
            <w:r>
              <w:rPr>
                <w:rFonts w:ascii="Calibri" w:hAnsi="Calibri"/>
                <w:color w:val="000000"/>
                <w:sz w:val="20"/>
              </w:rPr>
              <w:t>Uncertain</w:t>
            </w:r>
          </w:p>
        </w:tc>
        <w:tc>
          <w:tcPr>
            <w:tcW w:type="dxa" w:w="7488"/>
            <w:shd w:val="clear" w:color="auto" w:fill="FFFFFF"/>
          </w:tcPr>
          <w:p>
            <w:r>
              <w:rPr>
                <w:rFonts w:ascii="Calibri" w:hAnsi="Calibri"/>
                <w:color w:val="000000"/>
                <w:sz w:val="20"/>
              </w:rPr>
              <w:t>Model abstains — no actionable directional signal.</w:t>
            </w:r>
          </w:p>
        </w:tc>
      </w:tr>
    </w:tbl>
    <w:p/>
    <w:p>
      <w:pPr>
        <w:pStyle w:val="Heading2"/>
      </w:pPr>
      <w:r>
        <w:t>9.3  Decision Framework</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3A5F"/>
            <w:vAlign w:val="center"/>
          </w:tcPr>
          <w:p>
            <w:pPr>
              <w:jc w:val="left"/>
            </w:pPr>
            <w:r>
              <w:rPr>
                <w:rFonts w:ascii="Calibri" w:hAnsi="Calibri"/>
                <w:b/>
                <w:color w:val="FFFFFF"/>
                <w:sz w:val="20"/>
              </w:rPr>
              <w:t>Scenario</w:t>
            </w:r>
          </w:p>
        </w:tc>
        <w:tc>
          <w:tcPr>
            <w:tcW w:type="dxa" w:w="7200"/>
            <w:shd w:val="clear" w:color="auto" w:fill="1E3A5F"/>
            <w:vAlign w:val="center"/>
          </w:tcPr>
          <w:p>
            <w:pPr>
              <w:jc w:val="left"/>
            </w:pPr>
            <w:r>
              <w:rPr>
                <w:rFonts w:ascii="Calibri" w:hAnsi="Calibri"/>
                <w:b/>
                <w:color w:val="FFFFFF"/>
                <w:sz w:val="20"/>
              </w:rPr>
              <w:t>Recommended Response</w:t>
            </w:r>
          </w:p>
        </w:tc>
      </w:tr>
      <w:tr>
        <w:tc>
          <w:tcPr>
            <w:tcW w:type="dxa" w:w="4320"/>
            <w:shd w:val="clear" w:color="auto" w:fill="F9FAFB"/>
          </w:tcPr>
          <w:p>
            <w:r>
              <w:rPr>
                <w:rFonts w:ascii="Calibri" w:hAnsi="Calibri"/>
                <w:color w:val="000000"/>
                <w:sz w:val="20"/>
              </w:rPr>
              <w:t>Strong UP + Positive Sentiment (&gt; 0.3) + Rising news volume</w:t>
            </w:r>
          </w:p>
        </w:tc>
        <w:tc>
          <w:tcPr>
            <w:tcW w:type="dxa" w:w="7200"/>
            <w:shd w:val="clear" w:color="auto" w:fill="F9FAFB"/>
          </w:tcPr>
          <w:p>
            <w:r>
              <w:rPr>
                <w:rFonts w:ascii="Calibri" w:hAnsi="Calibri"/>
                <w:color w:val="000000"/>
                <w:sz w:val="20"/>
              </w:rPr>
              <w:t>High-confidence bullish setup. Strong case for long exposure or delayed selling.</w:t>
            </w:r>
          </w:p>
        </w:tc>
      </w:tr>
      <w:tr>
        <w:tc>
          <w:tcPr>
            <w:tcW w:type="dxa" w:w="4320"/>
            <w:shd w:val="clear" w:color="auto" w:fill="FFFFFF"/>
          </w:tcPr>
          <w:p>
            <w:r>
              <w:rPr>
                <w:rFonts w:ascii="Calibri" w:hAnsi="Calibri"/>
                <w:color w:val="000000"/>
                <w:sz w:val="20"/>
              </w:rPr>
              <w:t>Strong DOWN + Negative Sentiment (&lt; −0.3) + Bearish headlines</w:t>
            </w:r>
          </w:p>
        </w:tc>
        <w:tc>
          <w:tcPr>
            <w:tcW w:type="dxa" w:w="7200"/>
            <w:shd w:val="clear" w:color="auto" w:fill="FFFFFF"/>
          </w:tcPr>
          <w:p>
            <w:r>
              <w:rPr>
                <w:rFonts w:ascii="Calibri" w:hAnsi="Calibri"/>
                <w:color w:val="000000"/>
                <w:sz w:val="20"/>
              </w:rPr>
              <w:t>High-confidence bearish setup. Review downside hedges; consider put protection.</w:t>
            </w:r>
          </w:p>
        </w:tc>
      </w:tr>
      <w:tr>
        <w:tc>
          <w:tcPr>
            <w:tcW w:type="dxa" w:w="4320"/>
            <w:shd w:val="clear" w:color="auto" w:fill="F9FAFB"/>
          </w:tcPr>
          <w:p>
            <w:r>
              <w:rPr>
                <w:rFonts w:ascii="Calibri" w:hAnsi="Calibri"/>
                <w:color w:val="000000"/>
                <w:sz w:val="20"/>
              </w:rPr>
              <w:t>Uncertain signal, any sentiment level</w:t>
            </w:r>
          </w:p>
        </w:tc>
        <w:tc>
          <w:tcPr>
            <w:tcW w:type="dxa" w:w="7200"/>
            <w:shd w:val="clear" w:color="auto" w:fill="F9FAFB"/>
          </w:tcPr>
          <w:p>
            <w:r>
              <w:rPr>
                <w:rFonts w:ascii="Calibri" w:hAnsi="Calibri"/>
                <w:color w:val="000000"/>
                <w:sz w:val="20"/>
              </w:rPr>
              <w:t>Do not act on signal alone. Wait for next daily cycle.</w:t>
            </w:r>
          </w:p>
        </w:tc>
      </w:tr>
      <w:tr>
        <w:tc>
          <w:tcPr>
            <w:tcW w:type="dxa" w:w="4320"/>
            <w:shd w:val="clear" w:color="auto" w:fill="FFFFFF"/>
          </w:tcPr>
          <w:p>
            <w:r>
              <w:rPr>
                <w:rFonts w:ascii="Calibri" w:hAnsi="Calibri"/>
                <w:color w:val="000000"/>
                <w:sz w:val="20"/>
              </w:rPr>
              <w:t>Signal direction contradicts breaking news</w:t>
            </w:r>
          </w:p>
        </w:tc>
        <w:tc>
          <w:tcPr>
            <w:tcW w:type="dxa" w:w="7200"/>
            <w:shd w:val="clear" w:color="auto" w:fill="FFFFFF"/>
          </w:tcPr>
          <w:p>
            <w:r>
              <w:rPr>
                <w:rFonts w:ascii="Calibri" w:hAnsi="Calibri"/>
                <w:color w:val="000000"/>
                <w:sz w:val="20"/>
              </w:rPr>
              <w:t>News may not yet be incorporated. Apply extra scrutiny; effect may already be priced in.</w:t>
            </w:r>
          </w:p>
        </w:tc>
      </w:tr>
      <w:tr>
        <w:tc>
          <w:tcPr>
            <w:tcW w:type="dxa" w:w="4320"/>
            <w:shd w:val="clear" w:color="auto" w:fill="F9FAFB"/>
          </w:tcPr>
          <w:p>
            <w:r>
              <w:rPr>
                <w:rFonts w:ascii="Calibri" w:hAnsi="Calibri"/>
                <w:color w:val="000000"/>
                <w:sz w:val="20"/>
              </w:rPr>
              <w:t>Confidence &gt; 80% but forecast price change &lt; $0.50</w:t>
            </w:r>
          </w:p>
        </w:tc>
        <w:tc>
          <w:tcPr>
            <w:tcW w:type="dxa" w:w="7200"/>
            <w:shd w:val="clear" w:color="auto" w:fill="F9FAFB"/>
          </w:tcPr>
          <w:p>
            <w:r>
              <w:rPr>
                <w:rFonts w:ascii="Calibri" w:hAnsi="Calibri"/>
                <w:color w:val="000000"/>
                <w:sz w:val="20"/>
              </w:rPr>
              <w:t>High confidence, small expected move — may not justify transaction costs.</w:t>
            </w:r>
          </w:p>
        </w:tc>
      </w:tr>
    </w:tbl>
    <w:p/>
    <w:p>
      <w:r>
        <w:br w:type="page"/>
      </w:r>
    </w:p>
    <w:p>
      <w:pPr>
        <w:pStyle w:val="Heading1"/>
      </w:pPr>
      <w:r>
        <w:t>10.  Use Cases</w:t>
      </w:r>
    </w:p>
    <w:p>
      <w:pPr>
        <w:pStyle w:val="Heading2"/>
      </w:pPr>
      <w:r>
        <w:t>10.1  Trader / Analyst Daily Workflow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3A5F"/>
            <w:vAlign w:val="center"/>
          </w:tcPr>
          <w:p>
            <w:pPr>
              <w:jc w:val="left"/>
            </w:pPr>
            <w:r>
              <w:rPr>
                <w:rFonts w:ascii="Calibri" w:hAnsi="Calibri"/>
                <w:b/>
                <w:color w:val="FFFFFF"/>
                <w:sz w:val="20"/>
              </w:rPr>
              <w:t>Time</w:t>
            </w:r>
          </w:p>
        </w:tc>
        <w:tc>
          <w:tcPr>
            <w:tcW w:type="dxa" w:w="8640"/>
            <w:shd w:val="clear" w:color="auto" w:fill="1E3A5F"/>
            <w:vAlign w:val="center"/>
          </w:tcPr>
          <w:p>
            <w:pPr>
              <w:jc w:val="left"/>
            </w:pPr>
            <w:r>
              <w:rPr>
                <w:rFonts w:ascii="Calibri" w:hAnsi="Calibri"/>
                <w:b/>
                <w:color w:val="FFFFFF"/>
                <w:sz w:val="20"/>
              </w:rPr>
              <w:t>Action</w:t>
            </w:r>
          </w:p>
        </w:tc>
      </w:tr>
      <w:tr>
        <w:tc>
          <w:tcPr>
            <w:tcW w:type="dxa" w:w="2880"/>
            <w:shd w:val="clear" w:color="auto" w:fill="F9FAFB"/>
          </w:tcPr>
          <w:p>
            <w:r>
              <w:rPr>
                <w:rFonts w:ascii="Calibri" w:hAnsi="Calibri"/>
                <w:color w:val="000000"/>
                <w:sz w:val="20"/>
              </w:rPr>
              <w:t>08:00 — Morning check</w:t>
            </w:r>
          </w:p>
        </w:tc>
        <w:tc>
          <w:tcPr>
            <w:tcW w:type="dxa" w:w="8640"/>
            <w:shd w:val="clear" w:color="auto" w:fill="F9FAFB"/>
          </w:tcPr>
          <w:p>
            <w:r>
              <w:rPr>
                <w:rFonts w:ascii="Calibri" w:hAnsi="Calibri"/>
                <w:color w:val="000000"/>
                <w:sz w:val="20"/>
              </w:rPr>
              <w:t>Open Command Center. Review Today's Signal, confidence level, and overnight sentiment score.</w:t>
            </w:r>
          </w:p>
        </w:tc>
      </w:tr>
      <w:tr>
        <w:tc>
          <w:tcPr>
            <w:tcW w:type="dxa" w:w="2880"/>
            <w:shd w:val="clear" w:color="auto" w:fill="FFFFFF"/>
          </w:tcPr>
          <w:p>
            <w:r>
              <w:rPr>
                <w:rFonts w:ascii="Calibri" w:hAnsi="Calibri"/>
                <w:color w:val="000000"/>
                <w:sz w:val="20"/>
              </w:rPr>
              <w:t>08:15 — News review</w:t>
            </w:r>
          </w:p>
        </w:tc>
        <w:tc>
          <w:tcPr>
            <w:tcW w:type="dxa" w:w="8640"/>
            <w:shd w:val="clear" w:color="auto" w:fill="FFFFFF"/>
          </w:tcPr>
          <w:p>
            <w:r>
              <w:rPr>
                <w:rFonts w:ascii="Calibri" w:hAnsi="Calibri"/>
                <w:color w:val="000000"/>
                <w:sz w:val="20"/>
              </w:rPr>
              <w:t>Open Intelligence Feed. Review high-impact overnight headlines. Cross-reference with the signal direction.</w:t>
            </w:r>
          </w:p>
        </w:tc>
      </w:tr>
      <w:tr>
        <w:tc>
          <w:tcPr>
            <w:tcW w:type="dxa" w:w="2880"/>
            <w:shd w:val="clear" w:color="auto" w:fill="F9FAFB"/>
          </w:tcPr>
          <w:p>
            <w:r>
              <w:rPr>
                <w:rFonts w:ascii="Calibri" w:hAnsi="Calibri"/>
                <w:color w:val="000000"/>
                <w:sz w:val="20"/>
              </w:rPr>
              <w:t>08:30 — Price context</w:t>
            </w:r>
          </w:p>
        </w:tc>
        <w:tc>
          <w:tcPr>
            <w:tcW w:type="dxa" w:w="8640"/>
            <w:shd w:val="clear" w:color="auto" w:fill="F9FAFB"/>
          </w:tcPr>
          <w:p>
            <w:r>
              <w:rPr>
                <w:rFonts w:ascii="Calibri" w:hAnsi="Calibri"/>
                <w:color w:val="000000"/>
                <w:sz w:val="20"/>
              </w:rPr>
              <w:t>Open Commodity View. Review overnight price action and relative position to key moving averages.</w:t>
            </w:r>
          </w:p>
        </w:tc>
      </w:tr>
      <w:tr>
        <w:tc>
          <w:tcPr>
            <w:tcW w:type="dxa" w:w="2880"/>
            <w:shd w:val="clear" w:color="auto" w:fill="FFFFFF"/>
          </w:tcPr>
          <w:p>
            <w:r>
              <w:rPr>
                <w:rFonts w:ascii="Calibri" w:hAnsi="Calibri"/>
                <w:color w:val="000000"/>
                <w:sz w:val="20"/>
              </w:rPr>
              <w:t>09:00 — Signal decision</w:t>
            </w:r>
          </w:p>
        </w:tc>
        <w:tc>
          <w:tcPr>
            <w:tcW w:type="dxa" w:w="8640"/>
            <w:shd w:val="clear" w:color="auto" w:fill="FFFFFF"/>
          </w:tcPr>
          <w:p>
            <w:r>
              <w:rPr>
                <w:rFonts w:ascii="Calibri" w:hAnsi="Calibri"/>
                <w:color w:val="000000"/>
                <w:sz w:val="20"/>
              </w:rPr>
              <w:t>If signal confidence &gt; 75% and news confirms the direction, escalate findings to the trading desk.</w:t>
            </w:r>
          </w:p>
        </w:tc>
      </w:tr>
      <w:tr>
        <w:tc>
          <w:tcPr>
            <w:tcW w:type="dxa" w:w="2880"/>
            <w:shd w:val="clear" w:color="auto" w:fill="F9FAFB"/>
          </w:tcPr>
          <w:p>
            <w:r>
              <w:rPr>
                <w:rFonts w:ascii="Calibri" w:hAnsi="Calibri"/>
                <w:color w:val="000000"/>
                <w:sz w:val="20"/>
              </w:rPr>
              <w:t>Post-close validation</w:t>
            </w:r>
          </w:p>
        </w:tc>
        <w:tc>
          <w:tcPr>
            <w:tcW w:type="dxa" w:w="8640"/>
            <w:shd w:val="clear" w:color="auto" w:fill="F9FAFB"/>
          </w:tcPr>
          <w:p>
            <w:r>
              <w:rPr>
                <w:rFonts w:ascii="Calibri" w:hAnsi="Calibri"/>
                <w:color w:val="000000"/>
                <w:sz w:val="20"/>
              </w:rPr>
              <w:t>Compare Price Forecast prediction to actual close. Log material divergences for model feedback.</w:t>
            </w:r>
          </w:p>
        </w:tc>
      </w:tr>
    </w:tbl>
    <w:p/>
    <w:p>
      <w:pPr>
        <w:pStyle w:val="Heading2"/>
      </w:pPr>
      <w:r>
        <w:t>10.2  Risk Management</w:t>
      </w:r>
    </w:p>
    <w:p>
      <w:pPr/>
      <w:r>
        <w:rPr>
          <w:rFonts w:ascii="Calibri" w:hAnsi="Calibri"/>
          <w:b w:val="0"/>
          <w:color w:val="000000"/>
          <w:sz w:val="22"/>
        </w:rPr>
        <w:t>Risk managers use the Alerts panel and Analytics page for continuous exposure monitoring:</w:t>
      </w:r>
    </w:p>
    <w:p>
      <w:pPr>
        <w:pStyle w:val="ListBullet"/>
        <w:spacing w:after="60"/>
        <w:ind w:left="360"/>
      </w:pPr>
      <w:r>
        <w:rPr>
          <w:rFonts w:ascii="Calibri" w:hAnsi="Calibri"/>
          <w:color w:val="000000"/>
          <w:sz w:val="22"/>
        </w:rPr>
        <w:t>Set per-commodity price alert thresholds in Settings → Alert Configuration.</w:t>
      </w:r>
    </w:p>
    <w:p>
      <w:pPr>
        <w:pStyle w:val="ListBullet"/>
        <w:spacing w:after="60"/>
        <w:ind w:left="360"/>
      </w:pPr>
      <w:r>
        <w:rPr>
          <w:rFonts w:ascii="Calibri" w:hAnsi="Calibri"/>
          <w:color w:val="000000"/>
          <w:sz w:val="22"/>
        </w:rPr>
        <w:t>Enable sentiment spike notifications for early warning of market stress events.</w:t>
      </w:r>
    </w:p>
    <w:p>
      <w:pPr>
        <w:pStyle w:val="ListBullet"/>
        <w:spacing w:after="60"/>
        <w:ind w:left="360"/>
      </w:pPr>
      <w:r>
        <w:rPr>
          <w:rFonts w:ascii="Calibri" w:hAnsi="Calibri"/>
          <w:color w:val="000000"/>
          <w:sz w:val="22"/>
        </w:rPr>
        <w:t>Use the 30-day volatility metric on Commodity View to inform VaR calculations.</w:t>
      </w:r>
    </w:p>
    <w:p>
      <w:pPr>
        <w:pStyle w:val="ListBullet"/>
        <w:spacing w:after="60"/>
        <w:ind w:left="360"/>
      </w:pPr>
      <w:r>
        <w:rPr>
          <w:rFonts w:ascii="Calibri" w:hAnsi="Calibri"/>
          <w:color w:val="000000"/>
          <w:sz w:val="22"/>
        </w:rPr>
        <w:t>If sustained negative sentiment coincides with a DOWN signal, flag exposure for senior review.</w:t>
      </w:r>
    </w:p>
    <w:p>
      <w:pPr>
        <w:pStyle w:val="Heading2"/>
      </w:pPr>
      <w:r>
        <w:t>10.3  Procurement and Hedging</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E3A5F"/>
            <w:vAlign w:val="center"/>
          </w:tcPr>
          <w:p>
            <w:pPr>
              <w:jc w:val="left"/>
            </w:pPr>
            <w:r>
              <w:rPr>
                <w:rFonts w:ascii="Calibri" w:hAnsi="Calibri"/>
                <w:b/>
                <w:color w:val="FFFFFF"/>
                <w:sz w:val="20"/>
              </w:rPr>
              <w:t>Scenario</w:t>
            </w:r>
          </w:p>
        </w:tc>
        <w:tc>
          <w:tcPr>
            <w:tcW w:type="dxa" w:w="3456"/>
            <w:shd w:val="clear" w:color="auto" w:fill="1E3A5F"/>
            <w:vAlign w:val="center"/>
          </w:tcPr>
          <w:p>
            <w:pPr>
              <w:jc w:val="left"/>
            </w:pPr>
            <w:r>
              <w:rPr>
                <w:rFonts w:ascii="Calibri" w:hAnsi="Calibri"/>
                <w:b/>
                <w:color w:val="FFFFFF"/>
                <w:sz w:val="20"/>
              </w:rPr>
              <w:t>SIGNAL Insight</w:t>
            </w:r>
          </w:p>
        </w:tc>
        <w:tc>
          <w:tcPr>
            <w:tcW w:type="dxa" w:w="5040"/>
            <w:shd w:val="clear" w:color="auto" w:fill="1E3A5F"/>
            <w:vAlign w:val="center"/>
          </w:tcPr>
          <w:p>
            <w:pPr>
              <w:jc w:val="left"/>
            </w:pPr>
            <w:r>
              <w:rPr>
                <w:rFonts w:ascii="Calibri" w:hAnsi="Calibri"/>
                <w:b/>
                <w:color w:val="FFFFFF"/>
                <w:sz w:val="20"/>
              </w:rPr>
              <w:t>Recommended Action</w:t>
            </w:r>
          </w:p>
        </w:tc>
      </w:tr>
      <w:tr>
        <w:tc>
          <w:tcPr>
            <w:tcW w:type="dxa" w:w="3024"/>
            <w:shd w:val="clear" w:color="auto" w:fill="F9FAFB"/>
          </w:tcPr>
          <w:p>
            <w:r>
              <w:rPr>
                <w:rFonts w:ascii="Calibri" w:hAnsi="Calibri"/>
                <w:color w:val="000000"/>
                <w:sz w:val="20"/>
              </w:rPr>
              <w:t>Strong DOWN + forecast shows $2+ price drop</w:t>
            </w:r>
          </w:p>
        </w:tc>
        <w:tc>
          <w:tcPr>
            <w:tcW w:type="dxa" w:w="3456"/>
            <w:shd w:val="clear" w:color="auto" w:fill="F9FAFB"/>
          </w:tcPr>
          <w:p>
            <w:r>
              <w:rPr>
                <w:rFonts w:ascii="Calibri" w:hAnsi="Calibri"/>
                <w:color w:val="000000"/>
                <w:sz w:val="20"/>
              </w:rPr>
              <w:t>Model projects meaningful decline with high confidence.</w:t>
            </w:r>
          </w:p>
        </w:tc>
        <w:tc>
          <w:tcPr>
            <w:tcW w:type="dxa" w:w="5040"/>
            <w:shd w:val="clear" w:color="auto" w:fill="F9FAFB"/>
          </w:tcPr>
          <w:p>
            <w:r>
              <w:rPr>
                <w:rFonts w:ascii="Calibri" w:hAnsi="Calibri"/>
                <w:color w:val="000000"/>
                <w:sz w:val="20"/>
              </w:rPr>
              <w:t>Delay spot purchase; wait for a lower price entry point.</w:t>
            </w:r>
          </w:p>
        </w:tc>
      </w:tr>
      <w:tr>
        <w:tc>
          <w:tcPr>
            <w:tcW w:type="dxa" w:w="3024"/>
            <w:shd w:val="clear" w:color="auto" w:fill="FFFFFF"/>
          </w:tcPr>
          <w:p>
            <w:r>
              <w:rPr>
                <w:rFonts w:ascii="Calibri" w:hAnsi="Calibri"/>
                <w:color w:val="000000"/>
                <w:sz w:val="20"/>
              </w:rPr>
              <w:t>Strong UP + forecast shows $3+ price rise</w:t>
            </w:r>
          </w:p>
        </w:tc>
        <w:tc>
          <w:tcPr>
            <w:tcW w:type="dxa" w:w="3456"/>
            <w:shd w:val="clear" w:color="auto" w:fill="FFFFFF"/>
          </w:tcPr>
          <w:p>
            <w:r>
              <w:rPr>
                <w:rFonts w:ascii="Calibri" w:hAnsi="Calibri"/>
                <w:color w:val="000000"/>
                <w:sz w:val="20"/>
              </w:rPr>
              <w:t>Model projects meaningful increase with high confidence.</w:t>
            </w:r>
          </w:p>
        </w:tc>
        <w:tc>
          <w:tcPr>
            <w:tcW w:type="dxa" w:w="5040"/>
            <w:shd w:val="clear" w:color="auto" w:fill="FFFFFF"/>
          </w:tcPr>
          <w:p>
            <w:r>
              <w:rPr>
                <w:rFonts w:ascii="Calibri" w:hAnsi="Calibri"/>
                <w:color w:val="000000"/>
                <w:sz w:val="20"/>
              </w:rPr>
              <w:t>Accelerate procurement; consider locking in via swap or call option.</w:t>
            </w:r>
          </w:p>
        </w:tc>
      </w:tr>
      <w:tr>
        <w:tc>
          <w:tcPr>
            <w:tcW w:type="dxa" w:w="3024"/>
            <w:shd w:val="clear" w:color="auto" w:fill="F9FAFB"/>
          </w:tcPr>
          <w:p>
            <w:r>
              <w:rPr>
                <w:rFonts w:ascii="Calibri" w:hAnsi="Calibri"/>
                <w:color w:val="000000"/>
                <w:sz w:val="20"/>
              </w:rPr>
              <w:t>Uncertain / low confidence</w:t>
            </w:r>
          </w:p>
        </w:tc>
        <w:tc>
          <w:tcPr>
            <w:tcW w:type="dxa" w:w="3456"/>
            <w:shd w:val="clear" w:color="auto" w:fill="F9FAFB"/>
          </w:tcPr>
          <w:p>
            <w:r>
              <w:rPr>
                <w:rFonts w:ascii="Calibri" w:hAnsi="Calibri"/>
                <w:color w:val="000000"/>
                <w:sz w:val="20"/>
              </w:rPr>
              <w:t>Model lacks sufficient data to form a view.</w:t>
            </w:r>
          </w:p>
        </w:tc>
        <w:tc>
          <w:tcPr>
            <w:tcW w:type="dxa" w:w="5040"/>
            <w:shd w:val="clear" w:color="auto" w:fill="F9FAFB"/>
          </w:tcPr>
          <w:p>
            <w:r>
              <w:rPr>
                <w:rFonts w:ascii="Calibri" w:hAnsi="Calibri"/>
                <w:color w:val="000000"/>
                <w:sz w:val="20"/>
              </w:rPr>
              <w:t>Maintain standard procurement schedule without deviation.</w:t>
            </w:r>
          </w:p>
        </w:tc>
      </w:tr>
    </w:tbl>
    <w:p/>
    <w:p>
      <w:r>
        <w:br w:type="page"/>
      </w:r>
    </w:p>
    <w:p>
      <w:pPr>
        <w:pStyle w:val="Heading1"/>
      </w:pPr>
      <w:r>
        <w:t>11.  Best Practices</w:t>
      </w:r>
    </w:p>
    <w:p>
      <w:pPr>
        <w:pStyle w:val="Heading2"/>
      </w:pPr>
      <w:r>
        <w:t>11.1  Using SIGNAL Effectively</w:t>
      </w:r>
    </w:p>
    <w:p>
      <w:pPr>
        <w:pStyle w:val="ListBullet"/>
        <w:spacing w:after="60"/>
        <w:ind w:left="360"/>
      </w:pPr>
      <w:r>
        <w:rPr>
          <w:rFonts w:ascii="Calibri" w:hAnsi="Calibri"/>
          <w:b/>
          <w:color w:val="000000"/>
          <w:sz w:val="22"/>
        </w:rPr>
        <w:t xml:space="preserve">Check daily, not hourly — </w:t>
      </w:r>
      <w:r>
        <w:rPr>
          <w:rFonts w:ascii="Calibri" w:hAnsi="Calibri"/>
          <w:color w:val="000000"/>
          <w:sz w:val="22"/>
        </w:rPr>
        <w:t>SIGNAL updates once per day after market close. Intraday re-checking adds no new intelligence and may create false urgency.</w:t>
      </w:r>
    </w:p>
    <w:p>
      <w:pPr>
        <w:pStyle w:val="ListBullet"/>
        <w:spacing w:after="60"/>
        <w:ind w:left="360"/>
      </w:pPr>
      <w:r>
        <w:rPr>
          <w:rFonts w:ascii="Calibri" w:hAnsi="Calibri"/>
          <w:b/>
          <w:color w:val="000000"/>
          <w:sz w:val="22"/>
        </w:rPr>
        <w:t xml:space="preserve">Combine signal + sentiment + news — </w:t>
      </w:r>
      <w:r>
        <w:rPr>
          <w:rFonts w:ascii="Calibri" w:hAnsi="Calibri"/>
          <w:color w:val="000000"/>
          <w:sz w:val="22"/>
        </w:rPr>
        <w:t>A strong directional signal with confirming sentiment and clear news catalysts represents the highest-quality setup. Never act on the model signal in isolation.</w:t>
      </w:r>
    </w:p>
    <w:p>
      <w:pPr>
        <w:pStyle w:val="ListBullet"/>
        <w:spacing w:after="60"/>
        <w:ind w:left="360"/>
      </w:pPr>
      <w:r>
        <w:rPr>
          <w:rFonts w:ascii="Calibri" w:hAnsi="Calibri"/>
          <w:b/>
          <w:color w:val="000000"/>
          <w:sz w:val="22"/>
        </w:rPr>
        <w:t xml:space="preserve">Set meaningful alert thresholds — </w:t>
      </w:r>
      <w:r>
        <w:rPr>
          <w:rFonts w:ascii="Calibri" w:hAnsi="Calibri"/>
          <w:color w:val="000000"/>
          <w:sz w:val="22"/>
        </w:rPr>
        <w:t>Configure alerts at thresholds that reflect actual trading parameters. Over-alerting causes fatigue and desensitises users to genuine signals.</w:t>
      </w:r>
    </w:p>
    <w:p>
      <w:pPr>
        <w:pStyle w:val="ListBullet"/>
        <w:spacing w:after="60"/>
        <w:ind w:left="360"/>
      </w:pPr>
      <w:r>
        <w:rPr>
          <w:rFonts w:ascii="Calibri" w:hAnsi="Calibri"/>
          <w:b/>
          <w:color w:val="000000"/>
          <w:sz w:val="22"/>
        </w:rPr>
        <w:t xml:space="preserve">Use the price forecast as a range indicator — </w:t>
      </w:r>
      <w:r>
        <w:rPr>
          <w:rFonts w:ascii="Calibri" w:hAnsi="Calibri"/>
          <w:color w:val="000000"/>
          <w:sz w:val="22"/>
        </w:rPr>
        <w:t>The $2.07 RMSE means the actual price may be $2 above or below the forecast. Use the forecast to frame expected outcomes, not as an exact target.</w:t>
      </w:r>
    </w:p>
    <w:p>
      <w:pPr>
        <w:pStyle w:val="ListBullet"/>
        <w:spacing w:after="60"/>
        <w:ind w:left="360"/>
      </w:pPr>
      <w:r>
        <w:rPr>
          <w:rFonts w:ascii="Calibri" w:hAnsi="Calibri"/>
          <w:b/>
          <w:color w:val="000000"/>
          <w:sz w:val="22"/>
        </w:rPr>
        <w:t xml:space="preserve">Review historical performance monthly — </w:t>
      </w:r>
      <w:r>
        <w:rPr>
          <w:rFonts w:ascii="Calibri" w:hAnsi="Calibri"/>
          <w:color w:val="000000"/>
          <w:sz w:val="22"/>
        </w:rPr>
        <w:t>Check the Price Forecast page regularly. If RMSE deteriorates materially, contact the SIGNAL team to schedule model re-training.</w:t>
      </w:r>
    </w:p>
    <w:p>
      <w:pPr>
        <w:pStyle w:val="Heading2"/>
      </w:pPr>
      <w:r>
        <w:t>11.2  When NOT to Rely on Low-Confidence Signals</w:t>
      </w:r>
    </w:p>
    <w:p>
      <w:pPr>
        <w:pStyle w:val="ListBullet"/>
        <w:spacing w:after="60"/>
        <w:ind w:left="360"/>
      </w:pPr>
      <w:r>
        <w:rPr>
          <w:rFonts w:ascii="Calibri" w:hAnsi="Calibri"/>
          <w:b/>
          <w:color w:val="000000"/>
          <w:sz w:val="22"/>
        </w:rPr>
        <w:t xml:space="preserve">Signal probability &lt; 60%: </w:t>
      </w:r>
      <w:r>
        <w:rPr>
          <w:rFonts w:ascii="Calibri" w:hAnsi="Calibri"/>
          <w:color w:val="000000"/>
          <w:sz w:val="22"/>
        </w:rPr>
        <w:t>The model is stating it does not have enough conviction. Treat as 'no signal' — do not force a trade.</w:t>
      </w:r>
    </w:p>
    <w:p>
      <w:pPr>
        <w:pStyle w:val="ListBullet"/>
        <w:spacing w:after="60"/>
        <w:ind w:left="360"/>
      </w:pPr>
      <w:r>
        <w:rPr>
          <w:rFonts w:ascii="Calibri" w:hAnsi="Calibri"/>
          <w:b/>
          <w:color w:val="000000"/>
          <w:sz w:val="22"/>
        </w:rPr>
        <w:t xml:space="preserve">Signal contradicts breaking news: </w:t>
      </w:r>
      <w:r>
        <w:rPr>
          <w:rFonts w:ascii="Calibri" w:hAnsi="Calibri"/>
          <w:color w:val="000000"/>
          <w:sz w:val="22"/>
        </w:rPr>
        <w:t>If a major OPEC announcement breaks and the signal still shows the prior direction, the news has likely not yet been incorporated. Wait for the next cycle.</w:t>
      </w:r>
    </w:p>
    <w:p>
      <w:pPr>
        <w:pStyle w:val="ListBullet"/>
        <w:spacing w:after="60"/>
        <w:ind w:left="360"/>
      </w:pPr>
      <w:r>
        <w:rPr>
          <w:rFonts w:ascii="Calibri" w:hAnsi="Calibri"/>
          <w:b/>
          <w:color w:val="000000"/>
          <w:sz w:val="22"/>
        </w:rPr>
        <w:t xml:space="preserve">Consecutive signal reversals: </w:t>
      </w:r>
      <w:r>
        <w:rPr>
          <w:rFonts w:ascii="Calibri" w:hAnsi="Calibri"/>
          <w:color w:val="000000"/>
          <w:sz w:val="22"/>
        </w:rPr>
        <w:t>If the signal flips direction on consecutive days, the market is in a noisy regime. Temporarily widen decision thresholds and seek additional confirmation.</w:t>
      </w:r>
    </w:p>
    <w:p>
      <w:pPr>
        <w:pStyle w:val="ListBullet"/>
        <w:spacing w:after="60"/>
        <w:ind w:left="360"/>
      </w:pPr>
      <w:r>
        <w:rPr>
          <w:rFonts w:ascii="Calibri" w:hAnsi="Calibri"/>
          <w:b/>
          <w:color w:val="000000"/>
          <w:sz w:val="22"/>
        </w:rPr>
        <w:t xml:space="preserve">Extraordinary geopolitical events: </w:t>
      </w:r>
      <w:r>
        <w:rPr>
          <w:rFonts w:ascii="Calibri" w:hAnsi="Calibri"/>
          <w:color w:val="000000"/>
          <w:sz w:val="22"/>
        </w:rPr>
        <w:t>Black swans fall outside the model's training distribution. During periods of extreme market disruption, human judgment must take full precedence over AI outputs.</w:t>
      </w:r>
    </w:p>
    <w:p>
      <w:r>
        <w:br w:type="page"/>
      </w:r>
    </w:p>
    <w:p>
      <w:pPr>
        <w:pStyle w:val="Heading1"/>
      </w:pPr>
      <w:r>
        <w:t>12.  Settings and Configuration  (/settings)</w:t>
      </w:r>
    </w:p>
    <w:p>
      <w:pPr/>
      <w:r>
        <w:rPr>
          <w:rFonts w:ascii="Calibri" w:hAnsi="Calibri"/>
          <w:b w:val="0"/>
          <w:color w:val="000000"/>
          <w:sz w:val="22"/>
        </w:rPr>
        <w:t>The Settings page allows users to personalise SIGNAL preferences without re-running onboarding. All changes take effect immediately and persist across browser sessions.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Settings Page — Full View with All Configuration Sections ]</w:t>
      </w:r>
    </w:p>
    <w:p>
      <w:pPr>
        <w:pStyle w:val="Heading2"/>
      </w:pPr>
      <w:r>
        <w:t>12.1  Alert Configuration</w:t>
      </w:r>
    </w:p>
    <w:p>
      <w:pPr/>
      <w:r>
        <w:rPr>
          <w:rFonts w:ascii="Calibri" w:hAnsi="Calibri"/>
          <w:b w:val="0"/>
          <w:color w:val="000000"/>
          <w:sz w:val="22"/>
        </w:rPr>
        <w:t>Users can configure the following alert parameters:</w:t>
      </w:r>
    </w:p>
    <w:p>
      <w:pPr>
        <w:pStyle w:val="ListBullet"/>
        <w:spacing w:after="60"/>
        <w:ind w:left="360"/>
      </w:pPr>
      <w:r>
        <w:rPr>
          <w:rFonts w:ascii="Calibri" w:hAnsi="Calibri"/>
          <w:color w:val="000000"/>
          <w:sz w:val="22"/>
        </w:rPr>
        <w:t>Per-commodity price thresholds (WTI and Brent separately).</w:t>
      </w:r>
    </w:p>
    <w:p>
      <w:pPr>
        <w:pStyle w:val="ListBullet"/>
        <w:spacing w:after="60"/>
        <w:ind w:left="360"/>
      </w:pPr>
      <w:r>
        <w:rPr>
          <w:rFonts w:ascii="Calibri" w:hAnsi="Calibri"/>
          <w:color w:val="000000"/>
          <w:sz w:val="22"/>
        </w:rPr>
        <w:t>Increase and decrease alert thresholds (configurable in $/bbl or %).</w:t>
      </w:r>
    </w:p>
    <w:p>
      <w:pPr>
        <w:pStyle w:val="ListBullet"/>
        <w:spacing w:after="60"/>
        <w:ind w:left="360"/>
      </w:pPr>
      <w:r>
        <w:rPr>
          <w:rFonts w:ascii="Calibri" w:hAnsi="Calibri"/>
          <w:color w:val="000000"/>
          <w:sz w:val="22"/>
        </w:rPr>
        <w:t>Notification enabled / disabled toggle.</w:t>
      </w:r>
    </w:p>
    <w:p>
      <w:pPr>
        <w:pStyle w:val="ListBullet"/>
        <w:spacing w:after="60"/>
        <w:ind w:left="360"/>
      </w:pPr>
      <w:r>
        <w:rPr>
          <w:rFonts w:ascii="Calibri" w:hAnsi="Calibri"/>
          <w:color w:val="000000"/>
          <w:sz w:val="22"/>
        </w:rPr>
        <w:t>Priority alerts only toggle (Executive role users).</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Settings — Alert Configuration Panel with Threshold Controls ]</w:t>
      </w:r>
    </w:p>
    <w:p>
      <w:pPr>
        <w:pStyle w:val="Heading2"/>
      </w:pPr>
      <w:r>
        <w:t>12.2  Executive Configuration  (Executive Role Only)</w:t>
      </w:r>
    </w:p>
    <w:p>
      <w:pPr>
        <w:pStyle w:val="ListBullet"/>
        <w:spacing w:after="60"/>
        <w:ind w:left="360"/>
      </w:pPr>
      <w:r>
        <w:rPr>
          <w:rFonts w:ascii="Calibri" w:hAnsi="Calibri"/>
          <w:color w:val="000000"/>
          <w:sz w:val="22"/>
        </w:rPr>
        <w:t>Briefing Cadence: Daily / Weekly / Real-time.</w:t>
      </w:r>
    </w:p>
    <w:p>
      <w:pPr>
        <w:pStyle w:val="ListBullet"/>
        <w:spacing w:after="60"/>
        <w:ind w:left="360"/>
      </w:pPr>
      <w:r>
        <w:rPr>
          <w:rFonts w:ascii="Calibri" w:hAnsi="Calibri"/>
          <w:color w:val="000000"/>
          <w:sz w:val="22"/>
        </w:rPr>
        <w:t>Escalation Level: All alerts / High severity only / Critical only.</w:t>
      </w:r>
    </w:p>
    <w:p>
      <w:pPr>
        <w:pStyle w:val="Heading2"/>
      </w:pPr>
      <w:r>
        <w:t>12.3  Appearance / Theme</w:t>
      </w:r>
    </w:p>
    <w:p>
      <w:pPr/>
      <w:r>
        <w:rPr>
          <w:rFonts w:ascii="Calibri" w:hAnsi="Calibri"/>
          <w:b w:val="0"/>
          <w:color w:val="000000"/>
          <w:sz w:val="22"/>
        </w:rPr>
        <w:t>Click the Moon / Circle / Sun icon in the Top Bar to cycle through the three available themes: Dark (default charcoal), Black (OLED-optimised), and Light (high-contrast white). Theme preference persists in browser storage.</w:t>
      </w:r>
    </w:p>
    <w:p>
      <w:pPr>
        <w:pStyle w:val="Heading2"/>
      </w:pPr>
      <w:r>
        <w:t>12.4  Command Palette  (⌘K / Ctrl+K)</w:t>
      </w:r>
    </w:p>
    <w:p>
      <w:pPr/>
      <w:r>
        <w:rPr>
          <w:rFonts w:ascii="Calibri" w:hAnsi="Calibri"/>
          <w:b w:val="0"/>
          <w:color w:val="000000"/>
          <w:sz w:val="22"/>
        </w:rPr>
        <w:t>Press ⌘K (macOS) or Ctrl+K (Windows) from anywhere in the dashboard to open the global Command Palette. From the palette, users can navigate to any page, search headlines in real time, and execute actions (Refresh Data, Logout) using arrow keys and Enter.</w:t>
      </w:r>
    </w:p>
    <w:p>
      <w:pPr>
        <w:spacing w:before="160" w:after="160"/>
        <w:jc w:val="center"/>
        <w:pBdr>
          <w:top w:val="single" w:sz="12" w:space="4" w:color="004B87"/>
          <w:left w:val="single" w:sz="12" w:space="4" w:color="004B87"/>
          <w:bottom w:val="single" w:sz="12" w:space="4" w:color="004B87"/>
          <w:right w:val="single" w:sz="12" w:space="4" w:color="004B87"/>
        </w:pBdr>
        <w:shd w:val="clear" w:color="auto" w:fill="EFF6FF"/>
      </w:pPr>
      <w:r>
        <w:rPr>
          <w:rFonts w:ascii="Calibri" w:hAnsi="Calibri"/>
          <w:b/>
          <w:color w:val="004B87"/>
          <w:sz w:val="22"/>
        </w:rPr>
        <w:t>[ INSERT SCREENSHOT: Command Palette — Open State with Search Input and Navigation Results ]</w:t>
      </w:r>
    </w:p>
    <w:p>
      <w:r>
        <w:br w:type="page"/>
      </w:r>
    </w:p>
    <w:p>
      <w:pPr>
        <w:pStyle w:val="Heading1"/>
      </w:pPr>
      <w:r>
        <w:t>13.  Conclusion</w:t>
      </w:r>
    </w:p>
    <w:p>
      <w:pPr/>
      <w:r>
        <w:rPr>
          <w:rFonts w:ascii="Calibri" w:hAnsi="Calibri"/>
          <w:b w:val="0"/>
          <w:color w:val="000000"/>
          <w:sz w:val="22"/>
        </w:rPr>
        <w:t>SIGNAL represents a production-grade integration of natural language processing, ensemble machine learning, and financial market data within a purpose-built enterprise interface. It is designed as a high-fidelity decision-support layer — not a replacement for human expertise, but a systematic amplifier of it.</w:t>
      </w:r>
    </w:p>
    <w:p>
      <w:pPr/>
      <w:r>
        <w:rPr>
          <w:rFonts w:ascii="Calibri" w:hAnsi="Calibri"/>
          <w:b w:val="0"/>
          <w:color w:val="000000"/>
          <w:sz w:val="22"/>
        </w:rPr>
        <w:t>When used correctly — with appropriate attention to confidence levels, corroborating news signals, and sound risk management practices — SIGNAL equips Shell Energy analysts and executives to enter each trading day with a data-driven directional hypothesis backed by 81.5% historical accuracy and a price forecast calibrated to within $2.07 per barrel.</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3A5F"/>
            <w:vAlign w:val="center"/>
          </w:tcPr>
          <w:p>
            <w:pPr>
              <w:jc w:val="left"/>
            </w:pPr>
            <w:r>
              <w:rPr>
                <w:rFonts w:ascii="Calibri" w:hAnsi="Calibri"/>
                <w:b/>
                <w:color w:val="FFFFFF"/>
                <w:sz w:val="20"/>
              </w:rPr>
              <w:t>Capability</w:t>
            </w:r>
          </w:p>
        </w:tc>
        <w:tc>
          <w:tcPr>
            <w:tcW w:type="dxa" w:w="7200"/>
            <w:shd w:val="clear" w:color="auto" w:fill="1E3A5F"/>
            <w:vAlign w:val="center"/>
          </w:tcPr>
          <w:p>
            <w:pPr>
              <w:jc w:val="left"/>
            </w:pPr>
            <w:r>
              <w:rPr>
                <w:rFonts w:ascii="Calibri" w:hAnsi="Calibri"/>
                <w:b/>
                <w:color w:val="FFFFFF"/>
                <w:sz w:val="20"/>
              </w:rPr>
              <w:t>Measured Performance</w:t>
            </w:r>
          </w:p>
        </w:tc>
      </w:tr>
      <w:tr>
        <w:tc>
          <w:tcPr>
            <w:tcW w:type="dxa" w:w="4320"/>
            <w:shd w:val="clear" w:color="auto" w:fill="F9FAFB"/>
          </w:tcPr>
          <w:p>
            <w:r>
              <w:rPr>
                <w:rFonts w:ascii="Calibri" w:hAnsi="Calibri"/>
                <w:color w:val="000000"/>
                <w:sz w:val="20"/>
              </w:rPr>
              <w:t>Direction model accuracy</w:t>
            </w:r>
          </w:p>
        </w:tc>
        <w:tc>
          <w:tcPr>
            <w:tcW w:type="dxa" w:w="7200"/>
            <w:shd w:val="clear" w:color="auto" w:fill="F9FAFB"/>
          </w:tcPr>
          <w:p>
            <w:r>
              <w:rPr>
                <w:rFonts w:ascii="Calibri" w:hAnsi="Calibri"/>
                <w:color w:val="000000"/>
                <w:sz w:val="20"/>
              </w:rPr>
              <w:t>81.5% on out-of-sample holdout test set</w:t>
            </w:r>
          </w:p>
        </w:tc>
      </w:tr>
      <w:tr>
        <w:tc>
          <w:tcPr>
            <w:tcW w:type="dxa" w:w="4320"/>
            <w:shd w:val="clear" w:color="auto" w:fill="FFFFFF"/>
          </w:tcPr>
          <w:p>
            <w:r>
              <w:rPr>
                <w:rFonts w:ascii="Calibri" w:hAnsi="Calibri"/>
                <w:color w:val="000000"/>
                <w:sz w:val="20"/>
              </w:rPr>
              <w:t>Price forecast RMSE</w:t>
            </w:r>
          </w:p>
        </w:tc>
        <w:tc>
          <w:tcPr>
            <w:tcW w:type="dxa" w:w="7200"/>
            <w:shd w:val="clear" w:color="auto" w:fill="FFFFFF"/>
          </w:tcPr>
          <w:p>
            <w:r>
              <w:rPr>
                <w:rFonts w:ascii="Calibri" w:hAnsi="Calibri"/>
                <w:color w:val="000000"/>
                <w:sz w:val="20"/>
              </w:rPr>
              <w:t>$2.07/bbl (outperforms $2.09 naïve baseline)</w:t>
            </w:r>
          </w:p>
        </w:tc>
      </w:tr>
      <w:tr>
        <w:tc>
          <w:tcPr>
            <w:tcW w:type="dxa" w:w="4320"/>
            <w:shd w:val="clear" w:color="auto" w:fill="F9FAFB"/>
          </w:tcPr>
          <w:p>
            <w:r>
              <w:rPr>
                <w:rFonts w:ascii="Calibri" w:hAnsi="Calibri"/>
                <w:color w:val="000000"/>
                <w:sz w:val="20"/>
              </w:rPr>
              <w:t>Price forecast R²</w:t>
            </w:r>
          </w:p>
        </w:tc>
        <w:tc>
          <w:tcPr>
            <w:tcW w:type="dxa" w:w="7200"/>
            <w:shd w:val="clear" w:color="auto" w:fill="F9FAFB"/>
          </w:tcPr>
          <w:p>
            <w:r>
              <w:rPr>
                <w:rFonts w:ascii="Calibri" w:hAnsi="Calibri"/>
                <w:color w:val="000000"/>
                <w:sz w:val="20"/>
              </w:rPr>
              <w:t>0.9532 — explains 95.3% of daily price variance</w:t>
            </w:r>
          </w:p>
        </w:tc>
      </w:tr>
      <w:tr>
        <w:tc>
          <w:tcPr>
            <w:tcW w:type="dxa" w:w="4320"/>
            <w:shd w:val="clear" w:color="auto" w:fill="FFFFFF"/>
          </w:tcPr>
          <w:p>
            <w:r>
              <w:rPr>
                <w:rFonts w:ascii="Calibri" w:hAnsi="Calibri"/>
                <w:color w:val="000000"/>
                <w:sz w:val="20"/>
              </w:rPr>
              <w:t>Price forecast MAPE</w:t>
            </w:r>
          </w:p>
        </w:tc>
        <w:tc>
          <w:tcPr>
            <w:tcW w:type="dxa" w:w="7200"/>
            <w:shd w:val="clear" w:color="auto" w:fill="FFFFFF"/>
          </w:tcPr>
          <w:p>
            <w:r>
              <w:rPr>
                <w:rFonts w:ascii="Calibri" w:hAnsi="Calibri"/>
                <w:color w:val="000000"/>
                <w:sz w:val="20"/>
              </w:rPr>
              <w:t>~2.5% average daily error</w:t>
            </w:r>
          </w:p>
        </w:tc>
      </w:tr>
      <w:tr>
        <w:tc>
          <w:tcPr>
            <w:tcW w:type="dxa" w:w="4320"/>
            <w:shd w:val="clear" w:color="auto" w:fill="F9FAFB"/>
          </w:tcPr>
          <w:p>
            <w:r>
              <w:rPr>
                <w:rFonts w:ascii="Calibri" w:hAnsi="Calibri"/>
                <w:color w:val="000000"/>
                <w:sz w:val="20"/>
              </w:rPr>
              <w:t>Data latency</w:t>
            </w:r>
          </w:p>
        </w:tc>
        <w:tc>
          <w:tcPr>
            <w:tcW w:type="dxa" w:w="7200"/>
            <w:shd w:val="clear" w:color="auto" w:fill="F9FAFB"/>
          </w:tcPr>
          <w:p>
            <w:r>
              <w:rPr>
                <w:rFonts w:ascii="Calibri" w:hAnsi="Calibri"/>
                <w:color w:val="000000"/>
                <w:sz w:val="20"/>
              </w:rPr>
              <w:t>Model re-runs daily; dashboard reflects prior close by morning</w:t>
            </w:r>
          </w:p>
        </w:tc>
      </w:tr>
    </w:tbl>
    <w:p/>
    <w:p>
      <w:pPr>
        <w:spacing w:after="160"/>
      </w:pPr>
    </w:p>
    <w:p>
      <w:pPr>
        <w:spacing w:before="120" w:after="120"/>
        <w:shd w:val="clear" w:color="auto" w:fill="DBEAFE"/>
        <w:pBdr>
          <w:top w:val="single" w:sz="6" w:space="4" w:color="93C5FD"/>
          <w:left w:val="single" w:sz="6" w:space="4" w:color="93C5FD"/>
          <w:bottom w:val="single" w:sz="6" w:space="4" w:color="93C5FD"/>
          <w:right w:val="single" w:sz="6" w:space="4" w:color="93C5FD"/>
        </w:pBdr>
      </w:pPr>
      <w:r>
        <w:rPr>
          <w:rFonts w:ascii="Calibri" w:hAnsi="Calibri"/>
          <w:b/>
          <w:color w:val="1F2D3D"/>
          <w:sz w:val="22"/>
        </w:rPr>
        <w:t xml:space="preserve">Support &amp; Feedback:  </w:t>
      </w:r>
      <w:r>
        <w:rPr>
          <w:rFonts w:ascii="Calibri" w:hAnsi="Calibri"/>
          <w:color w:val="000000"/>
          <w:sz w:val="22"/>
        </w:rPr>
        <w:t>For model re-training requests, data quality issues, or alert configuration assistance, contact the SIGNAL development team via the Shell Energy internal IT service portal.</w:t>
      </w:r>
    </w:p>
    <w:p>
      <w:r>
        <w:br w:type="page"/>
      </w:r>
    </w:p>
    <w:p>
      <w:pPr>
        <w:pStyle w:val="Heading1"/>
      </w:pPr>
      <w:r>
        <w:t>14.  Troubleshooting</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E3A5F"/>
            <w:vAlign w:val="center"/>
          </w:tcPr>
          <w:p>
            <w:pPr>
              <w:jc w:val="left"/>
            </w:pPr>
            <w:r>
              <w:rPr>
                <w:rFonts w:ascii="Calibri" w:hAnsi="Calibri"/>
                <w:b/>
                <w:color w:val="FFFFFF"/>
                <w:sz w:val="20"/>
              </w:rPr>
              <w:t>Symptom</w:t>
            </w:r>
          </w:p>
        </w:tc>
        <w:tc>
          <w:tcPr>
            <w:tcW w:type="dxa" w:w="3024"/>
            <w:shd w:val="clear" w:color="auto" w:fill="1E3A5F"/>
            <w:vAlign w:val="center"/>
          </w:tcPr>
          <w:p>
            <w:pPr>
              <w:jc w:val="left"/>
            </w:pPr>
            <w:r>
              <w:rPr>
                <w:rFonts w:ascii="Calibri" w:hAnsi="Calibri"/>
                <w:b/>
                <w:color w:val="FFFFFF"/>
                <w:sz w:val="20"/>
              </w:rPr>
              <w:t>Likely Cause</w:t>
            </w:r>
          </w:p>
        </w:tc>
        <w:tc>
          <w:tcPr>
            <w:tcW w:type="dxa" w:w="5472"/>
            <w:shd w:val="clear" w:color="auto" w:fill="1E3A5F"/>
            <w:vAlign w:val="center"/>
          </w:tcPr>
          <w:p>
            <w:pPr>
              <w:jc w:val="left"/>
            </w:pPr>
            <w:r>
              <w:rPr>
                <w:rFonts w:ascii="Calibri" w:hAnsi="Calibri"/>
                <w:b/>
                <w:color w:val="FFFFFF"/>
                <w:sz w:val="20"/>
              </w:rPr>
              <w:t>Resolution</w:t>
            </w:r>
          </w:p>
        </w:tc>
      </w:tr>
      <w:tr>
        <w:tc>
          <w:tcPr>
            <w:tcW w:type="dxa" w:w="3024"/>
            <w:shd w:val="clear" w:color="auto" w:fill="F9FAFB"/>
          </w:tcPr>
          <w:p>
            <w:r>
              <w:rPr>
                <w:rFonts w:ascii="Calibri" w:hAnsi="Calibri"/>
                <w:color w:val="000000"/>
                <w:sz w:val="20"/>
              </w:rPr>
              <w:t>'Backend Offline' banner displayed</w:t>
            </w:r>
          </w:p>
        </w:tc>
        <w:tc>
          <w:tcPr>
            <w:tcW w:type="dxa" w:w="3024"/>
            <w:shd w:val="clear" w:color="auto" w:fill="F9FAFB"/>
          </w:tcPr>
          <w:p>
            <w:r>
              <w:rPr>
                <w:rFonts w:ascii="Calibri" w:hAnsi="Calibri"/>
                <w:color w:val="000000"/>
                <w:sz w:val="20"/>
              </w:rPr>
              <w:t>FastAPI backend server not running</w:t>
            </w:r>
          </w:p>
        </w:tc>
        <w:tc>
          <w:tcPr>
            <w:tcW w:type="dxa" w:w="5472"/>
            <w:shd w:val="clear" w:color="auto" w:fill="F9FAFB"/>
          </w:tcPr>
          <w:p>
            <w:r>
              <w:rPr>
                <w:rFonts w:ascii="Calibri" w:hAnsi="Calibri"/>
                <w:color w:val="000000"/>
                <w:sz w:val="20"/>
              </w:rPr>
              <w:t>Run: python -m uvicorn backend.main:app --port 8000</w:t>
            </w:r>
          </w:p>
        </w:tc>
      </w:tr>
      <w:tr>
        <w:tc>
          <w:tcPr>
            <w:tcW w:type="dxa" w:w="3024"/>
            <w:shd w:val="clear" w:color="auto" w:fill="FFFFFF"/>
          </w:tcPr>
          <w:p>
            <w:r>
              <w:rPr>
                <w:rFonts w:ascii="Calibri" w:hAnsi="Calibri"/>
                <w:color w:val="000000"/>
                <w:sz w:val="20"/>
              </w:rPr>
              <w:t>Charts and tables show no data</w:t>
            </w:r>
          </w:p>
        </w:tc>
        <w:tc>
          <w:tcPr>
            <w:tcW w:type="dxa" w:w="3024"/>
            <w:shd w:val="clear" w:color="auto" w:fill="FFFFFF"/>
          </w:tcPr>
          <w:p>
            <w:r>
              <w:rPr>
                <w:rFonts w:ascii="Calibri" w:hAnsi="Calibri"/>
                <w:color w:val="000000"/>
                <w:sz w:val="20"/>
              </w:rPr>
              <w:t>Database is empty</w:t>
            </w:r>
          </w:p>
        </w:tc>
        <w:tc>
          <w:tcPr>
            <w:tcW w:type="dxa" w:w="5472"/>
            <w:shd w:val="clear" w:color="auto" w:fill="FFFFFF"/>
          </w:tcPr>
          <w:p>
            <w:r>
              <w:rPr>
                <w:rFonts w:ascii="Calibri" w:hAnsi="Calibri"/>
                <w:color w:val="000000"/>
                <w:sz w:val="20"/>
              </w:rPr>
              <w:t>Run: python ingest_news.py &amp;&amp; python load_price_data.py</w:t>
            </w:r>
          </w:p>
        </w:tc>
      </w:tr>
      <w:tr>
        <w:tc>
          <w:tcPr>
            <w:tcW w:type="dxa" w:w="3024"/>
            <w:shd w:val="clear" w:color="auto" w:fill="F9FAFB"/>
          </w:tcPr>
          <w:p>
            <w:r>
              <w:rPr>
                <w:rFonts w:ascii="Calibri" w:hAnsi="Calibri"/>
                <w:color w:val="000000"/>
                <w:sz w:val="20"/>
              </w:rPr>
              <w:t>Signal shows 'Uncertain' every day</w:t>
            </w:r>
          </w:p>
        </w:tc>
        <w:tc>
          <w:tcPr>
            <w:tcW w:type="dxa" w:w="3024"/>
            <w:shd w:val="clear" w:color="auto" w:fill="F9FAFB"/>
          </w:tcPr>
          <w:p>
            <w:r>
              <w:rPr>
                <w:rFonts w:ascii="Calibri" w:hAnsi="Calibri"/>
                <w:color w:val="000000"/>
                <w:sz w:val="20"/>
              </w:rPr>
              <w:t>Insufficient recent headlines in database</w:t>
            </w:r>
          </w:p>
        </w:tc>
        <w:tc>
          <w:tcPr>
            <w:tcW w:type="dxa" w:w="5472"/>
            <w:shd w:val="clear" w:color="auto" w:fill="F9FAFB"/>
          </w:tcPr>
          <w:p>
            <w:r>
              <w:rPr>
                <w:rFonts w:ascii="Calibri" w:hAnsi="Calibri"/>
                <w:color w:val="000000"/>
                <w:sz w:val="20"/>
              </w:rPr>
              <w:t>Check news ingestion schedule; verify NewsAPI key is active and within quota.</w:t>
            </w:r>
          </w:p>
        </w:tc>
      </w:tr>
      <w:tr>
        <w:tc>
          <w:tcPr>
            <w:tcW w:type="dxa" w:w="3024"/>
            <w:shd w:val="clear" w:color="auto" w:fill="FFFFFF"/>
          </w:tcPr>
          <w:p>
            <w:r>
              <w:rPr>
                <w:rFonts w:ascii="Calibri" w:hAnsi="Calibri"/>
                <w:color w:val="000000"/>
                <w:sz w:val="20"/>
              </w:rPr>
              <w:t>Price Forecast shows placeholder values</w:t>
            </w:r>
          </w:p>
        </w:tc>
        <w:tc>
          <w:tcPr>
            <w:tcW w:type="dxa" w:w="3024"/>
            <w:shd w:val="clear" w:color="auto" w:fill="FFFFFF"/>
          </w:tcPr>
          <w:p>
            <w:r>
              <w:rPr>
                <w:rFonts w:ascii="Calibri" w:hAnsi="Calibri"/>
                <w:color w:val="000000"/>
                <w:sz w:val="20"/>
              </w:rPr>
              <w:t>model_report.json missing or outdated</w:t>
            </w:r>
          </w:p>
        </w:tc>
        <w:tc>
          <w:tcPr>
            <w:tcW w:type="dxa" w:w="5472"/>
            <w:shd w:val="clear" w:color="auto" w:fill="FFFFFF"/>
          </w:tcPr>
          <w:p>
            <w:r>
              <w:rPr>
                <w:rFonts w:ascii="Calibri" w:hAnsi="Calibri"/>
                <w:color w:val="000000"/>
                <w:sz w:val="20"/>
              </w:rPr>
              <w:t>Run: python train_price_model.py to regenerate all model artefacts.</w:t>
            </w:r>
          </w:p>
        </w:tc>
      </w:tr>
      <w:tr>
        <w:tc>
          <w:tcPr>
            <w:tcW w:type="dxa" w:w="3024"/>
            <w:shd w:val="clear" w:color="auto" w:fill="F9FAFB"/>
          </w:tcPr>
          <w:p>
            <w:r>
              <w:rPr>
                <w:rFonts w:ascii="Calibri" w:hAnsi="Calibri"/>
                <w:color w:val="000000"/>
                <w:sz w:val="20"/>
              </w:rPr>
              <w:t>Onboarding skipped for a new account</w:t>
            </w:r>
          </w:p>
        </w:tc>
        <w:tc>
          <w:tcPr>
            <w:tcW w:type="dxa" w:w="3024"/>
            <w:shd w:val="clear" w:color="auto" w:fill="F9FAFB"/>
          </w:tcPr>
          <w:p>
            <w:r>
              <w:rPr>
                <w:rFonts w:ascii="Calibri" w:hAnsi="Calibri"/>
                <w:color w:val="000000"/>
                <w:sz w:val="20"/>
              </w:rPr>
              <w:t>Stale localStorage data from a previous browser session</w:t>
            </w:r>
          </w:p>
        </w:tc>
        <w:tc>
          <w:tcPr>
            <w:tcW w:type="dxa" w:w="5472"/>
            <w:shd w:val="clear" w:color="auto" w:fill="F9FAFB"/>
          </w:tcPr>
          <w:p>
            <w:r>
              <w:rPr>
                <w:rFonts w:ascii="Calibri" w:hAnsi="Calibri"/>
                <w:color w:val="000000"/>
                <w:sz w:val="20"/>
              </w:rPr>
              <w:t>Clear browser localStorage (DevTools → Application → Storage) or use Incognito mode.</w:t>
            </w:r>
          </w:p>
        </w:tc>
      </w:tr>
      <w:tr>
        <w:tc>
          <w:tcPr>
            <w:tcW w:type="dxa" w:w="3024"/>
            <w:shd w:val="clear" w:color="auto" w:fill="FFFFFF"/>
          </w:tcPr>
          <w:p>
            <w:r>
              <w:rPr>
                <w:rFonts w:ascii="Calibri" w:hAnsi="Calibri"/>
                <w:color w:val="000000"/>
                <w:sz w:val="20"/>
              </w:rPr>
              <w:t>Dashboard blank after login</w:t>
            </w:r>
          </w:p>
        </w:tc>
        <w:tc>
          <w:tcPr>
            <w:tcW w:type="dxa" w:w="3024"/>
            <w:shd w:val="clear" w:color="auto" w:fill="FFFFFF"/>
          </w:tcPr>
          <w:p>
            <w:r>
              <w:rPr>
                <w:rFonts w:ascii="Calibri" w:hAnsi="Calibri"/>
                <w:color w:val="000000"/>
                <w:sz w:val="20"/>
              </w:rPr>
              <w:t>Auth state corrupted in localStorage</w:t>
            </w:r>
          </w:p>
        </w:tc>
        <w:tc>
          <w:tcPr>
            <w:tcW w:type="dxa" w:w="5472"/>
            <w:shd w:val="clear" w:color="auto" w:fill="FFFFFF"/>
          </w:tcPr>
          <w:p>
            <w:r>
              <w:rPr>
                <w:rFonts w:ascii="Calibri" w:hAnsi="Calibri"/>
                <w:color w:val="000000"/>
                <w:sz w:val="20"/>
              </w:rPr>
              <w:t>Re-register the account; ensure role and access code are entered correctly.</w:t>
            </w:r>
          </w:p>
        </w:tc>
      </w:tr>
      <w:tr>
        <w:tc>
          <w:tcPr>
            <w:tcW w:type="dxa" w:w="3024"/>
            <w:shd w:val="clear" w:color="auto" w:fill="F9FAFB"/>
          </w:tcPr>
          <w:p>
            <w:r>
              <w:rPr>
                <w:rFonts w:ascii="Calibri" w:hAnsi="Calibri"/>
                <w:color w:val="000000"/>
                <w:sz w:val="20"/>
              </w:rPr>
              <w:t>Theme resets to Dark on every page reload</w:t>
            </w:r>
          </w:p>
        </w:tc>
        <w:tc>
          <w:tcPr>
            <w:tcW w:type="dxa" w:w="3024"/>
            <w:shd w:val="clear" w:color="auto" w:fill="F9FAFB"/>
          </w:tcPr>
          <w:p>
            <w:r>
              <w:rPr>
                <w:rFonts w:ascii="Calibri" w:hAnsi="Calibri"/>
                <w:color w:val="000000"/>
                <w:sz w:val="20"/>
              </w:rPr>
              <w:t>Browser blocking localStorage writes</w:t>
            </w:r>
          </w:p>
        </w:tc>
        <w:tc>
          <w:tcPr>
            <w:tcW w:type="dxa" w:w="5472"/>
            <w:shd w:val="clear" w:color="auto" w:fill="F9FAFB"/>
          </w:tcPr>
          <w:p>
            <w:r>
              <w:rPr>
                <w:rFonts w:ascii="Calibri" w:hAnsi="Calibri"/>
                <w:color w:val="000000"/>
                <w:sz w:val="20"/>
              </w:rPr>
              <w:t>Enable localStorage in browser privacy/security settings.</w:t>
            </w:r>
          </w:p>
        </w:tc>
      </w:tr>
    </w:tbl>
    <w:p/>
    <w:p>
      <w:pPr>
        <w:pStyle w:val="Heading2"/>
      </w:pPr>
      <w:r>
        <w:t>Quick-Start Command Reference</w:t>
      </w:r>
    </w:p>
    <w:tbl>
      <w:tblPr>
        <w:tblStyle w:val="TableGrid"/>
        <w:tblW w:type="auto" w:w="0"/>
        <w:jc w:val="left"/>
        <w:tblLook w:firstColumn="1" w:firstRow="1" w:lastColumn="0" w:lastRow="0" w:noHBand="0" w:noVBand="1" w:val="04A0"/>
      </w:tblPr>
      <w:tblGrid>
        <w:gridCol w:w="4680"/>
        <w:gridCol w:w="4680"/>
      </w:tblGrid>
      <w:tr>
        <w:tc>
          <w:tcPr>
            <w:tcW w:type="dxa" w:w="5472"/>
            <w:shd w:val="clear" w:color="auto" w:fill="1E3A5F"/>
            <w:vAlign w:val="center"/>
          </w:tcPr>
          <w:p>
            <w:pPr>
              <w:jc w:val="left"/>
            </w:pPr>
            <w:r>
              <w:rPr>
                <w:rFonts w:ascii="Calibri" w:hAnsi="Calibri"/>
                <w:b/>
                <w:color w:val="FFFFFF"/>
                <w:sz w:val="20"/>
              </w:rPr>
              <w:t>Command</w:t>
            </w:r>
          </w:p>
        </w:tc>
        <w:tc>
          <w:tcPr>
            <w:tcW w:type="dxa" w:w="6048"/>
            <w:shd w:val="clear" w:color="auto" w:fill="1E3A5F"/>
            <w:vAlign w:val="center"/>
          </w:tcPr>
          <w:p>
            <w:pPr>
              <w:jc w:val="left"/>
            </w:pPr>
            <w:r>
              <w:rPr>
                <w:rFonts w:ascii="Calibri" w:hAnsi="Calibri"/>
                <w:b/>
                <w:color w:val="FFFFFF"/>
                <w:sz w:val="20"/>
              </w:rPr>
              <w:t>Purpose</w:t>
            </w:r>
          </w:p>
        </w:tc>
      </w:tr>
      <w:tr>
        <w:tc>
          <w:tcPr>
            <w:tcW w:type="dxa" w:w="5472"/>
            <w:shd w:val="clear" w:color="auto" w:fill="F9FAFB"/>
          </w:tcPr>
          <w:p>
            <w:r>
              <w:rPr>
                <w:rFonts w:ascii="Calibri" w:hAnsi="Calibri"/>
                <w:color w:val="000000"/>
                <w:sz w:val="20"/>
              </w:rPr>
              <w:t>pip install -r requirements.txt</w:t>
            </w:r>
          </w:p>
        </w:tc>
        <w:tc>
          <w:tcPr>
            <w:tcW w:type="dxa" w:w="6048"/>
            <w:shd w:val="clear" w:color="auto" w:fill="F9FAFB"/>
          </w:tcPr>
          <w:p>
            <w:r>
              <w:rPr>
                <w:rFonts w:ascii="Calibri" w:hAnsi="Calibri"/>
                <w:color w:val="000000"/>
                <w:sz w:val="20"/>
              </w:rPr>
              <w:t>Install all Python dependencies</w:t>
            </w:r>
          </w:p>
        </w:tc>
      </w:tr>
      <w:tr>
        <w:tc>
          <w:tcPr>
            <w:tcW w:type="dxa" w:w="5472"/>
            <w:shd w:val="clear" w:color="auto" w:fill="FFFFFF"/>
          </w:tcPr>
          <w:p>
            <w:r>
              <w:rPr>
                <w:rFonts w:ascii="Calibri" w:hAnsi="Calibri"/>
                <w:color w:val="000000"/>
                <w:sz w:val="20"/>
              </w:rPr>
              <w:t>python -m uvicorn backend.main:app --host 0.0.0.0 --port 8000</w:t>
            </w:r>
          </w:p>
        </w:tc>
        <w:tc>
          <w:tcPr>
            <w:tcW w:type="dxa" w:w="6048"/>
            <w:shd w:val="clear" w:color="auto" w:fill="FFFFFF"/>
          </w:tcPr>
          <w:p>
            <w:r>
              <w:rPr>
                <w:rFonts w:ascii="Calibri" w:hAnsi="Calibri"/>
                <w:color w:val="000000"/>
                <w:sz w:val="20"/>
              </w:rPr>
              <w:t>Start the FastAPI backend server</w:t>
            </w:r>
          </w:p>
        </w:tc>
      </w:tr>
      <w:tr>
        <w:tc>
          <w:tcPr>
            <w:tcW w:type="dxa" w:w="5472"/>
            <w:shd w:val="clear" w:color="auto" w:fill="F9FAFB"/>
          </w:tcPr>
          <w:p>
            <w:r>
              <w:rPr>
                <w:rFonts w:ascii="Calibri" w:hAnsi="Calibri"/>
                <w:color w:val="000000"/>
                <w:sz w:val="20"/>
              </w:rPr>
              <w:t>cd frontend &amp;&amp; npm install &amp;&amp; npm run dev</w:t>
            </w:r>
          </w:p>
        </w:tc>
        <w:tc>
          <w:tcPr>
            <w:tcW w:type="dxa" w:w="6048"/>
            <w:shd w:val="clear" w:color="auto" w:fill="F9FAFB"/>
          </w:tcPr>
          <w:p>
            <w:r>
              <w:rPr>
                <w:rFonts w:ascii="Calibri" w:hAnsi="Calibri"/>
                <w:color w:val="000000"/>
                <w:sz w:val="20"/>
              </w:rPr>
              <w:t>Start Next.js frontend in development mode</w:t>
            </w:r>
          </w:p>
        </w:tc>
      </w:tr>
      <w:tr>
        <w:tc>
          <w:tcPr>
            <w:tcW w:type="dxa" w:w="5472"/>
            <w:shd w:val="clear" w:color="auto" w:fill="FFFFFF"/>
          </w:tcPr>
          <w:p>
            <w:r>
              <w:rPr>
                <w:rFonts w:ascii="Calibri" w:hAnsi="Calibri"/>
                <w:color w:val="000000"/>
                <w:sz w:val="20"/>
              </w:rPr>
              <w:t>cd frontend &amp;&amp; npm run build &amp;&amp; npm start</w:t>
            </w:r>
          </w:p>
        </w:tc>
        <w:tc>
          <w:tcPr>
            <w:tcW w:type="dxa" w:w="6048"/>
            <w:shd w:val="clear" w:color="auto" w:fill="FFFFFF"/>
          </w:tcPr>
          <w:p>
            <w:r>
              <w:rPr>
                <w:rFonts w:ascii="Calibri" w:hAnsi="Calibri"/>
                <w:color w:val="000000"/>
                <w:sz w:val="20"/>
              </w:rPr>
              <w:t>Build and start Next.js in production mode</w:t>
            </w:r>
          </w:p>
        </w:tc>
      </w:tr>
      <w:tr>
        <w:tc>
          <w:tcPr>
            <w:tcW w:type="dxa" w:w="5472"/>
            <w:shd w:val="clear" w:color="auto" w:fill="F9FAFB"/>
          </w:tcPr>
          <w:p>
            <w:r>
              <w:rPr>
                <w:rFonts w:ascii="Calibri" w:hAnsi="Calibri"/>
                <w:color w:val="000000"/>
                <w:sz w:val="20"/>
              </w:rPr>
              <w:t>python train_model.py</w:t>
            </w:r>
          </w:p>
        </w:tc>
        <w:tc>
          <w:tcPr>
            <w:tcW w:type="dxa" w:w="6048"/>
            <w:shd w:val="clear" w:color="auto" w:fill="F9FAFB"/>
          </w:tcPr>
          <w:p>
            <w:r>
              <w:rPr>
                <w:rFonts w:ascii="Calibri" w:hAnsi="Calibri"/>
                <w:color w:val="000000"/>
                <w:sz w:val="20"/>
              </w:rPr>
              <w:t>Re-train the direction classification model</w:t>
            </w:r>
          </w:p>
        </w:tc>
      </w:tr>
      <w:tr>
        <w:tc>
          <w:tcPr>
            <w:tcW w:type="dxa" w:w="5472"/>
            <w:shd w:val="clear" w:color="auto" w:fill="FFFFFF"/>
          </w:tcPr>
          <w:p>
            <w:r>
              <w:rPr>
                <w:rFonts w:ascii="Calibri" w:hAnsi="Calibri"/>
                <w:color w:val="000000"/>
                <w:sz w:val="20"/>
              </w:rPr>
              <w:t>python train_price_model.py</w:t>
            </w:r>
          </w:p>
        </w:tc>
        <w:tc>
          <w:tcPr>
            <w:tcW w:type="dxa" w:w="6048"/>
            <w:shd w:val="clear" w:color="auto" w:fill="FFFFFF"/>
          </w:tcPr>
          <w:p>
            <w:r>
              <w:rPr>
                <w:rFonts w:ascii="Calibri" w:hAnsi="Calibri"/>
                <w:color w:val="000000"/>
                <w:sz w:val="20"/>
              </w:rPr>
              <w:t>Re-train the price regression model</w:t>
            </w:r>
          </w:p>
        </w:tc>
      </w:tr>
      <w:tr>
        <w:tc>
          <w:tcPr>
            <w:tcW w:type="dxa" w:w="5472"/>
            <w:shd w:val="clear" w:color="auto" w:fill="F9FAFB"/>
          </w:tcPr>
          <w:p>
            <w:r>
              <w:rPr>
                <w:rFonts w:ascii="Calibri" w:hAnsi="Calibri"/>
                <w:color w:val="000000"/>
                <w:sz w:val="20"/>
              </w:rPr>
              <w:t>python ingest_news.py</w:t>
            </w:r>
          </w:p>
        </w:tc>
        <w:tc>
          <w:tcPr>
            <w:tcW w:type="dxa" w:w="6048"/>
            <w:shd w:val="clear" w:color="auto" w:fill="F9FAFB"/>
          </w:tcPr>
          <w:p>
            <w:r>
              <w:rPr>
                <w:rFonts w:ascii="Calibri" w:hAnsi="Calibri"/>
                <w:color w:val="000000"/>
                <w:sz w:val="20"/>
              </w:rPr>
              <w:t>Run the news ingestion pipeline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4B87"/>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