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EA580C"/>
          <w:sz w:val="84"/>
        </w:rPr>
        <w:t>EatBF</w:t>
      </w:r>
    </w:p>
    <w:p>
      <w:pPr>
        <w:spacing w:after="360" w:line="259" w:lineRule="auto"/>
        <w:jc w:val="center"/>
      </w:pPr>
      <w:r>
        <w:rPr>
          <w:rFonts w:ascii="Aptos" w:hAnsi="Aptos"/>
          <w:b/>
          <w:color w:val="1E1B4B"/>
          <w:sz w:val="28"/>
        </w:rPr>
        <w:t>CAHIER DES CHARGES FONCTIONNEL ET TECHNIQUE</w:t>
      </w:r>
    </w:p>
    <w:p>
      <w:pPr>
        <w:spacing w:after="480" w:line="259" w:lineRule="auto"/>
        <w:jc w:val="center"/>
      </w:pPr>
      <w:r>
        <w:rPr>
          <w:rFonts w:ascii="Aptos" w:hAnsi="Aptos"/>
          <w:b/>
          <w:color w:val="1E1B4B"/>
          <w:sz w:val="48"/>
        </w:rPr>
        <w:t>Plateforme de livraison de repas</w:t>
        <w:br/>
        <w:t>Burkina Faso</w:t>
      </w:r>
    </w:p>
    <w:p>
      <w:pPr>
        <w:spacing w:after="80" w:line="259" w:lineRule="auto"/>
        <w:jc w:val="center"/>
      </w:pPr>
      <w:r>
        <w:rPr>
          <w:rFonts w:ascii="Aptos" w:hAnsi="Aptos"/>
          <w:b w:val="0"/>
          <w:color w:val="6B7280"/>
          <w:sz w:val="22"/>
        </w:rPr>
        <w:t>Version 2.0 — Document actualisé selon l’état réel du produit</w:t>
      </w:r>
    </w:p>
    <w:p>
      <w:pPr>
        <w:spacing w:after="800" w:line="259" w:lineRule="auto"/>
        <w:jc w:val="center"/>
      </w:pPr>
      <w:r>
        <w:rPr>
          <w:rFonts w:ascii="Aptos" w:hAnsi="Aptos"/>
          <w:b w:val="0"/>
          <w:color w:val="6B7280"/>
          <w:sz w:val="20"/>
        </w:rPr>
        <w:t>18 septembre 2026</w:t>
      </w:r>
    </w:p>
    <w:tbl>
      <w:tblPr>
        <w:tblW w:type="auto" w:w="0"/>
        <w:jc w:val="center"/>
        <w:tblLook w:firstColumn="1" w:firstRow="1" w:lastColumn="0" w:lastRow="0" w:noHBand="0" w:noVBand="1" w:val="04A0"/>
      </w:tblPr>
      <w:tblGrid>
        <w:gridCol w:w="5040"/>
        <w:gridCol w:w="5040"/>
      </w:tblGrid>
      <w:tr>
        <w:tc>
          <w:tcPr>
            <w:tcW w:type="dxa" w:w="504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1E1B4B"/>
          </w:tcPr>
          <w:p>
            <w:pPr>
              <w:spacing w:after="0"/>
            </w:pPr>
            <w:r/>
            <w:r>
              <w:rPr>
                <w:rFonts w:ascii="Aptos" w:hAnsi="Aptos"/>
                <w:b/>
                <w:color w:val="FFFFFF"/>
                <w:sz w:val="19"/>
              </w:rPr>
              <w:t>Produit</w:t>
            </w:r>
          </w:p>
        </w:tc>
        <w:tc>
          <w:tcPr>
            <w:tcW w:type="dxa" w:w="504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9"/>
              </w:rPr>
              <w:t>EatBF — commande de repas et gestion de restaurants</w:t>
            </w:r>
          </w:p>
        </w:tc>
      </w:tr>
      <w:tr>
        <w:tc>
          <w:tcPr>
            <w:tcW w:type="dxa" w:w="504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1E1B4B"/>
          </w:tcPr>
          <w:p>
            <w:pPr>
              <w:spacing w:after="0"/>
            </w:pPr>
            <w:r/>
            <w:r>
              <w:rPr>
                <w:rFonts w:ascii="Aptos" w:hAnsi="Aptos"/>
                <w:b/>
                <w:color w:val="FFFFFF"/>
                <w:sz w:val="19"/>
              </w:rPr>
              <w:t>Périmètre</w:t>
            </w:r>
          </w:p>
        </w:tc>
        <w:tc>
          <w:tcPr>
            <w:tcW w:type="dxa" w:w="504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9"/>
              </w:rPr>
              <w:t>Application mobile client, espace restaurateur, back-office administrateur et API partagée</w:t>
            </w:r>
          </w:p>
        </w:tc>
      </w:tr>
      <w:tr>
        <w:tc>
          <w:tcPr>
            <w:tcW w:type="dxa" w:w="504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1E1B4B"/>
          </w:tcPr>
          <w:p>
            <w:pPr>
              <w:spacing w:after="0"/>
            </w:pPr>
            <w:r/>
            <w:r>
              <w:rPr>
                <w:rFonts w:ascii="Aptos" w:hAnsi="Aptos"/>
                <w:b/>
                <w:color w:val="FFFFFF"/>
                <w:sz w:val="19"/>
              </w:rPr>
              <w:t>Pays cible</w:t>
            </w:r>
          </w:p>
        </w:tc>
        <w:tc>
          <w:tcPr>
            <w:tcW w:type="dxa" w:w="504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9"/>
              </w:rPr>
              <w:t>Burkina Faso — priorité aux usages mobiles et aux paiements Mobile Money</w:t>
            </w:r>
          </w:p>
        </w:tc>
      </w:tr>
      <w:tr>
        <w:tc>
          <w:tcPr>
            <w:tcW w:type="dxa" w:w="504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1E1B4B"/>
          </w:tcPr>
          <w:p>
            <w:pPr>
              <w:spacing w:after="0"/>
            </w:pPr>
            <w:r/>
            <w:r>
              <w:rPr>
                <w:rFonts w:ascii="Aptos" w:hAnsi="Aptos"/>
                <w:b/>
                <w:color w:val="FFFFFF"/>
                <w:sz w:val="19"/>
              </w:rPr>
              <w:t>Statut</w:t>
            </w:r>
          </w:p>
        </w:tc>
        <w:tc>
          <w:tcPr>
            <w:tcW w:type="dxa" w:w="504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9"/>
              </w:rPr>
              <w:t>MVP fonctionnel en cours de consolidation</w:t>
            </w:r>
          </w:p>
        </w:tc>
      </w:tr>
    </w:tbl>
    <w:p>
      <w:pPr>
        <w:spacing w:after="0" w:line="259" w:lineRule="auto"/>
        <w:jc w:val="center"/>
      </w:pPr>
      <w:r>
        <w:rPr>
          <w:rFonts w:ascii="Aptos" w:hAnsi="Aptos"/>
          <w:b w:val="0"/>
          <w:color w:val="6B7280"/>
          <w:sz w:val="19"/>
        </w:rPr>
        <w:t>Document de référence pour le cadrage produit, la priorisation technique et la validation des prochaines versions.</w:t>
      </w:r>
    </w:p>
    <w:p>
      <w:r>
        <w:br w:type="page"/>
      </w:r>
    </w:p>
    <w:p>
      <w:pPr>
        <w:pStyle w:val="Heading1"/>
        <w:keepNext/>
      </w:pPr>
      <w:r>
        <w:t>Sommaire</w:t>
      </w:r>
    </w:p>
    <w:p>
      <w:pPr>
        <w:spacing w:after="60" w:line="259" w:lineRule="auto"/>
      </w:pPr>
      <w:r>
        <w:rPr>
          <w:rFonts w:ascii="Aptos" w:hAnsi="Aptos"/>
          <w:b w:val="0"/>
          <w:sz w:val="21"/>
        </w:rPr>
        <w:t>1. Vision et objectifs</w:t>
      </w:r>
    </w:p>
    <w:p>
      <w:pPr>
        <w:spacing w:after="60" w:line="259" w:lineRule="auto"/>
      </w:pPr>
      <w:r>
        <w:rPr>
          <w:rFonts w:ascii="Aptos" w:hAnsi="Aptos"/>
          <w:b w:val="0"/>
          <w:sz w:val="21"/>
        </w:rPr>
        <w:t>2. Utilisateurs et rôles</w:t>
      </w:r>
    </w:p>
    <w:p>
      <w:pPr>
        <w:spacing w:after="60" w:line="259" w:lineRule="auto"/>
      </w:pPr>
      <w:r>
        <w:rPr>
          <w:rFonts w:ascii="Aptos" w:hAnsi="Aptos"/>
          <w:b w:val="0"/>
          <w:sz w:val="21"/>
        </w:rPr>
        <w:t>3. Périmètre fonctionnel</w:t>
      </w:r>
    </w:p>
    <w:p>
      <w:pPr>
        <w:spacing w:after="60" w:line="259" w:lineRule="auto"/>
      </w:pPr>
      <w:r>
        <w:rPr>
          <w:rFonts w:ascii="Aptos" w:hAnsi="Aptos"/>
          <w:b w:val="0"/>
          <w:sz w:val="21"/>
        </w:rPr>
        <w:t>4. Règles métier</w:t>
      </w:r>
    </w:p>
    <w:p>
      <w:pPr>
        <w:spacing w:after="60" w:line="259" w:lineRule="auto"/>
      </w:pPr>
      <w:r>
        <w:rPr>
          <w:rFonts w:ascii="Aptos" w:hAnsi="Aptos"/>
          <w:b w:val="0"/>
          <w:sz w:val="21"/>
        </w:rPr>
        <w:t>5. Architecture et spécifications techniques</w:t>
      </w:r>
    </w:p>
    <w:p>
      <w:pPr>
        <w:spacing w:after="60" w:line="259" w:lineRule="auto"/>
      </w:pPr>
      <w:r>
        <w:rPr>
          <w:rFonts w:ascii="Aptos" w:hAnsi="Aptos"/>
          <w:b w:val="0"/>
          <w:sz w:val="21"/>
        </w:rPr>
        <w:t>6. Sécurité et protection des données</w:t>
      </w:r>
    </w:p>
    <w:p>
      <w:pPr>
        <w:spacing w:after="60" w:line="259" w:lineRule="auto"/>
      </w:pPr>
      <w:r>
        <w:rPr>
          <w:rFonts w:ascii="Aptos" w:hAnsi="Aptos"/>
          <w:b w:val="0"/>
          <w:sz w:val="21"/>
        </w:rPr>
        <w:t>7. État d’avancement</w:t>
      </w:r>
    </w:p>
    <w:p>
      <w:pPr>
        <w:spacing w:after="60" w:line="259" w:lineRule="auto"/>
      </w:pPr>
      <w:r>
        <w:rPr>
          <w:rFonts w:ascii="Aptos" w:hAnsi="Aptos"/>
          <w:b w:val="0"/>
          <w:sz w:val="21"/>
        </w:rPr>
        <w:t>8. Éléments à intégrer et feuille de route</w:t>
      </w:r>
    </w:p>
    <w:p>
      <w:pPr>
        <w:spacing w:after="60" w:line="259" w:lineRule="auto"/>
      </w:pPr>
      <w:r>
        <w:rPr>
          <w:rFonts w:ascii="Aptos" w:hAnsi="Aptos"/>
          <w:b w:val="0"/>
          <w:sz w:val="21"/>
        </w:rPr>
        <w:t>9. Livrables et critères d’acceptation</w:t>
      </w:r>
    </w:p>
    <w:p>
      <w:pPr>
        <w:spacing w:after="60" w:line="259" w:lineRule="auto"/>
      </w:pPr>
      <w:r>
        <w:rPr>
          <w:rFonts w:ascii="Aptos" w:hAnsi="Aptos"/>
          <w:b w:val="0"/>
          <w:sz w:val="21"/>
        </w:rPr>
        <w:t>10. Points à valider</w:t>
      </w:r>
    </w:p>
    <w:p>
      <w:r>
        <w:br w:type="page"/>
      </w:r>
    </w:p>
    <w:p>
      <w:pPr>
        <w:pStyle w:val="Heading1"/>
        <w:keepNext/>
      </w:pPr>
      <w:r>
        <w:t>1. Vision et objectifs</w:t>
      </w:r>
    </w:p>
    <w:p>
      <w:pPr>
        <w:spacing w:after="120" w:line="259" w:lineRule="auto"/>
      </w:pPr>
      <w:r>
        <w:rPr>
          <w:rFonts w:ascii="Aptos" w:hAnsi="Aptos"/>
          <w:b w:val="0"/>
          <w:sz w:val="21"/>
        </w:rPr>
        <w:t>EatBF est une plateforme locale de commande et de livraison de repas qui met en relation les clients, les restaurants partenaires et les opérateurs de la plateforme. Le produit est conçu pour être simple à utiliser sur mobile, adapté aux réalités du Burkina Faso et centré sur Orange Money et Moov Money.</w:t>
      </w:r>
    </w:p>
    <w:p>
      <w:pPr>
        <w:pStyle w:val="Heading2"/>
        <w:keepNext/>
      </w:pPr>
      <w:r>
        <w:t>Objectifs principaux</w:t>
      </w:r>
    </w:p>
    <w:p>
      <w:pPr>
        <w:pStyle w:val="ListBullet"/>
        <w:spacing w:after="60"/>
        <w:ind w:left="360"/>
      </w:pPr>
      <w:r>
        <w:t>Regrouper plusieurs restaurants burkinabè sur une plateforme unique.</w:t>
      </w:r>
    </w:p>
    <w:p>
      <w:pPr>
        <w:pStyle w:val="ListBullet"/>
        <w:spacing w:after="60"/>
        <w:ind w:left="360"/>
      </w:pPr>
      <w:r>
        <w:t>Permettre la découverte des restaurants et des plats avec photos, catégories, prix et disponibilité.</w:t>
      </w:r>
    </w:p>
    <w:p>
      <w:pPr>
        <w:pStyle w:val="ListBullet"/>
        <w:spacing w:after="60"/>
        <w:ind w:left="360"/>
      </w:pPr>
      <w:r>
        <w:t>Permettre de passer une commande sans imposer au client la création manuelle d’un compte.</w:t>
      </w:r>
    </w:p>
    <w:p>
      <w:pPr>
        <w:pStyle w:val="ListBullet"/>
        <w:spacing w:after="60"/>
        <w:ind w:left="360"/>
      </w:pPr>
      <w:r>
        <w:t>Donner aux restaurateurs les outils de gestion du menu, des commandes et de la préparation.</w:t>
      </w:r>
    </w:p>
    <w:p>
      <w:pPr>
        <w:pStyle w:val="ListBullet"/>
        <w:spacing w:after="60"/>
        <w:ind w:left="360"/>
      </w:pPr>
      <w:r>
        <w:t>Donner à l’administration une vue globale sur les utilisateurs, restaurants, commandes et revenus.</w:t>
      </w:r>
    </w:p>
    <w:p>
      <w:pPr>
        <w:pStyle w:val="ListBullet"/>
        <w:spacing w:after="60"/>
        <w:ind w:left="360"/>
      </w:pPr>
      <w:r>
        <w:t>Préparer l’intégration progressive d’un service de paiement Mobile Money et d’un partenaire de livraison.</w:t>
      </w:r>
    </w:p>
    <w:p>
      <w:pPr>
        <w:pStyle w:val="Heading1"/>
        <w:keepNext/>
      </w:pPr>
      <w:r>
        <w:t>2. Utilisateurs et rôles</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584"/>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1E1B4B"/>
          </w:tcPr>
          <w:p>
            <w:pPr>
              <w:spacing w:after="0"/>
            </w:pPr>
            <w:r/>
            <w:r>
              <w:rPr>
                <w:rFonts w:ascii="Aptos" w:hAnsi="Aptos"/>
                <w:b/>
                <w:color w:val="FFFFFF"/>
                <w:sz w:val="18"/>
              </w:rPr>
              <w:t>Rôle</w:t>
            </w:r>
          </w:p>
        </w:tc>
        <w:tc>
          <w:tcPr>
            <w:tcW w:type="dxa" w:w="5904"/>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1E1B4B"/>
          </w:tcPr>
          <w:p>
            <w:pPr>
              <w:spacing w:after="0"/>
            </w:pPr>
            <w:r/>
            <w:r>
              <w:rPr>
                <w:rFonts w:ascii="Aptos" w:hAnsi="Aptos"/>
                <w:b/>
                <w:color w:val="FFFFFF"/>
                <w:sz w:val="18"/>
              </w:rPr>
              <w:t>Responsabilités</w:t>
            </w:r>
          </w:p>
        </w:tc>
        <w:tc>
          <w:tcPr>
            <w:tcW w:type="dxa" w:w="2592"/>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1E1B4B"/>
          </w:tcPr>
          <w:p>
            <w:pPr>
              <w:spacing w:after="0"/>
            </w:pPr>
            <w:r/>
            <w:r>
              <w:rPr>
                <w:rFonts w:ascii="Aptos" w:hAnsi="Aptos"/>
                <w:b/>
                <w:color w:val="FFFFFF"/>
                <w:sz w:val="18"/>
              </w:rPr>
              <w:t>Accès</w:t>
            </w:r>
          </w:p>
        </w:tc>
      </w:tr>
      <w:tr>
        <w:tc>
          <w:tcPr>
            <w:tcW w:type="dxa" w:w="1584"/>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Client</w:t>
            </w:r>
          </w:p>
        </w:tc>
        <w:tc>
          <w:tcPr>
            <w:tcW w:type="dxa" w:w="5904"/>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Rechercher un restaurant, consulter les plats, commander, payer par Mobile Money et suivre la commande.</w:t>
            </w:r>
          </w:p>
        </w:tc>
        <w:tc>
          <w:tcPr>
            <w:tcW w:type="dxa" w:w="2592"/>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Application mobile client</w:t>
            </w:r>
          </w:p>
        </w:tc>
      </w:tr>
      <w:tr>
        <w:tc>
          <w:tcPr>
            <w:tcW w:type="dxa" w:w="1584"/>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spacing w:after="0"/>
            </w:pPr>
            <w:r/>
            <w:r>
              <w:rPr>
                <w:rFonts w:ascii="Aptos" w:hAnsi="Aptos"/>
                <w:b w:val="0"/>
                <w:sz w:val="18"/>
              </w:rPr>
              <w:t>Client invité</w:t>
            </w:r>
          </w:p>
        </w:tc>
        <w:tc>
          <w:tcPr>
            <w:tcW w:type="dxa" w:w="5904"/>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spacing w:after="0"/>
            </w:pPr>
            <w:r/>
            <w:r>
              <w:rPr>
                <w:rFonts w:ascii="Aptos" w:hAnsi="Aptos"/>
                <w:b w:val="0"/>
                <w:sz w:val="18"/>
              </w:rPr>
              <w:t>Commander sans créer manuellement un compte ; renseigner son nom, téléphone et adresse.</w:t>
            </w:r>
          </w:p>
        </w:tc>
        <w:tc>
          <w:tcPr>
            <w:tcW w:type="dxa" w:w="2592"/>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spacing w:after="0"/>
            </w:pPr>
            <w:r/>
            <w:r>
              <w:rPr>
                <w:rFonts w:ascii="Aptos" w:hAnsi="Aptos"/>
                <w:b w:val="0"/>
                <w:sz w:val="18"/>
              </w:rPr>
              <w:t>Application mobile client</w:t>
            </w:r>
          </w:p>
        </w:tc>
      </w:tr>
      <w:tr>
        <w:tc>
          <w:tcPr>
            <w:tcW w:type="dxa" w:w="1584"/>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Restaurateur</w:t>
            </w:r>
          </w:p>
        </w:tc>
        <w:tc>
          <w:tcPr>
            <w:tcW w:type="dxa" w:w="5904"/>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Gérer son restaurant, son menu, ses photos, ses disponibilités et le cycle de préparation des commandes.</w:t>
            </w:r>
          </w:p>
        </w:tc>
        <w:tc>
          <w:tcPr>
            <w:tcW w:type="dxa" w:w="2592"/>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Espace restaurateur web</w:t>
            </w:r>
          </w:p>
        </w:tc>
      </w:tr>
      <w:tr>
        <w:tc>
          <w:tcPr>
            <w:tcW w:type="dxa" w:w="1584"/>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spacing w:after="0"/>
            </w:pPr>
            <w:r/>
            <w:r>
              <w:rPr>
                <w:rFonts w:ascii="Aptos" w:hAnsi="Aptos"/>
                <w:b w:val="0"/>
                <w:sz w:val="18"/>
              </w:rPr>
              <w:t>Administrateur</w:t>
            </w:r>
          </w:p>
        </w:tc>
        <w:tc>
          <w:tcPr>
            <w:tcW w:type="dxa" w:w="5904"/>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spacing w:after="0"/>
            </w:pPr>
            <w:r/>
            <w:r>
              <w:rPr>
                <w:rFonts w:ascii="Aptos" w:hAnsi="Aptos"/>
                <w:b w:val="0"/>
                <w:sz w:val="18"/>
              </w:rPr>
              <w:t>Valider les restaurants, gérer les utilisateurs, superviser les commandes et consulter les indicateurs de plateforme.</w:t>
            </w:r>
          </w:p>
        </w:tc>
        <w:tc>
          <w:tcPr>
            <w:tcW w:type="dxa" w:w="2592"/>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spacing w:after="0"/>
            </w:pPr>
            <w:r/>
            <w:r>
              <w:rPr>
                <w:rFonts w:ascii="Aptos" w:hAnsi="Aptos"/>
                <w:b w:val="0"/>
                <w:sz w:val="18"/>
              </w:rPr>
              <w:t>Back-office admin web</w:t>
            </w:r>
          </w:p>
        </w:tc>
      </w:tr>
      <w:tr>
        <w:tc>
          <w:tcPr>
            <w:tcW w:type="dxa" w:w="1584"/>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Partenaire de livraison</w:t>
            </w:r>
          </w:p>
        </w:tc>
        <w:tc>
          <w:tcPr>
            <w:tcW w:type="dxa" w:w="5904"/>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Prendre en charge et livrer les commandes selon la zone desservie.</w:t>
            </w:r>
          </w:p>
        </w:tc>
        <w:tc>
          <w:tcPr>
            <w:tcW w:type="dxa" w:w="2592"/>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À intégrer — aucun espace conducteur dédié à ce stade</w:t>
            </w:r>
          </w:p>
        </w:tc>
      </w:tr>
    </w:tbl>
    <w:p>
      <w:pPr>
        <w:spacing w:after="40"/>
      </w:pPr>
    </w:p>
    <w:p>
      <w:pPr>
        <w:pStyle w:val="Heading1"/>
        <w:keepNext/>
      </w:pPr>
      <w:r>
        <w:t>3. Périmètre fonctionnel</w:t>
      </w:r>
    </w:p>
    <w:p>
      <w:pPr>
        <w:pStyle w:val="Heading2"/>
        <w:keepNext/>
      </w:pPr>
      <w:r>
        <w:t>3.1 Application mobile client</w:t>
      </w:r>
    </w:p>
    <w:p>
      <w:pPr>
        <w:pStyle w:val="ListBullet"/>
        <w:spacing w:after="60"/>
        <w:ind w:left="360"/>
      </w:pPr>
      <w:r>
        <w:t>Accueil avec recherche par nom, cuisine, ville et catégories.</w:t>
      </w:r>
    </w:p>
    <w:p>
      <w:pPr>
        <w:pStyle w:val="ListBullet"/>
        <w:spacing w:after="60"/>
        <w:ind w:left="360"/>
      </w:pPr>
      <w:r>
        <w:t>Liste des restaurants disponibles avec statut ouvert/fermé, type, ville, note et avis.</w:t>
      </w:r>
    </w:p>
    <w:p>
      <w:pPr>
        <w:pStyle w:val="ListBullet"/>
        <w:spacing w:after="60"/>
        <w:ind w:left="360"/>
      </w:pPr>
      <w:r>
        <w:t>Fiche restaurant avec présentation, horaires, catégories et menu.</w:t>
      </w:r>
    </w:p>
    <w:p>
      <w:pPr>
        <w:pStyle w:val="ListBullet"/>
        <w:spacing w:after="60"/>
        <w:ind w:left="360"/>
      </w:pPr>
      <w:r>
        <w:t>Ouverture d’une fiche plat avec photo suffisamment grande pour apprécier le plat, description, prix, promotion et ajout au panier.</w:t>
      </w:r>
    </w:p>
    <w:p>
      <w:pPr>
        <w:pStyle w:val="ListBullet"/>
        <w:spacing w:after="60"/>
        <w:ind w:left="360"/>
      </w:pPr>
      <w:r>
        <w:t>Panier mono-restaurant avec quantités, sous-total, frais de livraison et total.</w:t>
      </w:r>
    </w:p>
    <w:p>
      <w:pPr>
        <w:pStyle w:val="ListBullet"/>
        <w:spacing w:after="60"/>
        <w:ind w:left="360"/>
      </w:pPr>
      <w:r>
        <w:t>Commande sans création manuelle de compte : nom, téléphone, adresse et ville sont demandés au moment de la commande.</w:t>
      </w:r>
    </w:p>
    <w:p>
      <w:pPr>
        <w:pStyle w:val="ListBullet"/>
        <w:spacing w:after="60"/>
        <w:ind w:left="360"/>
      </w:pPr>
      <w:r>
        <w:t>Paiement proposé uniquement par Orange Money ou Moov Money ; le paiement en espèces à la livraison n’est pas disponible.</w:t>
      </w:r>
    </w:p>
    <w:p>
      <w:pPr>
        <w:pStyle w:val="ListBullet"/>
        <w:spacing w:after="60"/>
        <w:ind w:left="360"/>
      </w:pPr>
      <w:r>
        <w:t>Modal d’instructions de paiement après création de la commande, avec numéro de paiement, montant et référence de commande.</w:t>
      </w:r>
    </w:p>
    <w:p>
      <w:pPr>
        <w:pStyle w:val="ListBullet"/>
        <w:spacing w:after="60"/>
        <w:ind w:left="360"/>
      </w:pPr>
      <w:r>
        <w:t>Historique des commandes et détail de commande.</w:t>
      </w:r>
    </w:p>
    <w:p>
      <w:pPr>
        <w:pStyle w:val="ListBullet"/>
        <w:spacing w:after="60"/>
        <w:ind w:left="360"/>
      </w:pPr>
      <w:r>
        <w:t>Suivi visuel du statut : reçue, confirmée, en préparation, prête, en livraison et livrée.</w:t>
      </w:r>
    </w:p>
    <w:p>
      <w:pPr>
        <w:pStyle w:val="ListBullet"/>
        <w:spacing w:after="60"/>
        <w:ind w:left="360"/>
      </w:pPr>
      <w:r>
        <w:t>Programme de fidélité et affichage du solde de points.</w:t>
      </w:r>
    </w:p>
    <w:p>
      <w:pPr>
        <w:pStyle w:val="Heading2"/>
        <w:keepNext/>
      </w:pPr>
      <w:r>
        <w:t>3.2 Espace restaurateur</w:t>
      </w:r>
    </w:p>
    <w:p>
      <w:pPr>
        <w:pStyle w:val="ListBullet"/>
        <w:spacing w:after="60"/>
        <w:ind w:left="360"/>
      </w:pPr>
      <w:r>
        <w:t>Connexion et inscription restaurateur.</w:t>
      </w:r>
    </w:p>
    <w:p>
      <w:pPr>
        <w:pStyle w:val="ListBullet"/>
        <w:spacing w:after="60"/>
        <w:ind w:left="360"/>
      </w:pPr>
      <w:r>
        <w:t>Tableau de bord avec activité, commandes et chiffres clés.</w:t>
      </w:r>
    </w:p>
    <w:p>
      <w:pPr>
        <w:pStyle w:val="ListBullet"/>
        <w:spacing w:after="60"/>
        <w:ind w:left="360"/>
      </w:pPr>
      <w:r>
        <w:t>Création et modification des plats avec nom, description, prix, catégorie et photo obligatoire.</w:t>
      </w:r>
    </w:p>
    <w:p>
      <w:pPr>
        <w:pStyle w:val="ListBullet"/>
        <w:spacing w:after="60"/>
        <w:ind w:left="360"/>
      </w:pPr>
      <w:r>
        <w:t>Activation ou désactivation de la disponibilité d’un plat.</w:t>
      </w:r>
    </w:p>
    <w:p>
      <w:pPr>
        <w:pStyle w:val="ListBullet"/>
        <w:spacing w:after="60"/>
        <w:ind w:left="360"/>
      </w:pPr>
      <w:r>
        <w:t>Gestion des promotions et prix promotionnels.</w:t>
      </w:r>
    </w:p>
    <w:p>
      <w:pPr>
        <w:pStyle w:val="ListBullet"/>
        <w:spacing w:after="60"/>
        <w:ind w:left="360"/>
      </w:pPr>
      <w:r>
        <w:t>Liste des commandes entrantes avec filtres et acceptation rapide.</w:t>
      </w:r>
    </w:p>
    <w:p>
      <w:pPr>
        <w:pStyle w:val="ListBullet"/>
        <w:spacing w:after="60"/>
        <w:ind w:left="360"/>
      </w:pPr>
      <w:r>
        <w:t>Cycle de commande : en attente, confirmée, en préparation, prête, en livraison, livrée ou annulée.</w:t>
      </w:r>
    </w:p>
    <w:p>
      <w:pPr>
        <w:pStyle w:val="ListBullet"/>
        <w:spacing w:after="60"/>
        <w:ind w:left="360"/>
      </w:pPr>
      <w:r>
        <w:t>Lancement de la préparation avec choix d’une durée estimée de 10 à 60 minutes ou option « déjà prêt ».</w:t>
      </w:r>
    </w:p>
    <w:p>
      <w:pPr>
        <w:pStyle w:val="ListBullet"/>
        <w:spacing w:after="60"/>
        <w:ind w:left="360"/>
      </w:pPr>
      <w:r>
        <w:t>Compte à rebours de préparation et action explicite « Fin de préparation — Plat prêt ».</w:t>
      </w:r>
    </w:p>
    <w:p>
      <w:pPr>
        <w:pStyle w:val="ListBullet"/>
        <w:spacing w:after="60"/>
        <w:ind w:left="360"/>
      </w:pPr>
      <w:r>
        <w:t>Statistiques du restaurant et estimation de la commission plateforme.</w:t>
      </w:r>
    </w:p>
    <w:p>
      <w:pPr>
        <w:pStyle w:val="Heading2"/>
        <w:keepNext/>
      </w:pPr>
      <w:r>
        <w:t>3.3 Back-office administrateur</w:t>
      </w:r>
    </w:p>
    <w:p>
      <w:pPr>
        <w:pStyle w:val="ListBullet"/>
        <w:spacing w:after="60"/>
        <w:ind w:left="360"/>
      </w:pPr>
      <w:r>
        <w:t>Connexion réservée aux comptes ayant le rôle administrateur.</w:t>
      </w:r>
    </w:p>
    <w:p>
      <w:pPr>
        <w:pStyle w:val="ListBullet"/>
        <w:spacing w:after="60"/>
        <w:ind w:left="360"/>
      </w:pPr>
      <w:r>
        <w:t>Tableau de bord de la plateforme : utilisateurs, restaurants par statut, commandes et revenus.</w:t>
      </w:r>
    </w:p>
    <w:p>
      <w:pPr>
        <w:pStyle w:val="ListBullet"/>
        <w:spacing w:after="60"/>
        <w:ind w:left="360"/>
      </w:pPr>
      <w:r>
        <w:t>Liste des restaurants avec propriétaire, téléphone, ville, note et statut.</w:t>
      </w:r>
    </w:p>
    <w:p>
      <w:pPr>
        <w:pStyle w:val="ListBullet"/>
        <w:spacing w:after="60"/>
        <w:ind w:left="360"/>
      </w:pPr>
      <w:r>
        <w:t>Validation, suspension ou remise en attente d’un restaurant.</w:t>
      </w:r>
    </w:p>
    <w:p>
      <w:pPr>
        <w:pStyle w:val="ListBullet"/>
        <w:spacing w:after="60"/>
        <w:ind w:left="360"/>
      </w:pPr>
      <w:r>
        <w:t>Liste des utilisateurs avec filtrage par rôle.</w:t>
      </w:r>
    </w:p>
    <w:p>
      <w:pPr>
        <w:pStyle w:val="ListBullet"/>
        <w:spacing w:after="60"/>
        <w:ind w:left="360"/>
      </w:pPr>
      <w:r>
        <w:t>Modification du rôle d’un utilisateur : client, restaurateur ou administrateur.</w:t>
      </w:r>
    </w:p>
    <w:p>
      <w:pPr>
        <w:pStyle w:val="ListBullet"/>
        <w:spacing w:after="60"/>
        <w:ind w:left="360"/>
      </w:pPr>
      <w:r>
        <w:t>Liste globale des commandes avec statut, restaurant, ville, montant, mode de paiement et date.</w:t>
      </w:r>
    </w:p>
    <w:p>
      <w:pPr>
        <w:pStyle w:val="Heading1"/>
        <w:keepNext/>
      </w:pPr>
      <w:r>
        <w:t>4. Règles métier</w:t>
      </w:r>
    </w:p>
    <w:tbl>
      <w:tblPr>
        <w:tblW w:type="auto" w:w="0"/>
        <w:jc w:val="center"/>
        <w:tblLayout w:type="autofit"/>
        <w:tblLook w:firstColumn="1" w:firstRow="1" w:lastColumn="0" w:lastRow="0" w:noHBand="0" w:noVBand="1" w:val="04A0"/>
      </w:tblPr>
      <w:tblGrid>
        <w:gridCol w:w="5040"/>
        <w:gridCol w:w="5040"/>
      </w:tblGrid>
      <w:tr>
        <w:trPr>
          <w:tblHeader w:val="true"/>
        </w:trPr>
        <w:tc>
          <w:tcPr>
            <w:tcW w:type="dxa" w:w="216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1E1B4B"/>
          </w:tcPr>
          <w:p>
            <w:pPr>
              <w:spacing w:after="0"/>
            </w:pPr>
            <w:r/>
            <w:r>
              <w:rPr>
                <w:rFonts w:ascii="Aptos" w:hAnsi="Aptos"/>
                <w:b/>
                <w:color w:val="FFFFFF"/>
                <w:sz w:val="18"/>
              </w:rPr>
              <w:t>Sujet</w:t>
            </w:r>
          </w:p>
        </w:tc>
        <w:tc>
          <w:tcPr>
            <w:tcW w:type="dxa" w:w="792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1E1B4B"/>
          </w:tcPr>
          <w:p>
            <w:pPr>
              <w:spacing w:after="0"/>
            </w:pPr>
            <w:r/>
            <w:r>
              <w:rPr>
                <w:rFonts w:ascii="Aptos" w:hAnsi="Aptos"/>
                <w:b/>
                <w:color w:val="FFFFFF"/>
                <w:sz w:val="18"/>
              </w:rPr>
              <w:t>Règle actuelle / cible</w:t>
            </w:r>
          </w:p>
        </w:tc>
      </w:tr>
      <w:tr>
        <w:tc>
          <w:tcPr>
            <w:tcW w:type="dxa" w:w="216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Commission</w:t>
            </w:r>
          </w:p>
        </w:tc>
        <w:tc>
          <w:tcPr>
            <w:tcW w:type="dxa" w:w="792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Commission de plateforme fixée à 8 % du revenu des commandes livrées, à confirmer sur la base exacte de calcul.</w:t>
            </w:r>
          </w:p>
        </w:tc>
      </w:tr>
      <w:tr>
        <w:tc>
          <w:tcPr>
            <w:tcW w:type="dxa" w:w="216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spacing w:after="0"/>
            </w:pPr>
            <w:r/>
            <w:r>
              <w:rPr>
                <w:rFonts w:ascii="Aptos" w:hAnsi="Aptos"/>
                <w:b w:val="0"/>
                <w:sz w:val="18"/>
              </w:rPr>
              <w:t>Fidélité</w:t>
            </w:r>
          </w:p>
        </w:tc>
        <w:tc>
          <w:tcPr>
            <w:tcW w:type="dxa" w:w="792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spacing w:after="0"/>
            </w:pPr>
            <w:r/>
            <w:r>
              <w:rPr>
                <w:rFonts w:ascii="Aptos" w:hAnsi="Aptos"/>
                <w:b w:val="0"/>
                <w:sz w:val="18"/>
              </w:rPr>
              <w:t>1 point gagné par tranche de 1 000 FCFA de sous-total ; 15 points donnent droit à 1 000 FCFA de réduction.</w:t>
            </w:r>
          </w:p>
        </w:tc>
      </w:tr>
      <w:tr>
        <w:tc>
          <w:tcPr>
            <w:tcW w:type="dxa" w:w="216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Frais de livraison</w:t>
            </w:r>
          </w:p>
        </w:tc>
        <w:tc>
          <w:tcPr>
            <w:tcW w:type="dxa" w:w="792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Valeur actuelle du MVP : 1 500 FCFA. La version cible doit permettre des frais variables par ville, zone ou partenaire.</w:t>
            </w:r>
          </w:p>
        </w:tc>
      </w:tr>
      <w:tr>
        <w:tc>
          <w:tcPr>
            <w:tcW w:type="dxa" w:w="216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spacing w:after="0"/>
            </w:pPr>
            <w:r/>
            <w:r>
              <w:rPr>
                <w:rFonts w:ascii="Aptos" w:hAnsi="Aptos"/>
                <w:b w:val="0"/>
                <w:sz w:val="18"/>
              </w:rPr>
              <w:t>Paiement</w:t>
            </w:r>
          </w:p>
        </w:tc>
        <w:tc>
          <w:tcPr>
            <w:tcW w:type="dxa" w:w="792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spacing w:after="0"/>
            </w:pPr>
            <w:r/>
            <w:r>
              <w:rPr>
                <w:rFonts w:ascii="Aptos" w:hAnsi="Aptos"/>
                <w:b w:val="0"/>
                <w:sz w:val="18"/>
              </w:rPr>
              <w:t>Orange Money et Moov Money uniquement dans le parcours client. Les instructions affichées utilisent encore des numéros provisoires.</w:t>
            </w:r>
          </w:p>
        </w:tc>
      </w:tr>
      <w:tr>
        <w:tc>
          <w:tcPr>
            <w:tcW w:type="dxa" w:w="216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Commande invité</w:t>
            </w:r>
          </w:p>
        </w:tc>
        <w:tc>
          <w:tcPr>
            <w:tcW w:type="dxa" w:w="792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Le client ne renseigne pas de mot de passe ni de compte dans l’interface ; un profil technique peut être créé en arrière-plan pour rattacher la commande.</w:t>
            </w:r>
          </w:p>
        </w:tc>
      </w:tr>
      <w:tr>
        <w:tc>
          <w:tcPr>
            <w:tcW w:type="dxa" w:w="216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spacing w:after="0"/>
            </w:pPr>
            <w:r/>
            <w:r>
              <w:rPr>
                <w:rFonts w:ascii="Aptos" w:hAnsi="Aptos"/>
                <w:b w:val="0"/>
                <w:sz w:val="18"/>
              </w:rPr>
              <w:t>Restaurant</w:t>
            </w:r>
          </w:p>
        </w:tc>
        <w:tc>
          <w:tcPr>
            <w:tcW w:type="dxa" w:w="792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spacing w:after="0"/>
            </w:pPr>
            <w:r/>
            <w:r>
              <w:rPr>
                <w:rFonts w:ascii="Aptos" w:hAnsi="Aptos"/>
                <w:b w:val="0"/>
                <w:sz w:val="18"/>
              </w:rPr>
              <w:t>Un restaurant nouvellement inscrit est en attente jusqu’à validation par un administrateur.</w:t>
            </w:r>
          </w:p>
        </w:tc>
      </w:tr>
      <w:tr>
        <w:tc>
          <w:tcPr>
            <w:tcW w:type="dxa" w:w="216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Préparation</w:t>
            </w:r>
          </w:p>
        </w:tc>
        <w:tc>
          <w:tcPr>
            <w:tcW w:type="dxa" w:w="792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La durée du timer est actuellement conservée côté appareil du restaurateur ; elle devra être persistée côté serveur pour une reprise fiable.</w:t>
            </w:r>
          </w:p>
        </w:tc>
      </w:tr>
      <w:tr>
        <w:tc>
          <w:tcPr>
            <w:tcW w:type="dxa" w:w="216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spacing w:after="0"/>
            </w:pPr>
            <w:r/>
            <w:r>
              <w:rPr>
                <w:rFonts w:ascii="Aptos" w:hAnsi="Aptos"/>
                <w:b w:val="0"/>
                <w:sz w:val="18"/>
              </w:rPr>
              <w:t>Statuts</w:t>
            </w:r>
          </w:p>
        </w:tc>
        <w:tc>
          <w:tcPr>
            <w:tcW w:type="dxa" w:w="792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spacing w:after="0"/>
            </w:pPr>
            <w:r/>
            <w:r>
              <w:rPr>
                <w:rFonts w:ascii="Aptos" w:hAnsi="Aptos"/>
                <w:b w:val="0"/>
                <w:sz w:val="18"/>
              </w:rPr>
              <w:t>Le statut « en livraison » est prévu dans le modèle mais n’est pas encore piloté par une application conducteur.</w:t>
            </w:r>
          </w:p>
        </w:tc>
      </w:tr>
    </w:tbl>
    <w:p>
      <w:pPr>
        <w:spacing w:after="40"/>
      </w:pPr>
    </w:p>
    <w:p>
      <w:pPr>
        <w:pStyle w:val="Heading1"/>
        <w:keepNext/>
      </w:pPr>
      <w:r>
        <w:t>5. Architecture et spécifications techniques</w:t>
      </w:r>
    </w:p>
    <w:p>
      <w:pPr>
        <w:pStyle w:val="Heading2"/>
        <w:keepNext/>
      </w:pPr>
      <w:r>
        <w:t>Architecture actuelle</w:t>
      </w:r>
    </w:p>
    <w:tbl>
      <w:tblPr>
        <w:tblW w:type="auto" w:w="0"/>
        <w:jc w:val="center"/>
        <w:tblLayout w:type="autofit"/>
        <w:tblLook w:firstColumn="1" w:firstRow="1" w:lastColumn="0" w:lastRow="0" w:noHBand="0" w:noVBand="1" w:val="04A0"/>
      </w:tblPr>
      <w:tblGrid>
        <w:gridCol w:w="5040"/>
        <w:gridCol w:w="5040"/>
      </w:tblGrid>
      <w:tr>
        <w:trPr>
          <w:tblHeader w:val="true"/>
        </w:trPr>
        <w:tc>
          <w:tcPr>
            <w:tcW w:type="dxa" w:w="2448"/>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1E1B4B"/>
          </w:tcPr>
          <w:p>
            <w:pPr>
              <w:spacing w:after="0"/>
            </w:pPr>
            <w:r/>
            <w:r>
              <w:rPr>
                <w:rFonts w:ascii="Aptos" w:hAnsi="Aptos"/>
                <w:b/>
                <w:color w:val="FFFFFF"/>
                <w:sz w:val="18"/>
              </w:rPr>
              <w:t>Composant</w:t>
            </w:r>
          </w:p>
        </w:tc>
        <w:tc>
          <w:tcPr>
            <w:tcW w:type="dxa" w:w="7632"/>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1E1B4B"/>
          </w:tcPr>
          <w:p>
            <w:pPr>
              <w:spacing w:after="0"/>
            </w:pPr>
            <w:r/>
            <w:r>
              <w:rPr>
                <w:rFonts w:ascii="Aptos" w:hAnsi="Aptos"/>
                <w:b/>
                <w:color w:val="FFFFFF"/>
                <w:sz w:val="18"/>
              </w:rPr>
              <w:t>Technologie / rôle</w:t>
            </w:r>
          </w:p>
        </w:tc>
      </w:tr>
      <w:tr>
        <w:tc>
          <w:tcPr>
            <w:tcW w:type="dxa" w:w="2448"/>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Application client</w:t>
            </w:r>
          </w:p>
        </w:tc>
        <w:tc>
          <w:tcPr>
            <w:tcW w:type="dxa" w:w="7632"/>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Expo React Native — mobile et prévisualisation web</w:t>
            </w:r>
          </w:p>
        </w:tc>
      </w:tr>
      <w:tr>
        <w:tc>
          <w:tcPr>
            <w:tcW w:type="dxa" w:w="2448"/>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spacing w:after="0"/>
            </w:pPr>
            <w:r/>
            <w:r>
              <w:rPr>
                <w:rFonts w:ascii="Aptos" w:hAnsi="Aptos"/>
                <w:b w:val="0"/>
                <w:sz w:val="18"/>
              </w:rPr>
              <w:t>Espace restaurateur</w:t>
            </w:r>
          </w:p>
        </w:tc>
        <w:tc>
          <w:tcPr>
            <w:tcW w:type="dxa" w:w="7632"/>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spacing w:after="0"/>
            </w:pPr>
            <w:r/>
            <w:r>
              <w:rPr>
                <w:rFonts w:ascii="Aptos" w:hAnsi="Aptos"/>
                <w:b w:val="0"/>
                <w:sz w:val="18"/>
              </w:rPr>
              <w:t>React + Vite — application web responsive</w:t>
            </w:r>
          </w:p>
        </w:tc>
      </w:tr>
      <w:tr>
        <w:tc>
          <w:tcPr>
            <w:tcW w:type="dxa" w:w="2448"/>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Back-office admin</w:t>
            </w:r>
          </w:p>
        </w:tc>
        <w:tc>
          <w:tcPr>
            <w:tcW w:type="dxa" w:w="7632"/>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React + Vite — application web de supervision</w:t>
            </w:r>
          </w:p>
        </w:tc>
      </w:tr>
      <w:tr>
        <w:tc>
          <w:tcPr>
            <w:tcW w:type="dxa" w:w="2448"/>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spacing w:after="0"/>
            </w:pPr>
            <w:r/>
            <w:r>
              <w:rPr>
                <w:rFonts w:ascii="Aptos" w:hAnsi="Aptos"/>
                <w:b w:val="0"/>
                <w:sz w:val="18"/>
              </w:rPr>
              <w:t>API</w:t>
            </w:r>
          </w:p>
        </w:tc>
        <w:tc>
          <w:tcPr>
            <w:tcW w:type="dxa" w:w="7632"/>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spacing w:after="0"/>
            </w:pPr>
            <w:r/>
            <w:r>
              <w:rPr>
                <w:rFonts w:ascii="Aptos" w:hAnsi="Aptos"/>
                <w:b w:val="0"/>
                <w:sz w:val="18"/>
              </w:rPr>
              <w:t>Express 5 — API REST partagée par les trois interfaces</w:t>
            </w:r>
          </w:p>
        </w:tc>
      </w:tr>
      <w:tr>
        <w:tc>
          <w:tcPr>
            <w:tcW w:type="dxa" w:w="2448"/>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Base de données</w:t>
            </w:r>
          </w:p>
        </w:tc>
        <w:tc>
          <w:tcPr>
            <w:tcW w:type="dxa" w:w="7632"/>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PostgreSQL avec Drizzle ORM</w:t>
            </w:r>
          </w:p>
        </w:tc>
      </w:tr>
      <w:tr>
        <w:tc>
          <w:tcPr>
            <w:tcW w:type="dxa" w:w="2448"/>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spacing w:after="0"/>
            </w:pPr>
            <w:r/>
            <w:r>
              <w:rPr>
                <w:rFonts w:ascii="Aptos" w:hAnsi="Aptos"/>
                <w:b w:val="0"/>
                <w:sz w:val="18"/>
              </w:rPr>
              <w:t>Contrat API</w:t>
            </w:r>
          </w:p>
        </w:tc>
        <w:tc>
          <w:tcPr>
            <w:tcW w:type="dxa" w:w="7632"/>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spacing w:after="0"/>
            </w:pPr>
            <w:r/>
            <w:r>
              <w:rPr>
                <w:rFonts w:ascii="Aptos" w:hAnsi="Aptos"/>
                <w:b w:val="0"/>
                <w:sz w:val="18"/>
              </w:rPr>
              <w:t>OpenAPI ; génération de clients React Query et schémas Zod avec Orval</w:t>
            </w:r>
          </w:p>
        </w:tc>
      </w:tr>
      <w:tr>
        <w:tc>
          <w:tcPr>
            <w:tcW w:type="dxa" w:w="2448"/>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Authentification</w:t>
            </w:r>
          </w:p>
        </w:tc>
        <w:tc>
          <w:tcPr>
            <w:tcW w:type="dxa" w:w="7632"/>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JWT Bearer ; rôles client, restaurant_owner et admin</w:t>
            </w:r>
          </w:p>
        </w:tc>
      </w:tr>
      <w:tr>
        <w:tc>
          <w:tcPr>
            <w:tcW w:type="dxa" w:w="2448"/>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spacing w:after="0"/>
            </w:pPr>
            <w:r/>
            <w:r>
              <w:rPr>
                <w:rFonts w:ascii="Aptos" w:hAnsi="Aptos"/>
                <w:b w:val="0"/>
                <w:sz w:val="18"/>
              </w:rPr>
              <w:t>Images</w:t>
            </w:r>
          </w:p>
        </w:tc>
        <w:tc>
          <w:tcPr>
            <w:tcW w:type="dxa" w:w="7632"/>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spacing w:after="0"/>
            </w:pPr>
            <w:r/>
            <w:r>
              <w:rPr>
                <w:rFonts w:ascii="Aptos" w:hAnsi="Aptos"/>
                <w:b w:val="0"/>
                <w:sz w:val="18"/>
              </w:rPr>
              <w:t>URL ou data URL stockée dans le champ imageUrl ; stockage objet à prévoir pour la production</w:t>
            </w:r>
          </w:p>
        </w:tc>
      </w:tr>
    </w:tbl>
    <w:p>
      <w:pPr>
        <w:spacing w:after="40"/>
      </w:pPr>
    </w:p>
    <w:p>
      <w:pPr>
        <w:pStyle w:val="Heading2"/>
        <w:keepNext/>
      </w:pPr>
      <w:r>
        <w:t>Entités principales</w:t>
      </w:r>
    </w:p>
    <w:p>
      <w:pPr>
        <w:pStyle w:val="ListBullet"/>
        <w:spacing w:after="60"/>
        <w:ind w:left="360"/>
      </w:pPr>
      <w:r>
        <w:t>users : utilisateurs, téléphone, rôle, points de fidélité et dates de création/modification.</w:t>
      </w:r>
    </w:p>
    <w:p>
      <w:pPr>
        <w:pStyle w:val="ListBullet"/>
        <w:spacing w:after="60"/>
        <w:ind w:left="360"/>
      </w:pPr>
      <w:r>
        <w:t>restaurants : informations du restaurant, propriétaire, statut de validation, localisation, note et horaires.</w:t>
      </w:r>
    </w:p>
    <w:p>
      <w:pPr>
        <w:pStyle w:val="ListBullet"/>
        <w:spacing w:after="60"/>
        <w:ind w:left="360"/>
      </w:pPr>
      <w:r>
        <w:t>dishes : plats, prix, catégorie, photo, disponibilité et promotion.</w:t>
      </w:r>
    </w:p>
    <w:p>
      <w:pPr>
        <w:pStyle w:val="ListBullet"/>
        <w:spacing w:after="60"/>
        <w:ind w:left="360"/>
      </w:pPr>
      <w:r>
        <w:t>orders : client, restaurant, articles, adresse, total, paiement, statut et points gagnés.</w:t>
      </w:r>
    </w:p>
    <w:p>
      <w:pPr>
        <w:pStyle w:val="ListBullet"/>
        <w:spacing w:after="60"/>
        <w:ind w:left="360"/>
      </w:pPr>
      <w:r>
        <w:t>addresses : adresses enregistrées par les clients.</w:t>
      </w:r>
    </w:p>
    <w:p>
      <w:pPr>
        <w:pStyle w:val="ListBullet"/>
        <w:spacing w:after="60"/>
        <w:ind w:left="360"/>
      </w:pPr>
      <w:r>
        <w:t>loyalty_history : historique des gains et utilisations de points.</w:t>
      </w:r>
    </w:p>
    <w:p>
      <w:pPr>
        <w:pStyle w:val="Heading1"/>
        <w:keepNext/>
      </w:pPr>
      <w:r>
        <w:t>6. Sécurité et protection des données</w:t>
      </w:r>
    </w:p>
    <w:p>
      <w:pPr>
        <w:pStyle w:val="ListBullet"/>
        <w:spacing w:after="60"/>
        <w:ind w:left="360"/>
      </w:pPr>
      <w:r>
        <w:t>Les mots de passe ne doivent jamais être stockés en clair ; ils sont hachés côté serveur.</w:t>
      </w:r>
    </w:p>
    <w:p>
      <w:pPr>
        <w:pStyle w:val="ListBullet"/>
        <w:spacing w:after="60"/>
        <w:ind w:left="360"/>
      </w:pPr>
      <w:r>
        <w:t>Les routes d’administration sont protégées par authentification et contrôle du rôle admin.</w:t>
      </w:r>
    </w:p>
    <w:p>
      <w:pPr>
        <w:pStyle w:val="ListBullet"/>
        <w:spacing w:after="60"/>
        <w:ind w:left="360"/>
      </w:pPr>
      <w:r>
        <w:t>Les réponses API ne doivent jamais exposer le hash du mot de passe.</w:t>
      </w:r>
    </w:p>
    <w:p>
      <w:pPr>
        <w:pStyle w:val="ListBullet"/>
        <w:spacing w:after="60"/>
        <w:ind w:left="360"/>
      </w:pPr>
      <w:r>
        <w:t>Les montants et statuts doivent être recalculés et contrôlés par l’API, et non uniquement par l’interface.</w:t>
      </w:r>
    </w:p>
    <w:p>
      <w:pPr>
        <w:pStyle w:val="ListBullet"/>
        <w:spacing w:after="60"/>
        <w:ind w:left="360"/>
      </w:pPr>
      <w:r>
        <w:t>Aucune donnée bancaire complète ne doit être stockée par EatBF.</w:t>
      </w:r>
    </w:p>
    <w:p>
      <w:pPr>
        <w:pStyle w:val="ListBullet"/>
        <w:spacing w:after="60"/>
        <w:ind w:left="360"/>
      </w:pPr>
      <w:r>
        <w:t>Les numéros Mobile Money réels doivent être configurés par environnement et ne doivent pas être codés en dur dans le client.</w:t>
      </w:r>
    </w:p>
    <w:p>
      <w:pPr>
        <w:pStyle w:val="ListBullet"/>
        <w:spacing w:after="60"/>
        <w:ind w:left="360"/>
      </w:pPr>
      <w:r>
        <w:t>Les données personnelles doivent être limitées aux informations nécessaires à la commande, la livraison et le support.</w:t>
      </w:r>
    </w:p>
    <w:p>
      <w:pPr>
        <w:pStyle w:val="ListBullet"/>
        <w:spacing w:after="60"/>
        <w:ind w:left="360"/>
      </w:pPr>
      <w:r>
        <w:t>Les actions sensibles de l’administration devront être journalisées dans une version de production.</w:t>
      </w:r>
    </w:p>
    <w:p>
      <w:pPr>
        <w:pStyle w:val="Heading1"/>
        <w:keepNext/>
      </w:pPr>
      <w:r>
        <w:t>7. État d’avancement</w:t>
      </w:r>
    </w:p>
    <w:p>
      <w:pPr>
        <w:spacing w:after="120" w:line="259" w:lineRule="auto"/>
      </w:pPr>
      <w:r>
        <w:rPr>
          <w:rFonts w:ascii="Aptos" w:hAnsi="Aptos"/>
          <w:b w:val="0"/>
          <w:sz w:val="21"/>
        </w:rPr>
        <w:t>La plateforme dispose d’un MVP utilisable. Le tableau ci-dessous sépare l’existant des fonctions à finaliser pour une mise en production complète.</w:t>
      </w:r>
    </w:p>
    <w:tbl>
      <w:tblPr>
        <w:tblW w:type="auto" w:w="0"/>
        <w:jc w:val="center"/>
        <w:tblLook w:firstColumn="1" w:firstRow="1" w:lastColumn="0" w:lastRow="0" w:noHBand="0" w:noVBand="1" w:val="04A0"/>
      </w:tblPr>
      <w:tblGrid>
        <w:gridCol w:w="5040"/>
        <w:gridCol w:w="5040"/>
      </w:tblGrid>
      <w:tr>
        <w:tc>
          <w:tcPr>
            <w:tcW w:type="dxa" w:w="504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15803D"/>
          </w:tcPr>
          <w:p>
            <w:pPr>
              <w:spacing w:after="0"/>
              <w:jc w:val="center"/>
            </w:pPr>
            <w:r/>
            <w:r>
              <w:rPr>
                <w:rFonts w:ascii="Aptos" w:hAnsi="Aptos"/>
                <w:b/>
                <w:color w:val="FFFFFF"/>
                <w:sz w:val="18"/>
              </w:rPr>
              <w:t>IMPLEMENTÉ</w:t>
            </w:r>
          </w:p>
        </w:tc>
        <w:tc>
          <w:tcPr>
            <w:tcW w:type="dxa" w:w="504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9"/>
              </w:rPr>
              <w:t>Application mobile : découverte des restaurants, fiche restaurant, panier, paiement Mobile Money simulé, historique et suivi des statuts.</w:t>
            </w:r>
          </w:p>
        </w:tc>
      </w:tr>
    </w:tbl>
    <w:p>
      <w:pPr>
        <w:spacing w:after="20"/>
      </w:pPr>
    </w:p>
    <w:tbl>
      <w:tblPr>
        <w:tblW w:type="auto" w:w="0"/>
        <w:jc w:val="center"/>
        <w:tblLook w:firstColumn="1" w:firstRow="1" w:lastColumn="0" w:lastRow="0" w:noHBand="0" w:noVBand="1" w:val="04A0"/>
      </w:tblPr>
      <w:tblGrid>
        <w:gridCol w:w="5040"/>
        <w:gridCol w:w="5040"/>
      </w:tblGrid>
      <w:tr>
        <w:tc>
          <w:tcPr>
            <w:tcW w:type="dxa" w:w="504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15803D"/>
          </w:tcPr>
          <w:p>
            <w:pPr>
              <w:spacing w:after="0"/>
              <w:jc w:val="center"/>
            </w:pPr>
            <w:r/>
            <w:r>
              <w:rPr>
                <w:rFonts w:ascii="Aptos" w:hAnsi="Aptos"/>
                <w:b/>
                <w:color w:val="FFFFFF"/>
                <w:sz w:val="18"/>
              </w:rPr>
              <w:t>IMPLEMENTÉ</w:t>
            </w:r>
          </w:p>
        </w:tc>
        <w:tc>
          <w:tcPr>
            <w:tcW w:type="dxa" w:w="504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9"/>
              </w:rPr>
              <w:t>Espace restaurateur : menu avec photo obligatoire, commandes, acceptation, préparation avec timer et passage à « prêt ».</w:t>
            </w:r>
          </w:p>
        </w:tc>
      </w:tr>
    </w:tbl>
    <w:p>
      <w:pPr>
        <w:spacing w:after="20"/>
      </w:pPr>
    </w:p>
    <w:tbl>
      <w:tblPr>
        <w:tblW w:type="auto" w:w="0"/>
        <w:jc w:val="center"/>
        <w:tblLook w:firstColumn="1" w:firstRow="1" w:lastColumn="0" w:lastRow="0" w:noHBand="0" w:noVBand="1" w:val="04A0"/>
      </w:tblPr>
      <w:tblGrid>
        <w:gridCol w:w="5040"/>
        <w:gridCol w:w="5040"/>
      </w:tblGrid>
      <w:tr>
        <w:tc>
          <w:tcPr>
            <w:tcW w:type="dxa" w:w="504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15803D"/>
          </w:tcPr>
          <w:p>
            <w:pPr>
              <w:spacing w:after="0"/>
              <w:jc w:val="center"/>
            </w:pPr>
            <w:r/>
            <w:r>
              <w:rPr>
                <w:rFonts w:ascii="Aptos" w:hAnsi="Aptos"/>
                <w:b/>
                <w:color w:val="FFFFFF"/>
                <w:sz w:val="18"/>
              </w:rPr>
              <w:t>IMPLEMENTÉ</w:t>
            </w:r>
          </w:p>
        </w:tc>
        <w:tc>
          <w:tcPr>
            <w:tcW w:type="dxa" w:w="504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9"/>
              </w:rPr>
              <w:t>Back-office admin : connexion admin, statistiques, validation des restaurants, gestion des utilisateurs et supervision des commandes.</w:t>
            </w:r>
          </w:p>
        </w:tc>
      </w:tr>
    </w:tbl>
    <w:p>
      <w:pPr>
        <w:spacing w:after="20"/>
      </w:pPr>
    </w:p>
    <w:tbl>
      <w:tblPr>
        <w:tblW w:type="auto" w:w="0"/>
        <w:jc w:val="center"/>
        <w:tblLook w:firstColumn="1" w:firstRow="1" w:lastColumn="0" w:lastRow="0" w:noHBand="0" w:noVBand="1" w:val="04A0"/>
      </w:tblPr>
      <w:tblGrid>
        <w:gridCol w:w="5040"/>
        <w:gridCol w:w="5040"/>
      </w:tblGrid>
      <w:tr>
        <w:tc>
          <w:tcPr>
            <w:tcW w:type="dxa" w:w="504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B45309"/>
          </w:tcPr>
          <w:p>
            <w:pPr>
              <w:spacing w:after="0"/>
              <w:jc w:val="center"/>
            </w:pPr>
            <w:r/>
            <w:r>
              <w:rPr>
                <w:rFonts w:ascii="Aptos" w:hAnsi="Aptos"/>
                <w:b/>
                <w:color w:val="FFFFFF"/>
                <w:sz w:val="18"/>
              </w:rPr>
              <w:t>PARTIEL</w:t>
            </w:r>
          </w:p>
        </w:tc>
        <w:tc>
          <w:tcPr>
            <w:tcW w:type="dxa" w:w="504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9"/>
              </w:rPr>
              <w:t>Commande sans compte manuel : le parcours client ne demande pas de mot de passe, mais un profil technique est nécessaire côté API pour rattacher la commande.</w:t>
            </w:r>
          </w:p>
        </w:tc>
      </w:tr>
    </w:tbl>
    <w:p>
      <w:pPr>
        <w:spacing w:after="20"/>
      </w:pPr>
    </w:p>
    <w:tbl>
      <w:tblPr>
        <w:tblW w:type="auto" w:w="0"/>
        <w:jc w:val="center"/>
        <w:tblLook w:firstColumn="1" w:firstRow="1" w:lastColumn="0" w:lastRow="0" w:noHBand="0" w:noVBand="1" w:val="04A0"/>
      </w:tblPr>
      <w:tblGrid>
        <w:gridCol w:w="5040"/>
        <w:gridCol w:w="5040"/>
      </w:tblGrid>
      <w:tr>
        <w:tc>
          <w:tcPr>
            <w:tcW w:type="dxa" w:w="504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B45309"/>
          </w:tcPr>
          <w:p>
            <w:pPr>
              <w:spacing w:after="0"/>
              <w:jc w:val="center"/>
            </w:pPr>
            <w:r/>
            <w:r>
              <w:rPr>
                <w:rFonts w:ascii="Aptos" w:hAnsi="Aptos"/>
                <w:b/>
                <w:color w:val="FFFFFF"/>
                <w:sz w:val="18"/>
              </w:rPr>
              <w:t>PARTIEL</w:t>
            </w:r>
          </w:p>
        </w:tc>
        <w:tc>
          <w:tcPr>
            <w:tcW w:type="dxa" w:w="504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9"/>
              </w:rPr>
              <w:t>Paiement Mobile Money : les instructions sont simulées ; aucun appel CinetPay, PayDunya, Orange Money API ou Moov Money API n’est encore connecté.</w:t>
            </w:r>
          </w:p>
        </w:tc>
      </w:tr>
    </w:tbl>
    <w:p>
      <w:pPr>
        <w:spacing w:after="20"/>
      </w:pPr>
    </w:p>
    <w:tbl>
      <w:tblPr>
        <w:tblW w:type="auto" w:w="0"/>
        <w:jc w:val="center"/>
        <w:tblLook w:firstColumn="1" w:firstRow="1" w:lastColumn="0" w:lastRow="0" w:noHBand="0" w:noVBand="1" w:val="04A0"/>
      </w:tblPr>
      <w:tblGrid>
        <w:gridCol w:w="5040"/>
        <w:gridCol w:w="5040"/>
      </w:tblGrid>
      <w:tr>
        <w:tc>
          <w:tcPr>
            <w:tcW w:type="dxa" w:w="504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B91C1C"/>
          </w:tcPr>
          <w:p>
            <w:pPr>
              <w:spacing w:after="0"/>
              <w:jc w:val="center"/>
            </w:pPr>
            <w:r/>
            <w:r>
              <w:rPr>
                <w:rFonts w:ascii="Aptos" w:hAnsi="Aptos"/>
                <w:b/>
                <w:color w:val="FFFFFF"/>
                <w:sz w:val="18"/>
              </w:rPr>
              <w:t>À FAIRE</w:t>
            </w:r>
          </w:p>
        </w:tc>
        <w:tc>
          <w:tcPr>
            <w:tcW w:type="dxa" w:w="504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9"/>
              </w:rPr>
              <w:t>Livraison : intégration d’un partenaire tiers, calcul variable des frais, attribution et suivi conducteur.</w:t>
            </w:r>
          </w:p>
        </w:tc>
      </w:tr>
    </w:tbl>
    <w:p>
      <w:pPr>
        <w:spacing w:after="20"/>
      </w:pPr>
    </w:p>
    <w:tbl>
      <w:tblPr>
        <w:tblW w:type="auto" w:w="0"/>
        <w:jc w:val="center"/>
        <w:tblLook w:firstColumn="1" w:firstRow="1" w:lastColumn="0" w:lastRow="0" w:noHBand="0" w:noVBand="1" w:val="04A0"/>
      </w:tblPr>
      <w:tblGrid>
        <w:gridCol w:w="5040"/>
        <w:gridCol w:w="5040"/>
      </w:tblGrid>
      <w:tr>
        <w:tc>
          <w:tcPr>
            <w:tcW w:type="dxa" w:w="504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B91C1C"/>
          </w:tcPr>
          <w:p>
            <w:pPr>
              <w:spacing w:after="0"/>
              <w:jc w:val="center"/>
            </w:pPr>
            <w:r/>
            <w:r>
              <w:rPr>
                <w:rFonts w:ascii="Aptos" w:hAnsi="Aptos"/>
                <w:b/>
                <w:color w:val="FFFFFF"/>
                <w:sz w:val="18"/>
              </w:rPr>
              <w:t>À FAIRE</w:t>
            </w:r>
          </w:p>
        </w:tc>
        <w:tc>
          <w:tcPr>
            <w:tcW w:type="dxa" w:w="504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9"/>
              </w:rPr>
              <w:t>Notifications SMS et notifications push de changement de statut.</w:t>
            </w:r>
          </w:p>
        </w:tc>
      </w:tr>
    </w:tbl>
    <w:p>
      <w:pPr>
        <w:spacing w:after="20"/>
      </w:pPr>
    </w:p>
    <w:tbl>
      <w:tblPr>
        <w:tblW w:type="auto" w:w="0"/>
        <w:jc w:val="center"/>
        <w:tblLook w:firstColumn="1" w:firstRow="1" w:lastColumn="0" w:lastRow="0" w:noHBand="0" w:noVBand="1" w:val="04A0"/>
      </w:tblPr>
      <w:tblGrid>
        <w:gridCol w:w="5040"/>
        <w:gridCol w:w="5040"/>
      </w:tblGrid>
      <w:tr>
        <w:tc>
          <w:tcPr>
            <w:tcW w:type="dxa" w:w="504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B91C1C"/>
          </w:tcPr>
          <w:p>
            <w:pPr>
              <w:spacing w:after="0"/>
              <w:jc w:val="center"/>
            </w:pPr>
            <w:r/>
            <w:r>
              <w:rPr>
                <w:rFonts w:ascii="Aptos" w:hAnsi="Aptos"/>
                <w:b/>
                <w:color w:val="FFFFFF"/>
                <w:sz w:val="18"/>
              </w:rPr>
              <w:t>À FAIRE</w:t>
            </w:r>
          </w:p>
        </w:tc>
        <w:tc>
          <w:tcPr>
            <w:tcW w:type="dxa" w:w="504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9"/>
              </w:rPr>
              <w:t>Persistance serveur du timer de préparation et historique d’audit des actions.</w:t>
            </w:r>
          </w:p>
        </w:tc>
      </w:tr>
    </w:tbl>
    <w:p>
      <w:pPr>
        <w:spacing w:after="20"/>
      </w:pPr>
    </w:p>
    <w:tbl>
      <w:tblPr>
        <w:tblW w:type="auto" w:w="0"/>
        <w:jc w:val="center"/>
        <w:tblLook w:firstColumn="1" w:firstRow="1" w:lastColumn="0" w:lastRow="0" w:noHBand="0" w:noVBand="1" w:val="04A0"/>
      </w:tblPr>
      <w:tblGrid>
        <w:gridCol w:w="5040"/>
        <w:gridCol w:w="5040"/>
      </w:tblGrid>
      <w:tr>
        <w:tc>
          <w:tcPr>
            <w:tcW w:type="dxa" w:w="504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B91C1C"/>
          </w:tcPr>
          <w:p>
            <w:pPr>
              <w:spacing w:after="0"/>
              <w:jc w:val="center"/>
            </w:pPr>
            <w:r/>
            <w:r>
              <w:rPr>
                <w:rFonts w:ascii="Aptos" w:hAnsi="Aptos"/>
                <w:b/>
                <w:color w:val="FFFFFF"/>
                <w:sz w:val="18"/>
              </w:rPr>
              <w:t>À FAIRE</w:t>
            </w:r>
          </w:p>
        </w:tc>
        <w:tc>
          <w:tcPr>
            <w:tcW w:type="dxa" w:w="504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9"/>
              </w:rPr>
              <w:t>Internationalisation complète français/anglais.</w:t>
            </w:r>
          </w:p>
        </w:tc>
      </w:tr>
    </w:tbl>
    <w:p>
      <w:pPr>
        <w:spacing w:after="20"/>
      </w:pPr>
    </w:p>
    <w:tbl>
      <w:tblPr>
        <w:tblW w:type="auto" w:w="0"/>
        <w:jc w:val="center"/>
        <w:tblLook w:firstColumn="1" w:firstRow="1" w:lastColumn="0" w:lastRow="0" w:noHBand="0" w:noVBand="1" w:val="04A0"/>
      </w:tblPr>
      <w:tblGrid>
        <w:gridCol w:w="5040"/>
        <w:gridCol w:w="5040"/>
      </w:tblGrid>
      <w:tr>
        <w:tc>
          <w:tcPr>
            <w:tcW w:type="dxa" w:w="504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B91C1C"/>
          </w:tcPr>
          <w:p>
            <w:pPr>
              <w:spacing w:after="0"/>
              <w:jc w:val="center"/>
            </w:pPr>
            <w:r/>
            <w:r>
              <w:rPr>
                <w:rFonts w:ascii="Aptos" w:hAnsi="Aptos"/>
                <w:b/>
                <w:color w:val="FFFFFF"/>
                <w:sz w:val="18"/>
              </w:rPr>
              <w:t>À FAIRE</w:t>
            </w:r>
          </w:p>
        </w:tc>
        <w:tc>
          <w:tcPr>
            <w:tcW w:type="dxa" w:w="504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9"/>
              </w:rPr>
              <w:t>Géolocalisation par carte et zones de livraison.</w:t>
            </w:r>
          </w:p>
        </w:tc>
      </w:tr>
    </w:tbl>
    <w:p>
      <w:pPr>
        <w:spacing w:after="20"/>
      </w:pPr>
    </w:p>
    <w:p>
      <w:pPr>
        <w:pStyle w:val="Heading1"/>
        <w:keepNext/>
      </w:pPr>
      <w:r>
        <w:t>8. Éléments à intégrer et feuille de route</w:t>
      </w:r>
    </w:p>
    <w:p>
      <w:pPr>
        <w:pStyle w:val="Heading2"/>
        <w:keepNext/>
      </w:pPr>
      <w:r>
        <w:t>Priorité 1 — sécuriser le parcours de commande</w:t>
      </w:r>
    </w:p>
    <w:p>
      <w:pPr>
        <w:pStyle w:val="ListNumber"/>
        <w:spacing w:after="60"/>
      </w:pPr>
      <w:r>
        <w:t>Remplacer les numéros Mobile Money provisoires par les numéros marchands officiels.</w:t>
      </w:r>
    </w:p>
    <w:p>
      <w:pPr>
        <w:pStyle w:val="ListNumber"/>
        <w:spacing w:after="60"/>
      </w:pPr>
      <w:r>
        <w:t>Intégrer un prestataire de paiement adapté au Burkina Faso et gérer les statuts payé, échoué, remboursé.</w:t>
      </w:r>
    </w:p>
    <w:p>
      <w:pPr>
        <w:pStyle w:val="ListNumber"/>
        <w:spacing w:after="60"/>
      </w:pPr>
      <w:r>
        <w:t>Valider le parcours de commande invité avec vérification du téléphone et récupération de commande.</w:t>
      </w:r>
    </w:p>
    <w:p>
      <w:pPr>
        <w:pStyle w:val="ListNumber"/>
        <w:spacing w:after="60"/>
      </w:pPr>
      <w:r>
        <w:t>Ajouter une validation serveur stricte des transitions de statut.</w:t>
      </w:r>
    </w:p>
    <w:p>
      <w:pPr>
        <w:pStyle w:val="Heading2"/>
        <w:keepNext/>
      </w:pPr>
      <w:r>
        <w:t>Priorité 2 — finaliser la livraison et les notifications</w:t>
      </w:r>
    </w:p>
    <w:p>
      <w:pPr>
        <w:pStyle w:val="ListNumber"/>
        <w:spacing w:after="60"/>
      </w:pPr>
      <w:r>
        <w:t>Choisir et intégrer le partenaire de livraison.</w:t>
      </w:r>
    </w:p>
    <w:p>
      <w:pPr>
        <w:pStyle w:val="ListNumber"/>
        <w:spacing w:after="60"/>
      </w:pPr>
      <w:r>
        <w:t>Définir les villes et zones couvertes.</w:t>
      </w:r>
    </w:p>
    <w:p>
      <w:pPr>
        <w:pStyle w:val="ListNumber"/>
        <w:spacing w:after="60"/>
      </w:pPr>
      <w:r>
        <w:t>Calculer les frais de livraison selon la zone.</w:t>
      </w:r>
    </w:p>
    <w:p>
      <w:pPr>
        <w:pStyle w:val="ListNumber"/>
        <w:spacing w:after="60"/>
      </w:pPr>
      <w:r>
        <w:t>Ajouter notifications SMS et push.</w:t>
      </w:r>
    </w:p>
    <w:p>
      <w:pPr>
        <w:pStyle w:val="ListNumber"/>
        <w:spacing w:after="60"/>
      </w:pPr>
      <w:r>
        <w:t>Permettre le passage fiable à « en livraison » puis « livrée ».</w:t>
      </w:r>
    </w:p>
    <w:p>
      <w:pPr>
        <w:pStyle w:val="Heading2"/>
        <w:keepNext/>
      </w:pPr>
      <w:r>
        <w:t>Priorité 3 — industrialiser la plateforme</w:t>
      </w:r>
    </w:p>
    <w:p>
      <w:pPr>
        <w:pStyle w:val="ListNumber"/>
        <w:spacing w:after="60"/>
      </w:pPr>
      <w:r>
        <w:t>Déplacer les images base64 vers un stockage objet.</w:t>
      </w:r>
    </w:p>
    <w:p>
      <w:pPr>
        <w:pStyle w:val="ListNumber"/>
        <w:spacing w:after="60"/>
      </w:pPr>
      <w:r>
        <w:t>Persister le timer de préparation dans la base de données.</w:t>
      </w:r>
    </w:p>
    <w:p>
      <w:pPr>
        <w:pStyle w:val="ListNumber"/>
        <w:spacing w:after="60"/>
      </w:pPr>
      <w:r>
        <w:t>Ajouter journal d’audit, remboursements, litiges et rôles admin détaillés.</w:t>
      </w:r>
    </w:p>
    <w:p>
      <w:pPr>
        <w:pStyle w:val="ListNumber"/>
        <w:spacing w:after="60"/>
      </w:pPr>
      <w:r>
        <w:t>Mettre en place tests automatisés, suivi d’erreurs et sauvegardes.</w:t>
      </w:r>
    </w:p>
    <w:p>
      <w:pPr>
        <w:pStyle w:val="ListNumber"/>
        <w:spacing w:after="60"/>
      </w:pPr>
      <w:r>
        <w:t>Publier les applications restaurateur et client avec les liens officiels.</w:t>
      </w:r>
    </w:p>
    <w:p>
      <w:pPr>
        <w:pStyle w:val="Heading1"/>
        <w:keepNext/>
      </w:pPr>
      <w:r>
        <w:t>9. Livrables et critères d’acceptation</w:t>
      </w:r>
    </w:p>
    <w:p>
      <w:pPr>
        <w:pStyle w:val="Heading2"/>
        <w:keepNext/>
      </w:pPr>
      <w:r>
        <w:t>Livrables</w:t>
      </w:r>
    </w:p>
    <w:p>
      <w:pPr>
        <w:pStyle w:val="ListBullet"/>
        <w:spacing w:after="60"/>
        <w:ind w:left="360"/>
      </w:pPr>
      <w:r>
        <w:t>Code source des applications mobile, restaurateur, admin et API.</w:t>
      </w:r>
    </w:p>
    <w:p>
      <w:pPr>
        <w:pStyle w:val="ListBullet"/>
        <w:spacing w:after="60"/>
        <w:ind w:left="360"/>
      </w:pPr>
      <w:r>
        <w:t>Base de données et schéma documenté.</w:t>
      </w:r>
    </w:p>
    <w:p>
      <w:pPr>
        <w:pStyle w:val="ListBullet"/>
        <w:spacing w:after="60"/>
        <w:ind w:left="360"/>
      </w:pPr>
      <w:r>
        <w:t>Contrat OpenAPI et documentation des endpoints.</w:t>
      </w:r>
    </w:p>
    <w:p>
      <w:pPr>
        <w:pStyle w:val="ListBullet"/>
        <w:spacing w:after="60"/>
        <w:ind w:left="360"/>
      </w:pPr>
      <w:r>
        <w:t>Guide d’installation, configuration et déploiement.</w:t>
      </w:r>
    </w:p>
    <w:p>
      <w:pPr>
        <w:pStyle w:val="ListBullet"/>
        <w:spacing w:after="60"/>
        <w:ind w:left="360"/>
      </w:pPr>
      <w:r>
        <w:t>Guide d’utilisation pour administrateurs et restaurateurs.</w:t>
      </w:r>
    </w:p>
    <w:p>
      <w:pPr>
        <w:pStyle w:val="ListBullet"/>
        <w:spacing w:after="60"/>
        <w:ind w:left="360"/>
      </w:pPr>
      <w:r>
        <w:t>Procédure de gestion des paiements, remboursements et incidents.</w:t>
      </w:r>
    </w:p>
    <w:p>
      <w:pPr>
        <w:pStyle w:val="Heading2"/>
        <w:keepNext/>
      </w:pPr>
      <w:r>
        <w:t>Critères d’acceptation du MVP</w:t>
      </w:r>
    </w:p>
    <w:p>
      <w:pPr>
        <w:pStyle w:val="ListBullet"/>
        <w:spacing w:after="60"/>
        <w:ind w:left="360"/>
      </w:pPr>
      <w:r>
        <w:t>Un client peut trouver un restaurant, consulter un plat avec une photo lisible et l’ajouter au panier.</w:t>
      </w:r>
    </w:p>
    <w:p>
      <w:pPr>
        <w:pStyle w:val="ListBullet"/>
        <w:spacing w:after="60"/>
        <w:ind w:left="360"/>
      </w:pPr>
      <w:r>
        <w:t>Un client peut commander sans créer manuellement de compte et choisir Orange Money ou Moov Money.</w:t>
      </w:r>
    </w:p>
    <w:p>
      <w:pPr>
        <w:pStyle w:val="ListBullet"/>
        <w:spacing w:after="60"/>
        <w:ind w:left="360"/>
      </w:pPr>
      <w:r>
        <w:t>Un restaurateur peut recevoir, accepter, préparer et marquer une commande comme prête.</w:t>
      </w:r>
    </w:p>
    <w:p>
      <w:pPr>
        <w:pStyle w:val="ListBullet"/>
        <w:spacing w:after="60"/>
        <w:ind w:left="360"/>
      </w:pPr>
      <w:r>
        <w:t>Un administrateur peut approuver ou suspendre un restaurant et consulter les indicateurs principaux.</w:t>
      </w:r>
    </w:p>
    <w:p>
      <w:pPr>
        <w:pStyle w:val="ListBullet"/>
        <w:spacing w:after="60"/>
        <w:ind w:left="360"/>
      </w:pPr>
      <w:r>
        <w:t>Les informations sensibles et les mots de passe ne sont pas exposés dans les réponses API.</w:t>
      </w:r>
    </w:p>
    <w:p>
      <w:pPr>
        <w:pStyle w:val="ListBullet"/>
        <w:spacing w:after="60"/>
        <w:ind w:left="360"/>
      </w:pPr>
      <w:r>
        <w:t>Les erreurs de paiement et de commande sont affichées clairement au client.</w:t>
      </w:r>
    </w:p>
    <w:p>
      <w:pPr>
        <w:pStyle w:val="Heading1"/>
        <w:keepNext/>
      </w:pPr>
      <w:r>
        <w:t>10. Points à valider</w:t>
      </w:r>
    </w:p>
    <w:tbl>
      <w:tblPr>
        <w:tblW w:type="auto" w:w="0"/>
        <w:jc w:val="center"/>
        <w:tblLayout w:type="autofit"/>
        <w:tblLook w:firstColumn="1" w:firstRow="1" w:lastColumn="0" w:lastRow="0" w:noHBand="0" w:noVBand="1" w:val="04A0"/>
      </w:tblPr>
      <w:tblGrid>
        <w:gridCol w:w="5040"/>
        <w:gridCol w:w="5040"/>
      </w:tblGrid>
      <w:tr>
        <w:trPr>
          <w:tblHeader w:val="true"/>
        </w:trPr>
        <w:tc>
          <w:tcPr>
            <w:tcW w:type="dxa" w:w="216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1E1B4B"/>
          </w:tcPr>
          <w:p>
            <w:pPr>
              <w:spacing w:after="0"/>
            </w:pPr>
            <w:r/>
            <w:r>
              <w:rPr>
                <w:rFonts w:ascii="Aptos" w:hAnsi="Aptos"/>
                <w:b/>
                <w:color w:val="FFFFFF"/>
                <w:sz w:val="18"/>
              </w:rPr>
              <w:t>Décision</w:t>
            </w:r>
          </w:p>
        </w:tc>
        <w:tc>
          <w:tcPr>
            <w:tcW w:type="dxa" w:w="792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1E1B4B"/>
          </w:tcPr>
          <w:p>
            <w:pPr>
              <w:spacing w:after="0"/>
            </w:pPr>
            <w:r/>
            <w:r>
              <w:rPr>
                <w:rFonts w:ascii="Aptos" w:hAnsi="Aptos"/>
                <w:b/>
                <w:color w:val="FFFFFF"/>
                <w:sz w:val="18"/>
              </w:rPr>
              <w:t>Choix à confirmer</w:t>
            </w:r>
          </w:p>
        </w:tc>
      </w:tr>
      <w:tr>
        <w:tc>
          <w:tcPr>
            <w:tcW w:type="dxa" w:w="216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Paiement</w:t>
            </w:r>
          </w:p>
        </w:tc>
        <w:tc>
          <w:tcPr>
            <w:tcW w:type="dxa" w:w="792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Prestataire retenu : CinetPay, PayDunya, intégration opérateur directe ou autre.</w:t>
            </w:r>
          </w:p>
        </w:tc>
      </w:tr>
      <w:tr>
        <w:tc>
          <w:tcPr>
            <w:tcW w:type="dxa" w:w="216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spacing w:after="0"/>
            </w:pPr>
            <w:r/>
            <w:r>
              <w:rPr>
                <w:rFonts w:ascii="Aptos" w:hAnsi="Aptos"/>
                <w:b w:val="0"/>
                <w:sz w:val="18"/>
              </w:rPr>
              <w:t>Livraison</w:t>
            </w:r>
          </w:p>
        </w:tc>
        <w:tc>
          <w:tcPr>
            <w:tcW w:type="dxa" w:w="792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spacing w:after="0"/>
            </w:pPr>
            <w:r/>
            <w:r>
              <w:rPr>
                <w:rFonts w:ascii="Aptos" w:hAnsi="Aptos"/>
                <w:b w:val="0"/>
                <w:sz w:val="18"/>
              </w:rPr>
              <w:t>Partenaire, modèle de commission, zones couvertes et responsabilité en cas d’incident.</w:t>
            </w:r>
          </w:p>
        </w:tc>
      </w:tr>
      <w:tr>
        <w:tc>
          <w:tcPr>
            <w:tcW w:type="dxa" w:w="216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Commande invité</w:t>
            </w:r>
          </w:p>
        </w:tc>
        <w:tc>
          <w:tcPr>
            <w:tcW w:type="dxa" w:w="792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Conserver le profil technique invisible ou proposer une vérification SMS avant validation.</w:t>
            </w:r>
          </w:p>
        </w:tc>
      </w:tr>
      <w:tr>
        <w:tc>
          <w:tcPr>
            <w:tcW w:type="dxa" w:w="216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spacing w:after="0"/>
            </w:pPr>
            <w:r/>
            <w:r>
              <w:rPr>
                <w:rFonts w:ascii="Aptos" w:hAnsi="Aptos"/>
                <w:b w:val="0"/>
                <w:sz w:val="18"/>
              </w:rPr>
              <w:t>Frais</w:t>
            </w:r>
          </w:p>
        </w:tc>
        <w:tc>
          <w:tcPr>
            <w:tcW w:type="dxa" w:w="792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spacing w:after="0"/>
            </w:pPr>
            <w:r/>
            <w:r>
              <w:rPr>
                <w:rFonts w:ascii="Aptos" w:hAnsi="Aptos"/>
                <w:b w:val="0"/>
                <w:sz w:val="18"/>
              </w:rPr>
              <w:t>Confirmer le montant actuel de 1 500 FCFA et la future grille variable par zone.</w:t>
            </w:r>
          </w:p>
        </w:tc>
      </w:tr>
      <w:tr>
        <w:tc>
          <w:tcPr>
            <w:tcW w:type="dxa" w:w="216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Commission</w:t>
            </w:r>
          </w:p>
        </w:tc>
        <w:tc>
          <w:tcPr>
            <w:tcW w:type="dxa" w:w="792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Confirmer si les 8 % s’appliquent au sous-total, au total hors livraison ou à une autre base.</w:t>
            </w:r>
          </w:p>
        </w:tc>
      </w:tr>
      <w:tr>
        <w:tc>
          <w:tcPr>
            <w:tcW w:type="dxa" w:w="216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spacing w:after="0"/>
            </w:pPr>
            <w:r/>
            <w:r>
              <w:rPr>
                <w:rFonts w:ascii="Aptos" w:hAnsi="Aptos"/>
                <w:b w:val="0"/>
                <w:sz w:val="18"/>
              </w:rPr>
              <w:t>Langues</w:t>
            </w:r>
          </w:p>
        </w:tc>
        <w:tc>
          <w:tcPr>
            <w:tcW w:type="dxa" w:w="792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spacing w:after="0"/>
            </w:pPr>
            <w:r/>
            <w:r>
              <w:rPr>
                <w:rFonts w:ascii="Aptos" w:hAnsi="Aptos"/>
                <w:b w:val="0"/>
                <w:sz w:val="18"/>
              </w:rPr>
              <w:t>Confirmer le lancement bilingue dès le MVP ou après la première version locale en français.</w:t>
            </w:r>
          </w:p>
        </w:tc>
      </w:tr>
      <w:tr>
        <w:tc>
          <w:tcPr>
            <w:tcW w:type="dxa" w:w="216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Publication</w:t>
            </w:r>
          </w:p>
        </w:tc>
        <w:tc>
          <w:tcPr>
            <w:tcW w:type="dxa" w:w="7920"/>
            <w:vAlign w:val="center"/>
            <w:tcMar>
              <w:top w:w="100" w:type="dxa"/>
              <w:start w:w="120" w:type="dxa"/>
              <w:bottom w:w="100" w:type="dxa"/>
              <w:end w:w="120" w:type="dxa"/>
            </w:tcMar>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shd w:fill="F9FAFB"/>
          </w:tcPr>
          <w:p>
            <w:pPr>
              <w:spacing w:after="0"/>
            </w:pPr>
            <w:r/>
            <w:r>
              <w:rPr>
                <w:rFonts w:ascii="Aptos" w:hAnsi="Aptos"/>
                <w:b w:val="0"/>
                <w:sz w:val="18"/>
              </w:rPr>
              <w:t>Confirmer les noms d’app, les comptes développeur et les identifiants Play Store/App Store.</w:t>
            </w:r>
          </w:p>
        </w:tc>
      </w:tr>
    </w:tbl>
    <w:p>
      <w:pPr>
        <w:spacing w:after="40"/>
      </w:pPr>
    </w:p>
    <w:p>
      <w:pPr>
        <w:spacing w:before="360" w:after="0"/>
      </w:pPr>
      <w:r>
        <w:rPr>
          <w:b/>
          <w:color w:val="3730A3"/>
          <w:sz w:val="20"/>
        </w:rPr>
        <w:t xml:space="preserve">Note de version : </w:t>
      </w:r>
      <w:r>
        <w:rPr>
          <w:color w:val="6B7280"/>
          <w:sz w:val="20"/>
        </w:rPr>
        <w:t>ce document remplace la version initiale comme document de cadrage produit. Les points marqués « À faire » ne doivent pas être présentés comme disponibles dans une offre commerciale sans validation complémentaire.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t xml:space="preserve">EatBF — Cahier des charges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6"/>
      </w:rPr>
      <w:t>EatBF  |  Plateforme de livraison de repas au Burkina Faso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E1B4B"/>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3730A3"/>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1E1B4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E1B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EatBF — Version 2</dc:title>
  <dc:subject>Cahier des charges fonctionnel et technique de la plateforme EatBF</dc:subject>
  <dc:creator>EatBF</dc:creator>
  <cp:keywords>EatBF, Burkina Faso, restaurants, livraison, Mobile Money</cp:keywords>
  <dc:description>generated by python-docx</dc:description>
  <cp:lastModifiedBy/>
  <cp:revision>1</cp:revision>
  <dcterms:created xsi:type="dcterms:W3CDTF">2013-12-23T23:15:00Z</dcterms:created>
  <dcterms:modified xsi:type="dcterms:W3CDTF">2013-12-23T23:15:00Z</dcterms:modified>
  <cp:category/>
</cp:coreProperties>
</file>