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2C3E50"/>
          <w:sz w:val="44"/>
          <w:szCs w:val="44"/>
        </w:rPr>
        <w:t xml:space="preserve">NEBO SECURITY GAP ANALYSIS</w:t>
      </w:r>
    </w:p>
    <w:p>
      <w:pPr>
        <w:spacing w:after="60"/>
      </w:pPr>
      <w:r>
        <w:rPr>
          <w:rFonts w:ascii="Arial" w:cs="Arial" w:eastAsia="Arial" w:hAnsi="Arial"/>
          <w:color w:val="5D6D7E"/>
          <w:sz w:val="24"/>
          <w:szCs w:val="24"/>
        </w:rPr>
        <w:t xml:space="preserve">Mapping OpenClaw CVEs &amp; Architectural Vulnerabilities Against Nebo's Architecture</w:t>
      </w:r>
    </w:p>
    <w:p>
      <w:pPr>
        <w:spacing w:after="300"/>
      </w:pPr>
      <w:r>
        <w:rPr>
          <w:rFonts w:ascii="Arial" w:cs="Arial" w:eastAsia="Arial" w:hAnsi="Arial"/>
          <w:color w:val="888888"/>
          <w:sz w:val="18"/>
          <w:szCs w:val="18"/>
        </w:rPr>
        <w:t xml:space="preserve">February 5, 2026 — Based on OpenClaw CVE research and Nebo architecture documentation</w:t>
      </w:r>
    </w:p>
    <w:p>
      <w:pPr>
        <w:pStyle w:val="Heading1"/>
      </w:pPr>
      <w:r>
        <w:t xml:space="preserve">Executive Summary</w:t>
      </w:r>
    </w:p>
    <w:p>
      <w:pPr>
        <w:spacing w:after="120"/>
      </w:pPr>
      <w:r>
        <w:rPr>
          <w:rFonts w:ascii="Arial" w:cs="Arial" w:eastAsia="Arial" w:hAnsi="Arial"/>
          <w:sz w:val="22"/>
          <w:szCs w:val="22"/>
        </w:rPr>
        <w:t xml:space="preserve">OpenClaw (formerly Clawdbot/Moltbot) has accumulated 5 CVEs, 7+ GitHub Security Advisories, and severe architectural vulnerabilities within three months of launch. This analysis maps each known vulnerability against Nebo's architecture to determine which risks apply, which are avoided by design, and what must be fixed.</w:t>
      </w:r>
    </w:p>
    <w:p>
      <w:pPr>
        <w:spacing w:after="200"/>
      </w:pPr>
      <w:r>
        <w:rPr>
          <w:rFonts w:ascii="Arial" w:cs="Arial" w:eastAsia="Arial" w:hAnsi="Arial"/>
          <w:sz w:val="22"/>
          <w:szCs w:val="22"/>
        </w:rPr>
        <w:t xml:space="preserve">Of 18 identified vulnerability classes, Nebo is protected from 5 by architectural differences (no browser gateway UI, no Chrome extension, no Lobster engine, no SSH remote mode, no Docker sandbox). However, Nebo shares 8 critical or high-severity vulnerabilities with OpenClaw — primarily around memory injection, NeboLoop remote access, unsigned plugins, and the absence of origin-based tool policies. Five additional items carry moderate risk requiring attention.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721C24"/>
                <w:sz w:val="18"/>
                <w:szCs w:val="18"/>
              </w:rPr>
              <w:t xml:space="preserve">CRITICAL / VULNERABLE</w:t>
            </w:r>
          </w:p>
        </w:tc>
        <w:tc>
          <w:tcPr>
            <w:tcW w:type="dxa" w:w="252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856404"/>
                <w:sz w:val="18"/>
                <w:szCs w:val="18"/>
              </w:rPr>
              <w:t xml:space="preserve">AT RISK / PARTIAL</w:t>
            </w:r>
          </w:p>
        </w:tc>
        <w:tc>
          <w:tcPr>
            <w:tcW w:type="dxa" w:w="252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spacing w:before="40" w:after="40"/>
            </w:pPr>
            <w:r>
              <w:rPr>
                <w:rFonts w:ascii="Arial" w:cs="Arial" w:eastAsia="Arial" w:hAnsi="Arial"/>
                <w:b/>
                <w:bCs/>
                <w:color w:val="155724"/>
                <w:sz w:val="18"/>
                <w:szCs w:val="18"/>
              </w:rPr>
              <w:t xml:space="preserve">NOT APPLICABLE</w:t>
            </w:r>
          </w:p>
        </w:tc>
        <w:tc>
          <w:tcPr>
            <w:tcW w:type="dxa" w:w="2520"/>
            <w:tcBorders>
              <w:top w:val="single" w:color="DEE2E6" w:sz="1"/>
              <w:left w:val="single" w:color="DEE2E6" w:sz="1"/>
              <w:bottom w:val="single" w:color="DEE2E6" w:sz="1"/>
              <w:right w:val="single" w:color="DEE2E6" w:sz="1"/>
            </w:tcBorders>
            <w:shd w:fill="D1ECF1" w:val="clear"/>
            <w:tcMar>
              <w:top w:type="dxa" w:w="80"/>
              <w:left w:type="dxa" w:w="120"/>
              <w:bottom w:type="dxa" w:w="80"/>
              <w:right w:type="dxa" w:w="120"/>
            </w:tcMar>
          </w:tcPr>
          <w:p>
            <w:pPr>
              <w:spacing w:before="40" w:after="40"/>
            </w:pPr>
            <w:r>
              <w:rPr>
                <w:rFonts w:ascii="Arial" w:cs="Arial" w:eastAsia="Arial" w:hAnsi="Arial"/>
                <w:b/>
                <w:bCs/>
                <w:color w:val="0C5460"/>
                <w:sz w:val="18"/>
                <w:szCs w:val="18"/>
              </w:rPr>
              <w:t xml:space="preserve">TOTAL REVIEWED</w:t>
            </w:r>
          </w:p>
        </w:tc>
      </w:tr>
      <w:tr>
        <w:tc>
          <w:tcPr>
            <w:tcW w:type="dxa" w:w="252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721C24"/>
                <w:sz w:val="28"/>
                <w:szCs w:val="28"/>
              </w:rPr>
              <w:t xml:space="preserve">8</w:t>
            </w:r>
          </w:p>
        </w:tc>
        <w:tc>
          <w:tcPr>
            <w:tcW w:type="dxa" w:w="252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856404"/>
                <w:sz w:val="28"/>
                <w:szCs w:val="28"/>
              </w:rPr>
              <w:t xml:space="preserve">5</w:t>
            </w:r>
          </w:p>
        </w:tc>
        <w:tc>
          <w:tcPr>
            <w:tcW w:type="dxa" w:w="252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spacing w:before="40" w:after="40"/>
            </w:pPr>
            <w:r>
              <w:rPr>
                <w:rFonts w:ascii="Arial" w:cs="Arial" w:eastAsia="Arial" w:hAnsi="Arial"/>
                <w:b/>
                <w:bCs/>
                <w:color w:val="155724"/>
                <w:sz w:val="28"/>
                <w:szCs w:val="28"/>
              </w:rPr>
              <w:t xml:space="preserve">5</w:t>
            </w:r>
          </w:p>
        </w:tc>
        <w:tc>
          <w:tcPr>
            <w:tcW w:type="dxa" w:w="2520"/>
            <w:tcBorders>
              <w:top w:val="single" w:color="DEE2E6" w:sz="1"/>
              <w:left w:val="single" w:color="DEE2E6" w:sz="1"/>
              <w:bottom w:val="single" w:color="DEE2E6" w:sz="1"/>
              <w:right w:val="single" w:color="DEE2E6" w:sz="1"/>
            </w:tcBorders>
            <w:shd w:fill="D1ECF1" w:val="clear"/>
            <w:tcMar>
              <w:top w:type="dxa" w:w="80"/>
              <w:left w:type="dxa" w:w="120"/>
              <w:bottom w:type="dxa" w:w="80"/>
              <w:right w:type="dxa" w:w="120"/>
            </w:tcMar>
          </w:tcPr>
          <w:p>
            <w:pPr>
              <w:spacing w:before="40" w:after="40"/>
            </w:pPr>
            <w:r>
              <w:rPr>
                <w:rFonts w:ascii="Arial" w:cs="Arial" w:eastAsia="Arial" w:hAnsi="Arial"/>
                <w:b/>
                <w:bCs/>
                <w:color w:val="0C5460"/>
                <w:sz w:val="28"/>
                <w:szCs w:val="28"/>
              </w:rPr>
              <w:t xml:space="preserve">18</w:t>
            </w:r>
          </w:p>
        </w:tc>
      </w:tr>
    </w:tbl>
    <w:p>
      <w:pPr>
        <w:spacing w:after="200"/>
      </w:pPr>
    </w:p>
    <w:p>
      <w:pPr>
        <w:pStyle w:val="Heading1"/>
      </w:pPr>
      <w:r>
        <w:t xml:space="preserve">Vulnerability-by-Vulnerability Mapping</w:t>
      </w:r>
    </w:p>
    <w:p>
      <w:pPr>
        <w:spacing w:after="160"/>
      </w:pPr>
      <w:r>
        <w:rPr>
          <w:rFonts w:ascii="Arial" w:cs="Arial" w:eastAsia="Arial" w:hAnsi="Arial"/>
          <w:color w:val="666666"/>
          <w:sz w:val="20"/>
          <w:szCs w:val="20"/>
        </w:rPr>
        <w:t xml:space="preserve">Each OpenClaw vulnerability is evaluated against Nebo's runtime topology, message flow, tool execution model, memory system, NeboLoop, and plugin architecture as documented.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2200"/>
        <w:gridCol w:w="1960"/>
      </w:tblGrid>
      <w:tr>
        <w:tc>
          <w:tcPr>
            <w:tcW w:type="dxa" w:w="18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2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OpenClaw Issue</w:t>
            </w:r>
          </w:p>
        </w:tc>
        <w:tc>
          <w:tcPr>
            <w:tcW w:type="dxa" w:w="2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Nebo Status</w:t>
            </w:r>
          </w:p>
        </w:tc>
        <w:tc>
          <w:tcPr>
            <w:tcW w:type="dxa" w:w="196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Remediation</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CVE-2026-25253</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Critical (8.8)</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1-click RCE via gatewayUrl token exfiltration + cross-site WebSocket hijacking</w:t>
            </w:r>
          </w:p>
        </w:tc>
        <w:tc>
          <w:tcPr>
            <w:tcW w:type="dxa" w:w="220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NOT APPLICABLE. Nebo uses localhost WebSocket IPC between goroutines in the same process — no browser-facing gateway UI, no query-string URL routing.</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 action needed. Architecture avoids this by design.</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CVE-2026-24763</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 (8.8)</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Docker sandbox command injection via PATH environment variable</w:t>
            </w:r>
          </w:p>
        </w:tc>
        <w:tc>
          <w:tcPr>
            <w:tcW w:type="dxa" w:w="2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NOT APPLICABLE. Nebo does not use Docker sandboxing. Shell tool executes directly under host OS user.</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Different risk profile: no sandbox escape, but also no sandbox. Add origin-aware shell restrictions per remediation plan §1/§6.</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CVE-2026-25157</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OS command injection via unsanitized project root path in SSH command construction</w:t>
            </w:r>
          </w:p>
        </w:tc>
        <w:tc>
          <w:tcPr>
            <w:tcW w:type="dxa" w:w="220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NOT APPLICABLE. No SSH remote mode, no macOS desktop app, no sshNodeCommand equivalent.</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 action needed currently. If SSH features are added, sanitize all path inputs in shell construction.</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CVE-2026-22708</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Indirect prompt injection via unsanitized web content fed into LLM context</w:t>
            </w:r>
          </w:p>
        </w:tc>
        <w:tc>
          <w:tcPr>
            <w:tcW w:type="dxa" w:w="2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VULNERABLE. Web tool fetches external content. Output enters agentic loop as tool result. No sanitization between web content and LLM context.</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Implement web content sanitizer. Strip hidden text, CSS-hidden elements, instruction-like patterns. Tag web tool output with Origin=web_fetch for policy enforcement.</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CVE-2026-25475</w:t>
            </w:r>
          </w:p>
        </w:tc>
        <w:tc>
          <w:tcPr>
            <w:tcW w:type="dxa" w:w="1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Moderate (6.5)</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Local file inclusion via MEDIA path extraction — unauthorized file reads</w:t>
            </w:r>
          </w:p>
        </w:tc>
        <w:tc>
          <w:tcPr>
            <w:tcW w:type="dxa" w:w="2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PARTIALLY VULNERABLE. File tool exists with read access. No explicit path traversal validation mentioned in architecture doc.</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Validate all file paths against allowed roots. Reject path traversal sequences (../, symlink resolution). Enforce per-origin read scope.</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GHSA-g55j-c2v4-pjcg</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Unauthenticated local RCE via WebSocket config.apply endpoint — any local process can modify agent config</w:t>
            </w:r>
          </w:p>
        </w:tc>
        <w:tc>
          <w:tcPr>
            <w:tcW w:type="dxa" w:w="2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AT RISK. Server goroutine on port 27895 with Chi HTTP router. Architecture doc does not mention authentication on local endpoints. Any local process could potentially hit the API.</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Add authentication to all HTTP/WebSocket endpoints, even on localhost. Use session tokens or file-lock-based secrets.</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GHSA-r8g4-86fx-92mq</w:t>
            </w:r>
          </w:p>
        </w:tc>
        <w:tc>
          <w:tcPr>
            <w:tcW w:type="dxa" w:w="1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Moderate</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Local file inclusion via MEDIA path extraction in media parser</w:t>
            </w:r>
          </w:p>
        </w:tc>
        <w:tc>
          <w:tcPr>
            <w:tcW w:type="dxa" w:w="2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LOW RISK. No media parser described in architecture, but file read tool could be exploited similarly.</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Path validation on all file operations (see CVE-2026-25475 fix above).</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GHSA-mr32-vwc2-5j6h</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Credential theft via Chrome extension relay — unvalidated /cdp WebSocket accepting arbitrary Chrome DevTools Protocol commands</w:t>
            </w:r>
          </w:p>
        </w:tc>
        <w:tc>
          <w:tcPr>
            <w:tcW w:type="dxa" w:w="220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NOT APPLICABLE. No browser extension, no CDP endpoint.</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 action needed.</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GHSA-4mhr-g7xj-cg8j</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Arbitrary execution via lobsterPath/cwd injection in workflow engine</w:t>
            </w:r>
          </w:p>
        </w:tc>
        <w:tc>
          <w:tcPr>
            <w:tcW w:type="dxa" w:w="2200"/>
            <w:tcBorders>
              <w:top w:val="single" w:color="DEE2E6" w:sz="1"/>
              <w:left w:val="single" w:color="DEE2E6" w:sz="1"/>
              <w:bottom w:val="single" w:color="DEE2E6" w:sz="1"/>
              <w:right w:val="single" w:color="DEE2E6" w:sz="1"/>
            </w:tcBorders>
            <w:shd w:fill="D4EDDA"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NOT APPLICABLE. No Lobster workflow engine equivalent.</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No action needed. If workflow features are added, validate all path/cwd inputs.</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ARCH-001</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Critical</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Memory injection — tool outputs stored as "facts" enter future system prompts as raw prose. Enables persistent prompt injection.</w:t>
            </w:r>
          </w:p>
        </w:tc>
        <w:tc>
          <w:tcPr>
            <w:tcW w:type="dxa" w:w="2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VULNERABLE. Architecture doc confirms: "anything stored via agent(resource: memory, action: store, ...) ends up in the system prompt" with "no sanitization layer."</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Implement memory write firewall (remediation §2): schema validation, sanitization, approval-by-origin, structured data injection instead of raw prose.</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ARCH-002</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Compaction summary poisoning — summaries prepended to system prompt. Poisoned summary persists across sessions.</w:t>
            </w:r>
          </w:p>
        </w:tc>
        <w:tc>
          <w:tcPr>
            <w:tcW w:type="dxa" w:w="2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VULNERABLE. Architecture confirms compaction summaries are prepended to system prompt for future turns.</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Treat summaries as untrusted (remediation §3): structured state snapshots, summary sanitizer, provenance tracking, fallback on suspicious content.</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ARCH-003</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Skills as supply chain vector — adversarial skill files become system prompt content. OpenClaw: 12-17% of ClawHub skills were malicious.</w:t>
            </w:r>
          </w:p>
        </w:tc>
        <w:tc>
          <w:tcPr>
            <w:tcW w:type="dxa" w:w="2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VULNERABLE. Architecture confirms matched skills append template text to system prompt. No signing or validation mentioned.</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Sign skills, make them data-only, or compile them (remediation §4). At minimum, strip instruction-like content from skill templates.</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ARCH-004</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Critical</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Remote comm channel with full tool access — OpenClaw's equivalent allowed full agentic loop from external messages.</w:t>
            </w:r>
          </w:p>
        </w:tc>
        <w:tc>
          <w:tcPr>
            <w:tcW w:type="dxa" w:w="2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VULNERABLE. NeboLoop MQTT inbound tasks run full agentic loop with complete tool access. Architecture doc explicitly flags this.</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Origin-based authority wall (remediation §1): separate registry policy for comm sessions, deny high-risk tools by default, require capability tokens.</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ARCH-005</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Critical</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Unsigned, unsandboxed plugin binaries with OS-level access. OpenClaw's skill ecosystem was weaponized within weeks.</w:t>
            </w:r>
          </w:p>
        </w:tc>
        <w:tc>
          <w:tcPr>
            <w:tcW w:type="dxa" w:w="2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VULNERABLE. Architecture confirms: "No signature verification. No sandboxing. Any executable in those directories gets loaded."</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Plugin integrity (remediation §5): install manifest + hash verification, approved plugin allowlist in SQLite, no auto-load. Tag plugin outputs with origin for policy enforcement.</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ARCH-006</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Plaintext credential storage — OpenClaw stored API keys, OAuth tokens in plain files. Targeted by infostealers.</w:t>
            </w:r>
          </w:p>
        </w:tc>
        <w:tc>
          <w:tcPr>
            <w:tcW w:type="dxa" w:w="2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AT RISK. Architecture doc mentions config.yaml and SQLite but does not describe credential encryption. If API keys are in plaintext config or DB, same risk applies.</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Encrypt credentials at rest. Use OS keychain (macOS Keychain, Windows Credential Manager, libsecret on Linux) or encrypt config values with a user-derived key.</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ARCH-007</w:t>
            </w:r>
          </w:p>
        </w:tc>
        <w:tc>
          <w:tcPr>
            <w:tcW w:type="dxa" w:w="12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High</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Localhost trust assumption — OpenClaw treated 127.0.0.1 requests as owner. Collapsed behind reverse proxies.</w:t>
            </w:r>
          </w:p>
        </w:tc>
        <w:tc>
          <w:tcPr>
            <w:tcW w:type="dxa" w:w="2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AT RISK. Server on port 27895, desktop mode loads localhost webview. No authentication described in architecture doc.</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Authenticate all endpoints. Don't trust origin IP alone. Use per-session tokens with the file-lock secret or similar.</w:t>
            </w:r>
          </w:p>
        </w:tc>
      </w:tr>
      <w:tr>
        <w:tc>
          <w:tcPr>
            <w:tcW w:type="dxa" w:w="18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ARCH-008</w:t>
            </w:r>
          </w:p>
        </w:tc>
        <w:tc>
          <w:tcPr>
            <w:tcW w:type="dxa" w:w="1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333333"/>
                <w:sz w:val="16"/>
                <w:szCs w:val="16"/>
              </w:rPr>
              <w:t xml:space="preserve">Moderate</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Unbounded sub-agent recursion — can spawn unlimited sub-agents to brute-force past restrictions.</w:t>
            </w:r>
          </w:p>
        </w:tc>
        <w:tc>
          <w:tcPr>
            <w:tcW w:type="dxa" w:w="22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PARTIALLY VULNERABLE. Nested lane cap=3 limits recursion, but subagent lane is unlimited. A comm-origin task can spawn many subagents.</w:t>
            </w:r>
          </w:p>
        </w:tc>
        <w:tc>
          <w:tcPr>
            <w:tcW w:type="dxa" w:w="196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6"/>
                <w:szCs w:val="16"/>
              </w:rPr>
              <w:t xml:space="preserve">Cap subagents per session, add per-origin rate limits, max wall clock per comm-origin session (remediation §7).</w:t>
            </w:r>
          </w:p>
        </w:tc>
      </w:tr>
    </w:tbl>
    <w:p>
      <w:pPr>
        <w:spacing w:after="200"/>
      </w:pPr>
    </w:p>
    <w:p>
      <w:r>
        <w:r>
          <w:br w:type="page"/>
        </w:r>
      </w:r>
    </w:p>
    <w:p>
      <w:pPr>
        <w:pStyle w:val="Heading1"/>
      </w:pPr>
      <w:r>
        <w:t xml:space="preserve">Critical Findings: Where Nebo Mirrors OpenClaw's Worst Flaws</w:t>
      </w:r>
    </w:p>
    <w:p>
      <w:pPr>
        <w:pStyle w:val="Heading2"/>
      </w:pPr>
      <w:r>
        <w:t xml:space="preserve">1. NeboLoop Is a Remote Shell</w:t>
      </w:r>
    </w:p>
    <w:p>
      <w:pPr>
        <w:spacing w:after="120"/>
      </w:pPr>
      <w:r>
        <w:rPr>
          <w:sz w:val="22"/>
          <w:szCs w:val="22"/>
        </w:rPr>
        <w:t xml:space="preserve">OpenClaw's equivalent allowed any connected MQTT agent to trigger full tool execution — shell commands, file writes, memory storage, sub-agent spawning. Nebo has the identical architecture: MQTT inbound tasks go through CommHandler.Handle() into the full agentic loop with complete tool access. This is the single highest-impact vulnerability because it is remotely triggerable and grants full authority.</w:t>
      </w:r>
    </w:p>
    <w:p>
      <w:pPr>
        <w:spacing w:after="200"/>
      </w:pPr>
      <w:r>
        <w:rPr>
          <w:sz w:val="22"/>
          <w:szCs w:val="22"/>
        </w:rPr>
        <w:t xml:space="preserve">The remediation plan's "remote authority wall" (§1) is the correct fix: origin-tagged sessions, separate registry policies for comm lanes, and capability tokens for privileged operations.</w:t>
      </w:r>
    </w:p>
    <w:p>
      <w:pPr>
        <w:pStyle w:val="Heading2"/>
      </w:pPr>
      <w:r>
        <w:t xml:space="preserve">2. Memory Is the Persistent Injection Vector</w:t>
      </w:r>
    </w:p>
    <w:p>
      <w:pPr>
        <w:spacing w:after="120"/>
      </w:pPr>
      <w:r>
        <w:rPr>
          <w:sz w:val="22"/>
          <w:szCs w:val="22"/>
        </w:rPr>
        <w:t xml:space="preserve">OpenClaw's memory injection problem — where tool outputs stored as "facts" become part of future system prompts — is exactly replicated in Nebo. The architecture doc explicitly states there is "no sanitization layer between tool output and memory storage." This enables time-delayed prompt injection: a poisoned memory planted by a comm message today activates in every future user session.</w:t>
      </w:r>
    </w:p>
    <w:p>
      <w:pPr>
        <w:spacing w:after="200"/>
      </w:pPr>
      <w:r>
        <w:rPr>
          <w:sz w:val="22"/>
          <w:szCs w:val="22"/>
        </w:rPr>
        <w:t xml:space="preserve">The remediation plan's memory write firewall (§2) addresses this: schema validation, origin-based approval, structured data injection instead of raw prose. This should be the second implementation priority after origin tagging.</w:t>
      </w:r>
    </w:p>
    <w:p>
      <w:pPr>
        <w:pStyle w:val="Heading2"/>
      </w:pPr>
      <w:r>
        <w:t xml:space="preserve">3. Plugins Are Arbitrary Code Execution by Design</w:t>
      </w:r>
    </w:p>
    <w:p>
      <w:pPr>
        <w:spacing w:after="120"/>
      </w:pPr>
      <w:r>
        <w:rPr>
          <w:sz w:val="22"/>
          <w:szCs w:val="22"/>
        </w:rPr>
        <w:t xml:space="preserve">OpenClaw's skill ecosystem was weaponized within weeks — 12-17% of community skills were malicious. Nebo's plugin system has the same fundamental problem: LoadAll() scans plugin directories and loads any executable binary with no signature verification, no sandboxing, and full OS-level access. Even if plugins are "trusted," their outputs re-enter the agentic loop unsanitized, creating indirect injection paths.</w:t>
      </w:r>
    </w:p>
    <w:p>
      <w:pPr>
        <w:spacing w:after="200"/>
      </w:pPr>
      <w:r>
        <w:rPr>
          <w:sz w:val="22"/>
          <w:szCs w:val="22"/>
        </w:rPr>
        <w:t xml:space="preserve">The remediation plan's dual fix (§5) is correct: integrity verification (hash allowlist, no auto-load) plus capability restrictions (origin-tagged outputs, policy-enforced tool access).</w:t>
      </w:r>
    </w:p>
    <w:p>
      <w:pPr>
        <w:pStyle w:val="Heading1"/>
      </w:pPr>
      <w:r>
        <w:t xml:space="preserve">Implementation Priority Matrix</w:t>
      </w:r>
    </w:p>
    <w:p>
      <w:pPr>
        <w:spacing w:after="160"/>
      </w:pPr>
      <w:r>
        <w:rPr>
          <w:color w:val="666666"/>
          <w:sz w:val="20"/>
          <w:szCs w:val="20"/>
        </w:rPr>
        <w:t xml:space="preserve">Ordered by security gain per unit of implementation effort. Items 1-3 form a minimal viable security layer that blocks most attack chains.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3480"/>
        <w:gridCol w:w="1200"/>
      </w:tblGrid>
      <w:tr>
        <w:tc>
          <w:tcPr>
            <w:tcW w:type="dxa" w:w="6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36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 Item</w:t>
            </w:r>
          </w:p>
        </w:tc>
        <w:tc>
          <w:tcPr>
            <w:tcW w:type="dxa" w:w="1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348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1200"/>
            <w:tcBorders>
              <w:top w:val="single" w:color="DEE2E6" w:sz="1"/>
              <w:left w:val="single" w:color="DEE2E6" w:sz="1"/>
              <w:bottom w:val="single" w:color="DEE2E6" w:sz="1"/>
              <w:right w:val="single" w:color="DEE2E6" w:sz="1"/>
            </w:tcBorders>
            <w:shd w:fill="2C3E50"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1</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Origin tagging on every session + message source</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Small</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Foundation for all other fixes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2</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Origin-aware tool policy in registry.Execute()</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Medium</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Blocks most injection consequences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DDEDE"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3</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Disable memory.store + cron + shell + file-write for comm/channel/plugin origins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Small</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Neutralizes NeboLoop + plugin injection</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4</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Memory schema + sanitization + structured injection</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Medium</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Eliminates persistent prompt injection</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5</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Compaction snapshot hardening</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Medium</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Prevents session-persistent poisoning</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6</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Plugin allowlist by hash + no auto-load</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Small</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Stops malicious plugin loading</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FF3CD"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7</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Skills signing or compiling to data-only format</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Medium</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Closes supply-chain prompt injection</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8</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Localhost endpoint authentication</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Small</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Prevents local process hijacking</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9</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Credential encryption at rest</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Medium</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Mitigates infostealer harvesting</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r>
        <w:tc>
          <w:tcPr>
            <w:tcW w:type="dxa" w:w="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pPr>
              <w:spacing w:before="40" w:after="40"/>
            </w:pPr>
            <w:r>
              <w:rPr>
                <w:rFonts w:ascii="Arial" w:cs="Arial" w:eastAsia="Arial" w:hAnsi="Arial"/>
                <w:b/>
                <w:bCs/>
                <w:color w:val="333333"/>
                <w:sz w:val="18"/>
                <w:szCs w:val="18"/>
              </w:rPr>
              <w:t xml:space="preserve">10</w:t>
            </w:r>
          </w:p>
        </w:tc>
        <w:tc>
          <w:tcPr>
            <w:tcW w:type="dxa" w:w="36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Sub-agent rate limiting + wall clock caps</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Small</w:t>
            </w:r>
          </w:p>
        </w:tc>
        <w:tc>
          <w:tcPr>
            <w:tcW w:type="dxa" w:w="348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333333"/>
                <w:sz w:val="18"/>
                <w:szCs w:val="18"/>
              </w:rPr>
              <w:t xml:space="preserve">Prevents brute-force via recursion</w:t>
            </w:r>
          </w:p>
        </w:tc>
        <w:tc>
          <w:tcPr>
            <w:tcW w:type="dxa" w:w="1200"/>
            <w:tcBorders>
              <w:top w:val="single" w:color="DEE2E6" w:sz="1"/>
              <w:left w:val="single" w:color="DEE2E6" w:sz="1"/>
              <w:bottom w:val="single" w:color="DEE2E6" w:sz="1"/>
              <w:right w:val="single" w:color="DEE2E6" w:sz="1"/>
            </w:tcBorders>
            <w:tcMar>
              <w:top w:type="dxa" w:w="80"/>
              <w:left w:type="dxa" w:w="120"/>
              <w:bottom w:type="dxa" w:w="80"/>
              <w:right w:type="dxa" w:w="120"/>
            </w:tcMar>
          </w:tcPr>
          <w:p>
            <w:pPr>
              <w:spacing w:before="40" w:after="40"/>
            </w:pPr>
            <w:r>
              <w:rPr>
                <w:rFonts w:ascii="Arial" w:cs="Arial" w:eastAsia="Arial" w:hAnsi="Arial"/>
                <w:b w:val="false"/>
                <w:bCs w:val="false"/>
                <w:color w:val="999999"/>
                <w:sz w:val="18"/>
                <w:szCs w:val="18"/>
              </w:rPr>
              <w:t xml:space="preserve">Not started</w:t>
            </w:r>
          </w:p>
        </w:tc>
      </w:tr>
    </w:tbl>
    <w:p>
      <w:pPr>
        <w:spacing w:after="200"/>
      </w:pPr>
    </w:p>
    <w:p>
      <w:pPr>
        <w:pStyle w:val="Heading1"/>
      </w:pPr>
      <w:r>
        <w:t xml:space="preserve">What Nebo Already Gets Right</w:t>
      </w:r>
    </w:p>
    <w:p>
      <w:pPr>
        <w:spacing w:after="120"/>
      </w:pPr>
      <w:r>
        <w:rPr>
          <w:sz w:val="22"/>
          <w:szCs w:val="22"/>
        </w:rPr>
        <w:t xml:space="preserve">Nebo's architecture avoids several of OpenClaw's worst vulnerabilities by design. The single-binary Go process with goroutine-based IPC eliminates the browser-facing gateway UI that enabled OpenClaw's most critical CVE (CVE-2026-25253). There is no Chrome extension, no SSH remote mode, no Docker sandbox to escape from, and no Lobster workflow engine. The lane system with bounded concurrency (nested:3, main:1) provides some natural rate limiting. The tool approval system with configurable policy levels is a solid foundation — it just needs the origin dimension added.</w:t>
      </w:r>
    </w:p>
    <w:p>
      <w:pPr>
        <w:pStyle w:val="Heading1"/>
      </w:pPr>
      <w:r>
        <w:t xml:space="preserve">Conclusion</w:t>
      </w:r>
    </w:p>
    <w:p>
      <w:pPr>
        <w:spacing w:after="120"/>
      </w:pPr>
      <w:r>
        <w:rPr>
          <w:sz w:val="22"/>
          <w:szCs w:val="22"/>
        </w:rPr>
        <w:t xml:space="preserve">Nebo avoids OpenClaw's most headline-grabbing CVEs (the 1-click RCE, the Chrome extension theft, the Docker escape) through fundamentally different architectural choices. However, it shares the deeper, harder-to-fix vulnerability classes: memory injection into system prompts, unsandboxed plugin execution, remote comm channels with full tool authority, and the absence of origin-based access control. These are the same classes of vulnerabilities that security researchers called OpenClaw's "existential" risks — and they are exactly the ones addressed by the remediation plan.</w:t>
      </w:r>
    </w:p>
    <w:p>
      <w:pPr>
        <w:spacing w:after="120"/>
      </w:pPr>
      <w:r>
        <w:rPr>
          <w:sz w:val="22"/>
          <w:szCs w:val="22"/>
        </w:rPr>
        <w:t xml:space="preserve">The good news: the remediation plan is well-structured and correctly prioritized. Implementing items 1-3 (origin tagging, origin-aware policy, default-deny for comm/plugin origins) would close the most dangerous attack paths with relatively modest engineering effort. The remaining items harden the architecture against more sophisticated attacks and should follow in order.</w:t>
      </w:r>
    </w:p>
    <w:p>
      <w:pPr>
        <w:spacing w:after="200"/>
      </w:pPr>
      <w:r>
        <w:rPr>
          <w:b/>
          <w:bCs/>
          <w:sz w:val="22"/>
          <w:szCs w:val="22"/>
        </w:rPr>
        <w:t xml:space="preserve">The key lesson from OpenClaw's experience: these vulnerabilities were discovered and exploited within weeks of the project gaining popularity. Nebo should implement origin-based authority controls before, not after, reaching a similar scale.</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Nebo Security Gap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2026-02-06T01:48:09.038Z</dcterms:created>
  <dcterms:modified xsi:type="dcterms:W3CDTF">2026-02-06T01:48:09.038Z</dcterms:modified>
</cp:coreProperties>
</file>

<file path=docProps/custom.xml><?xml version="1.0" encoding="utf-8"?>
<Properties xmlns="http://schemas.openxmlformats.org/officeDocument/2006/custom-properties" xmlns:vt="http://schemas.openxmlformats.org/officeDocument/2006/docPropsVTypes"/>
</file>