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jc w:val="center"/>
        <w:rPr>
          <w:rFonts w:ascii="Inconsolata" w:cs="Inconsolata" w:eastAsia="Inconsolata" w:hAnsi="Inconsolata"/>
          <w:b w:val="1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jc w:val="center"/>
        <w:rPr>
          <w:rFonts w:ascii="Inconsolata" w:cs="Inconsolata" w:eastAsia="Inconsolata" w:hAnsi="Inconsolata"/>
          <w:b w:val="1"/>
          <w:color w:val="24292f"/>
          <w:sz w:val="24"/>
          <w:szCs w:val="24"/>
        </w:rPr>
      </w:pPr>
      <w:r w:rsidDel="00000000" w:rsidR="00000000" w:rsidRPr="00000000">
        <w:rPr>
          <w:rFonts w:ascii="Inconsolata" w:cs="Inconsolata" w:eastAsia="Inconsolata" w:hAnsi="Inconsolata"/>
          <w:b w:val="1"/>
          <w:color w:val="24292f"/>
          <w:sz w:val="24"/>
          <w:szCs w:val="24"/>
          <w:rtl w:val="0"/>
        </w:rPr>
        <w:t xml:space="preserve">Examples of Web Page Hosted:</w:t>
      </w:r>
    </w:p>
    <w:p w:rsidR="00000000" w:rsidDel="00000000" w:rsidP="00000000" w:rsidRDefault="00000000" w:rsidRPr="00000000" w14:paraId="00000003">
      <w:pPr>
        <w:widowControl w:val="0"/>
        <w:jc w:val="center"/>
        <w:rPr>
          <w:rFonts w:ascii="Inconsolata" w:cs="Inconsolata" w:eastAsia="Inconsolata" w:hAnsi="Inconsolata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jc w:val="center"/>
        <w:rPr>
          <w:rFonts w:ascii="Inconsolata" w:cs="Inconsolata" w:eastAsia="Inconsolata" w:hAnsi="Inconsolata"/>
          <w:color w:val="24292f"/>
          <w:sz w:val="24"/>
          <w:szCs w:val="24"/>
        </w:rPr>
      </w:pPr>
      <w:r w:rsidDel="00000000" w:rsidR="00000000" w:rsidRPr="00000000">
        <w:rPr>
          <w:rFonts w:ascii="Inconsolata" w:cs="Inconsolata" w:eastAsia="Inconsolata" w:hAnsi="Inconsolata"/>
          <w:color w:val="24292f"/>
          <w:sz w:val="24"/>
          <w:szCs w:val="24"/>
        </w:rPr>
        <w:drawing>
          <wp:inline distB="114300" distT="114300" distL="114300" distR="114300">
            <wp:extent cx="5662613" cy="25241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jc w:val="center"/>
        <w:rPr>
          <w:rFonts w:ascii="Inconsolata" w:cs="Inconsolata" w:eastAsia="Inconsolata" w:hAnsi="Inconsolata"/>
          <w:color w:val="24292f"/>
          <w:sz w:val="24"/>
          <w:szCs w:val="24"/>
        </w:rPr>
      </w:pPr>
      <w:r w:rsidDel="00000000" w:rsidR="00000000" w:rsidRPr="00000000">
        <w:rPr>
          <w:rFonts w:ascii="Inconsolata" w:cs="Inconsolata" w:eastAsia="Inconsolata" w:hAnsi="Inconsolata"/>
          <w:color w:val="24292f"/>
          <w:sz w:val="24"/>
          <w:szCs w:val="24"/>
        </w:rPr>
        <w:drawing>
          <wp:inline distB="114300" distT="114300" distL="114300" distR="114300">
            <wp:extent cx="5681663" cy="3429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jc w:val="center"/>
        <w:rPr>
          <w:rFonts w:ascii="Inconsolata" w:cs="Inconsolata" w:eastAsia="Inconsolata" w:hAnsi="Inconsolata"/>
          <w:color w:val="24292f"/>
          <w:sz w:val="24"/>
          <w:szCs w:val="24"/>
        </w:rPr>
      </w:pPr>
      <w:r w:rsidDel="00000000" w:rsidR="00000000" w:rsidRPr="00000000">
        <w:rPr>
          <w:rFonts w:ascii="Inconsolata" w:cs="Inconsolata" w:eastAsia="Inconsolata" w:hAnsi="Inconsolata"/>
          <w:color w:val="24292f"/>
          <w:sz w:val="24"/>
          <w:szCs w:val="24"/>
          <w:rtl w:val="0"/>
        </w:rPr>
        <w:t xml:space="preserve">Demonstration of Azure front Door being enabled</w:t>
      </w:r>
    </w:p>
    <w:p w:rsidR="00000000" w:rsidDel="00000000" w:rsidP="00000000" w:rsidRDefault="00000000" w:rsidRPr="00000000" w14:paraId="00000007">
      <w:pPr>
        <w:widowControl w:val="0"/>
        <w:jc w:val="center"/>
        <w:rPr>
          <w:rFonts w:ascii="Inconsolata" w:cs="Inconsolata" w:eastAsia="Inconsolata" w:hAnsi="Inconsolata"/>
          <w:color w:val="2429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rPr>
          <w:rFonts w:ascii="Inconsolata" w:cs="Inconsolata" w:eastAsia="Inconsolata" w:hAnsi="Inconsolata"/>
          <w:color w:val="24292f"/>
          <w:sz w:val="24"/>
          <w:szCs w:val="24"/>
        </w:rPr>
      </w:pPr>
      <w:r w:rsidDel="00000000" w:rsidR="00000000" w:rsidRPr="00000000">
        <w:rPr>
          <w:rFonts w:ascii="Inconsolata" w:cs="Inconsolata" w:eastAsia="Inconsolata" w:hAnsi="Inconsolata"/>
          <w:color w:val="24292f"/>
          <w:sz w:val="24"/>
          <w:szCs w:val="24"/>
        </w:rPr>
        <w:drawing>
          <wp:inline distB="114300" distT="114300" distL="114300" distR="114300">
            <wp:extent cx="5810250" cy="355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jc w:val="center"/>
        <w:rPr>
          <w:rFonts w:ascii="Inconsolata" w:cs="Inconsolata" w:eastAsia="Inconsolata" w:hAnsi="Inconsolata"/>
          <w:color w:val="24292f"/>
          <w:sz w:val="24"/>
          <w:szCs w:val="24"/>
        </w:rPr>
      </w:pPr>
      <w:r w:rsidDel="00000000" w:rsidR="00000000" w:rsidRPr="00000000">
        <w:rPr>
          <w:rFonts w:ascii="Inconsolata" w:cs="Inconsolata" w:eastAsia="Inconsolata" w:hAnsi="Inconsolata"/>
          <w:color w:val="24292f"/>
          <w:sz w:val="24"/>
          <w:szCs w:val="24"/>
          <w:rtl w:val="0"/>
        </w:rPr>
        <w:t xml:space="preserve">WAF Custom Rule Example</w:t>
      </w:r>
    </w:p>
    <w:p w:rsidR="00000000" w:rsidDel="00000000" w:rsidP="00000000" w:rsidRDefault="00000000" w:rsidRPr="00000000" w14:paraId="0000000A">
      <w:pPr>
        <w:widowControl w:val="0"/>
        <w:rPr>
          <w:rFonts w:ascii="Inconsolata" w:cs="Inconsolata" w:eastAsia="Inconsolata" w:hAnsi="Inconsolata"/>
          <w:color w:val="24292f"/>
          <w:sz w:val="24"/>
          <w:szCs w:val="24"/>
        </w:rPr>
      </w:pPr>
      <w:r w:rsidDel="00000000" w:rsidR="00000000" w:rsidRPr="00000000">
        <w:rPr>
          <w:rFonts w:ascii="Inconsolata" w:cs="Inconsolata" w:eastAsia="Inconsolata" w:hAnsi="Inconsolata"/>
          <w:color w:val="24292f"/>
          <w:sz w:val="24"/>
          <w:szCs w:val="24"/>
        </w:rPr>
        <w:drawing>
          <wp:inline distB="114300" distT="114300" distL="114300" distR="114300">
            <wp:extent cx="5810250" cy="495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consolat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consolata-regular.ttf"/><Relationship Id="rId2" Type="http://schemas.openxmlformats.org/officeDocument/2006/relationships/font" Target="fonts/Inconsolat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