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560" w:right="0"/>
        <w:jc w:val="center"/>
        <w:rPr>
          <w:rFonts w:ascii="仿宋_GB2312;微软雅黑" w:hAnsi="仿宋_GB2312;微软雅黑" w:cs="华文中宋"/>
          <w:b/>
          <w:sz w:val="28"/>
          <w:szCs w:val="28"/>
        </w:rPr>
      </w:pPr>
      <w:r>
        <w:rPr>
          <w:rFonts w:cs="华文中宋" w:ascii="仿宋_GB2312;微软雅黑" w:hAnsi="仿宋_GB2312;微软雅黑"/>
          <w:b/>
          <w:sz w:val="28"/>
          <w:szCs w:val="28"/>
        </w:rPr>
        <w:t>××××</w:t>
      </w:r>
      <w:r>
        <w:rPr>
          <w:rFonts w:ascii="仿宋_GB2312;微软雅黑" w:hAnsi="仿宋_GB2312;微软雅黑" w:cs="华文中宋"/>
          <w:b/>
          <w:sz w:val="28"/>
          <w:szCs w:val="28"/>
        </w:rPr>
        <w:t xml:space="preserve">银行股份有限公司         </w:t>
      </w:r>
    </w:p>
    <w:p>
      <w:pPr>
        <w:pStyle w:val="Normal"/>
        <w:spacing w:lineRule="auto" w:line="360"/>
        <w:ind w:firstLine="560" w:right="0"/>
        <w:jc w:val="center"/>
        <w:rPr/>
      </w:pPr>
      <w:r>
        <w:rPr>
          <w:rFonts w:ascii="仿宋_GB2312;微软雅黑" w:hAnsi="仿宋_GB2312;微软雅黑" w:cs="华文中宋"/>
          <w:b/>
          <w:sz w:val="28"/>
          <w:szCs w:val="28"/>
        </w:rPr>
        <w:t>员工亲属回避管理制度</w:t>
      </w:r>
    </w:p>
    <w:p>
      <w:pPr>
        <w:pStyle w:val="Normal"/>
        <w:spacing w:lineRule="auto" w:line="360" w:before="156" w:after="0"/>
        <w:jc w:val="center"/>
        <w:rPr>
          <w:rFonts w:ascii="仿宋_GB2312;微软雅黑" w:hAnsi="仿宋_GB2312;微软雅黑" w:cs="仿宋"/>
          <w:b/>
          <w:sz w:val="28"/>
          <w:szCs w:val="28"/>
        </w:rPr>
      </w:pPr>
      <w:r>
        <w:rPr>
          <w:rFonts w:ascii="仿宋_GB2312;微软雅黑" w:hAnsi="仿宋_GB2312;微软雅黑" w:cs="仿宋_GB2312;微软雅黑"/>
          <w:b/>
          <w:sz w:val="28"/>
          <w:szCs w:val="28"/>
        </w:rPr>
        <w:t xml:space="preserve"> </w:t>
      </w:r>
      <w:r>
        <w:rPr>
          <w:rFonts w:ascii="仿宋_GB2312;微软雅黑" w:hAnsi="仿宋_GB2312;微软雅黑" w:cs="仿宋"/>
          <w:b/>
          <w:sz w:val="28"/>
          <w:szCs w:val="28"/>
        </w:rPr>
        <w:t>第一章 总则</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第一条  为建立健全内部监督机制，加强相互制约，相互监督，防范和减少案件发生，强化内部管理，结合</w:t>
      </w:r>
      <w:r>
        <w:rPr>
          <w:rFonts w:cs="仿宋" w:ascii="仿宋_GB2312;微软雅黑" w:hAnsi="仿宋_GB2312;微软雅黑"/>
          <w:sz w:val="28"/>
          <w:szCs w:val="28"/>
        </w:rPr>
        <w:t>××××</w:t>
      </w:r>
      <w:r>
        <w:rPr>
          <w:rFonts w:ascii="仿宋_GB2312;微软雅黑" w:hAnsi="仿宋_GB2312;微软雅黑" w:cs="仿宋"/>
          <w:sz w:val="28"/>
          <w:szCs w:val="28"/>
        </w:rPr>
        <w:t>银行股份有限公司</w:t>
      </w:r>
      <w:r>
        <w:rPr>
          <w:rFonts w:cs="仿宋" w:ascii="仿宋_GB2312;微软雅黑" w:hAnsi="仿宋_GB2312;微软雅黑"/>
          <w:sz w:val="28"/>
          <w:szCs w:val="28"/>
        </w:rPr>
        <w:t>(</w:t>
      </w:r>
      <w:r>
        <w:rPr>
          <w:rFonts w:ascii="仿宋_GB2312;微软雅黑" w:hAnsi="仿宋_GB2312;微软雅黑" w:cs="仿宋"/>
          <w:sz w:val="28"/>
          <w:szCs w:val="28"/>
        </w:rPr>
        <w:t>以下简称“本行”）实际情况，特制定本制度。</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第二条  本制度适用于本行对所有在岗人员亲属的管理。</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第三条  本制度所指应回避的亲属关系包括：夫妻关系、直系血亲关系、三代以内旁系血亲关系、近姻亲关系。直系血亲关系，即本人、父母、子女。三代以内旁系血亲及其配偶关系，包括兄弟姐妹、堂兄弟姐妹、表兄弟姐妹、叔、伯、姑、舅、姨、侄子女、甥子女以及他们的配偶。近姻亲关系。包括配偶的父母、配偶的兄弟姐妹。</w:t>
      </w:r>
    </w:p>
    <w:p>
      <w:pPr>
        <w:pStyle w:val="Normal"/>
        <w:spacing w:lineRule="auto" w:line="360" w:before="156" w:after="0"/>
        <w:jc w:val="center"/>
        <w:rPr>
          <w:rFonts w:ascii="仿宋_GB2312;微软雅黑" w:hAnsi="仿宋_GB2312;微软雅黑" w:cs="仿宋"/>
          <w:b/>
          <w:sz w:val="28"/>
          <w:szCs w:val="28"/>
        </w:rPr>
      </w:pPr>
      <w:r>
        <w:rPr>
          <w:rFonts w:ascii="仿宋_GB2312;微软雅黑" w:hAnsi="仿宋_GB2312;微软雅黑" w:cs="仿宋"/>
          <w:b/>
          <w:sz w:val="28"/>
          <w:szCs w:val="28"/>
        </w:rPr>
        <w:t>第二章  职责与权限</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第四条  本行人力资源部负责对亲属关系人员进行登记；负责全行亲属回避、员工的统一调配工作；负责全行亲属回避工作的监督与实施。</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第五条  本行纪检监察部、审计部负责对全行亲属回避工作的审计监督。</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第六条  总行各部室、各支行负责亲属回避工作的执行与上报。</w:t>
      </w:r>
    </w:p>
    <w:p>
      <w:pPr>
        <w:pStyle w:val="Normal"/>
        <w:spacing w:lineRule="auto" w:line="360" w:before="156" w:after="0"/>
        <w:jc w:val="center"/>
        <w:rPr>
          <w:rFonts w:ascii="仿宋_GB2312;微软雅黑" w:hAnsi="仿宋_GB2312;微软雅黑" w:cs="仿宋"/>
          <w:b/>
          <w:sz w:val="28"/>
          <w:szCs w:val="28"/>
        </w:rPr>
      </w:pPr>
      <w:r>
        <w:rPr>
          <w:rFonts w:ascii="仿宋_GB2312;微软雅黑" w:hAnsi="仿宋_GB2312;微软雅黑" w:cs="仿宋"/>
          <w:b/>
          <w:sz w:val="28"/>
          <w:szCs w:val="28"/>
        </w:rPr>
        <w:t>第三章 亲属回避内容</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第七条  员工有义务向主管领导和人力资源部申报应回避的亲属情况并提出调配要求。</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第八条  任职回避</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（一）本行现有在岗员工之间有亲属连带关系的，不得在同一部门、同一支行工作，不得在一个业务系统内不同的岗位任职，不得从事不相容的岗位。</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二）因特殊原因回避有困难的，有亲属关系的员工不得在同一机构担任双方直接隶属于同一负责人的职位或直接上下级领导关系的职位，也不得在其中一方担任领导职位的机构从事监察、审计、人力资源管理、财务工作；关系人不得在同一单位担任有相互制约关系的部门的领导工作。</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第九条  履职回避</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员工在工作中，如遇有涉及本人或者涉及与本人有本规定所列亲属关系人员的利害关系时必须回避。</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第十条  对同一单位已形成亲属关系的或因联姻等原因新形成的亲属关系，应及时调整解决，有关人员必须服从统一调配。</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第十一条  在岗的外聘人员须执行亲属回避制度的。</w:t>
      </w:r>
    </w:p>
    <w:p>
      <w:pPr>
        <w:pStyle w:val="Normal"/>
        <w:spacing w:lineRule="auto" w:line="360" w:before="156" w:after="0"/>
        <w:jc w:val="center"/>
        <w:rPr>
          <w:rFonts w:ascii="仿宋_GB2312;微软雅黑" w:hAnsi="仿宋_GB2312;微软雅黑" w:cs="仿宋"/>
          <w:b/>
          <w:sz w:val="28"/>
          <w:szCs w:val="28"/>
        </w:rPr>
      </w:pPr>
      <w:r>
        <w:rPr>
          <w:rFonts w:ascii="仿宋_GB2312;微软雅黑" w:hAnsi="仿宋_GB2312;微软雅黑" w:cs="仿宋"/>
          <w:b/>
          <w:sz w:val="28"/>
          <w:szCs w:val="28"/>
        </w:rPr>
        <w:t>第四章  实施流程及纪律</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第十二条  回避申请</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（一）本行员工自报亲属关系，填写《员工亲属关系登记表》，上报人力资源部，由人力资源部调查核实后进行汇总。</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（二）本行人力资源部根据已汇总全行亲属关系，按照亲属回避的要求和内容，拟订回避方案，经总行党委会集体研究决定，人力资源部负责具体落实。</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（三）亲属关系根据回避方案，提出回避申请，本行人力资源部负责回避人员工作的协调与调配。</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第十三条  工作交接</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（一）回避对象在回避前要按规定办理交接手续，如交接时发现涉及违章违纪贷款责任，应暂停回避，待收回贷款后，再行回避。回避对象要在规定时间内到岗，对不服从分配的，视情节给予必要的处分。</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（二）亲属回避工作要公开、公正、公平地进行，各级领导和员工不得以任何形式阻碍亲属回避工作，也不得利用职权和工作关系授意、指使、暗示和托请他人进行干预。</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第十四条  离岗检查或稽核</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一）部室正、副总经理（正、副主任）、支行行长离岗由审计部组织离任审计；运营主管交流由总行运营管理部门负责监交；客户经理离岗由支行行长负责检查、监交；各单位内勤岗位离岗由支行行长和运营主管负责监交，并对其负责。有问题的，根据有关规定及时予以处理。对有疑点问题的人员要立即进行离岗检查或稽核。</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（二）各级领导及员工要对此项工作进行监督，发现问题及时向纪检监察部门举报</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第十五条  资料归档</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本行人力资源部负责保管亲属回避的有关资料。</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第十六条  回避纪律</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 xml:space="preserve">（一）总行领导、各支行、部室负责人要做好亲属回避员工的思想工作，不得以任何借口干预、阻挠回避工作。 </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（二）全行员工要认真落实回避制度。如不认真执行亲属回避制度，导致违规、违纪、违法案件的发生，要追究直接责任人和相关责任人的责任，从严查处，绝不姑息迁就。</w:t>
      </w:r>
    </w:p>
    <w:p>
      <w:pPr>
        <w:pStyle w:val="Normal"/>
        <w:spacing w:lineRule="auto" w:line="360" w:before="156" w:after="0"/>
        <w:jc w:val="center"/>
        <w:rPr/>
      </w:pPr>
      <w:r>
        <w:rPr>
          <w:rFonts w:ascii="仿宋_GB2312;微软雅黑" w:hAnsi="仿宋_GB2312;微软雅黑" w:cs="仿宋"/>
          <w:b/>
          <w:sz w:val="28"/>
          <w:szCs w:val="28"/>
        </w:rPr>
        <w:t>第五章 附则</w:t>
      </w:r>
    </w:p>
    <w:p>
      <w:pPr>
        <w:pStyle w:val="Normal"/>
        <w:spacing w:lineRule="auto" w:line="360"/>
        <w:ind w:firstLine="645" w:right="0"/>
        <w:rPr>
          <w:rFonts w:ascii="仿宋_GB2312;微软雅黑" w:hAnsi="仿宋_GB2312;微软雅黑" w:cs="仿宋"/>
          <w:sz w:val="28"/>
          <w:szCs w:val="28"/>
        </w:rPr>
      </w:pPr>
      <w:r>
        <w:rPr>
          <w:rFonts w:ascii="仿宋_GB2312;微软雅黑" w:hAnsi="仿宋_GB2312;微软雅黑" w:cs="仿宋"/>
          <w:sz w:val="28"/>
          <w:szCs w:val="28"/>
        </w:rPr>
        <w:t>第十七条  本制度依据国家法律、法规和有关规定制定，由</w:t>
      </w:r>
      <w:r>
        <w:rPr>
          <w:rFonts w:cs="仿宋" w:ascii="仿宋_GB2312;微软雅黑" w:hAnsi="仿宋_GB2312;微软雅黑"/>
          <w:sz w:val="28"/>
          <w:szCs w:val="28"/>
        </w:rPr>
        <w:t>××××</w:t>
      </w:r>
      <w:r>
        <w:rPr>
          <w:rFonts w:ascii="仿宋_GB2312;微软雅黑" w:hAnsi="仿宋_GB2312;微软雅黑" w:cs="仿宋"/>
          <w:sz w:val="28"/>
          <w:szCs w:val="28"/>
        </w:rPr>
        <w:t>银行股份有限公司人力资源部负责解释和修订。</w:t>
      </w:r>
    </w:p>
    <w:p>
      <w:pPr>
        <w:pStyle w:val="Normal"/>
        <w:spacing w:lineRule="auto" w:line="360"/>
        <w:ind w:firstLine="645" w:right="0"/>
        <w:rPr/>
      </w:pPr>
      <w:r>
        <w:rPr>
          <w:rFonts w:ascii="仿宋_GB2312;微软雅黑" w:hAnsi="仿宋_GB2312;微软雅黑" w:cs="仿宋"/>
          <w:sz w:val="28"/>
          <w:szCs w:val="28"/>
        </w:rPr>
        <w:t>第十八条  本制度</w:t>
      </w:r>
      <w:r>
        <w:rPr>
          <w:sz w:val="28"/>
          <w:szCs w:val="28"/>
        </w:rPr>
        <w:t>自发文之日起施行</w:t>
      </w:r>
      <w:r>
        <w:rPr>
          <w:rFonts w:ascii="仿宋_GB2312;微软雅黑" w:hAnsi="仿宋_GB2312;微软雅黑" w:cs="仿宋"/>
          <w:sz w:val="28"/>
          <w:szCs w:val="28"/>
        </w:rPr>
        <w:t>。</w:t>
      </w:r>
      <w:r>
        <w:br w:type="page"/>
      </w:r>
    </w:p>
    <w:p>
      <w:pPr>
        <w:pStyle w:val="Normal"/>
        <w:rPr>
          <w:szCs w:val="30"/>
        </w:rPr>
      </w:pPr>
      <w:r>
        <w:rPr>
          <w:szCs w:val="30"/>
        </w:rPr>
        <w:t>附件：</w:t>
      </w:r>
      <w:r>
        <w:rPr>
          <w:rFonts w:cs="Calibri" w:eastAsia="Calibri"/>
          <w:szCs w:val="30"/>
        </w:rPr>
        <w:t xml:space="preserve"> </w:t>
      </w:r>
    </w:p>
    <w:p>
      <w:pPr>
        <w:pStyle w:val="Normal"/>
        <w:rPr>
          <w:rFonts w:ascii="宋体;SimSun" w:hAnsi="宋体;SimSun" w:cs="宋体;SimSun"/>
          <w:b/>
          <w:bCs/>
          <w:sz w:val="44"/>
          <w:szCs w:val="44"/>
        </w:rPr>
      </w:pPr>
      <w:r>
        <w:rPr>
          <w:rFonts w:ascii="宋体;SimSun" w:hAnsi="宋体;SimSun" w:cs="宋体;SimSun" w:eastAsia="宋体;SimSun"/>
          <w:b/>
          <w:bCs/>
          <w:sz w:val="44"/>
          <w:szCs w:val="44"/>
        </w:rPr>
        <w:t xml:space="preserve">         </w:t>
      </w:r>
      <w:r>
        <w:rPr>
          <w:rFonts w:ascii="宋体;SimSun" w:hAnsi="宋体;SimSun" w:cs="宋体;SimSun"/>
          <w:b/>
          <w:bCs/>
          <w:sz w:val="44"/>
          <w:szCs w:val="44"/>
        </w:rPr>
        <w:t>员工亲属回避登记表</w:t>
      </w:r>
    </w:p>
    <w:p>
      <w:pPr>
        <w:pStyle w:val="Normal"/>
        <w:jc w:val="center"/>
        <w:rPr>
          <w:rFonts w:ascii="仿宋_GB2312;微软雅黑" w:hAnsi="仿宋_GB2312;微软雅黑"/>
          <w:szCs w:val="30"/>
        </w:rPr>
      </w:pPr>
      <w:r>
        <w:rPr>
          <w:rFonts w:ascii="仿宋_GB2312;微软雅黑" w:hAnsi="仿宋_GB2312;微软雅黑"/>
          <w:szCs w:val="30"/>
        </w:rPr>
        <w:t>年    月    日</w:t>
      </w:r>
    </w:p>
    <w:tbl>
      <w:tblPr>
        <w:tblW w:w="9190" w:type="dxa"/>
        <w:jc w:val="left"/>
        <w:tblInd w:w="-432" w:type="dxa"/>
        <w:tblLayout w:type="fixed"/>
        <w:tblCellMar>
          <w:top w:w="0" w:type="dxa"/>
          <w:left w:w="108" w:type="dxa"/>
          <w:bottom w:w="0" w:type="dxa"/>
          <w:right w:w="108" w:type="dxa"/>
        </w:tblCellMar>
      </w:tblPr>
      <w:tblGrid>
        <w:gridCol w:w="1497"/>
        <w:gridCol w:w="1065"/>
        <w:gridCol w:w="678"/>
        <w:gridCol w:w="387"/>
        <w:gridCol w:w="873"/>
        <w:gridCol w:w="192"/>
        <w:gridCol w:w="888"/>
        <w:gridCol w:w="540"/>
        <w:gridCol w:w="1080"/>
        <w:gridCol w:w="924"/>
        <w:gridCol w:w="1066"/>
      </w:tblGrid>
      <w:tr>
        <w:trPr>
          <w:trHeight w:val="874" w:hRule="atLeast"/>
        </w:trPr>
        <w:tc>
          <w:tcPr>
            <w:tcW w:w="1497" w:type="dxa"/>
            <w:tcBorders>
              <w:top w:val="single" w:sz="12" w:space="0" w:color="000000"/>
              <w:left w:val="single" w:sz="12" w:space="0" w:color="000000"/>
              <w:bottom w:val="single" w:sz="4" w:space="0" w:color="000000"/>
              <w:right w:val="single" w:sz="4" w:space="0" w:color="000000"/>
            </w:tcBorders>
            <w:vAlign w:val="center"/>
          </w:tcPr>
          <w:p>
            <w:pPr>
              <w:pStyle w:val="Normal"/>
              <w:jc w:val="center"/>
              <w:rPr>
                <w:rFonts w:ascii="仿宋_GB2312;微软雅黑" w:hAnsi="仿宋_GB2312;微软雅黑"/>
                <w:szCs w:val="30"/>
              </w:rPr>
            </w:pPr>
            <w:r>
              <w:rPr>
                <w:rFonts w:ascii="仿宋_GB2312;微软雅黑" w:hAnsi="仿宋_GB2312;微软雅黑"/>
                <w:szCs w:val="30"/>
              </w:rPr>
              <w:t>姓名</w:t>
            </w:r>
          </w:p>
        </w:tc>
        <w:tc>
          <w:tcPr>
            <w:tcW w:w="1065" w:type="dxa"/>
            <w:tcBorders>
              <w:top w:val="single" w:sz="12" w:space="0" w:color="000000"/>
              <w:left w:val="single" w:sz="4" w:space="0" w:color="000000"/>
              <w:bottom w:val="single" w:sz="4" w:space="0" w:color="000000"/>
              <w:right w:val="single" w:sz="4" w:space="0" w:color="000000"/>
            </w:tcBorders>
            <w:vAlign w:val="center"/>
          </w:tcPr>
          <w:p>
            <w:pPr>
              <w:pStyle w:val="Normal"/>
              <w:snapToGrid w:val="false"/>
              <w:jc w:val="center"/>
              <w:rPr>
                <w:rFonts w:ascii="仿宋_GB2312;微软雅黑" w:hAnsi="仿宋_GB2312;微软雅黑"/>
                <w:szCs w:val="30"/>
              </w:rPr>
            </w:pPr>
            <w:r>
              <w:rPr>
                <w:rFonts w:ascii="仿宋_GB2312;微软雅黑" w:hAnsi="仿宋_GB2312;微软雅黑"/>
                <w:szCs w:val="30"/>
              </w:rPr>
            </w:r>
          </w:p>
        </w:tc>
        <w:tc>
          <w:tcPr>
            <w:tcW w:w="1065" w:type="dxa"/>
            <w:gridSpan w:val="2"/>
            <w:tcBorders>
              <w:top w:val="single" w:sz="12" w:space="0" w:color="000000"/>
              <w:left w:val="single" w:sz="4" w:space="0" w:color="000000"/>
              <w:bottom w:val="single" w:sz="4" w:space="0" w:color="000000"/>
              <w:right w:val="single" w:sz="4" w:space="0" w:color="000000"/>
            </w:tcBorders>
            <w:vAlign w:val="center"/>
          </w:tcPr>
          <w:p>
            <w:pPr>
              <w:pStyle w:val="Normal"/>
              <w:jc w:val="center"/>
              <w:rPr>
                <w:rFonts w:ascii="仿宋_GB2312;微软雅黑" w:hAnsi="仿宋_GB2312;微软雅黑"/>
                <w:szCs w:val="30"/>
              </w:rPr>
            </w:pPr>
            <w:r>
              <w:rPr>
                <w:rFonts w:ascii="仿宋_GB2312;微软雅黑" w:hAnsi="仿宋_GB2312;微软雅黑"/>
                <w:szCs w:val="30"/>
              </w:rPr>
              <w:t>性别</w:t>
            </w:r>
          </w:p>
        </w:tc>
        <w:tc>
          <w:tcPr>
            <w:tcW w:w="1065" w:type="dxa"/>
            <w:gridSpan w:val="2"/>
            <w:tcBorders>
              <w:top w:val="single" w:sz="12" w:space="0" w:color="000000"/>
              <w:left w:val="single" w:sz="4" w:space="0" w:color="000000"/>
              <w:bottom w:val="single" w:sz="4" w:space="0" w:color="000000"/>
              <w:right w:val="single" w:sz="4" w:space="0" w:color="000000"/>
            </w:tcBorders>
            <w:vAlign w:val="center"/>
          </w:tcPr>
          <w:p>
            <w:pPr>
              <w:pStyle w:val="Normal"/>
              <w:snapToGrid w:val="false"/>
              <w:jc w:val="center"/>
              <w:rPr>
                <w:rFonts w:ascii="仿宋_GB2312;微软雅黑" w:hAnsi="仿宋_GB2312;微软雅黑"/>
                <w:szCs w:val="30"/>
              </w:rPr>
            </w:pPr>
            <w:r>
              <w:rPr>
                <w:rFonts w:ascii="仿宋_GB2312;微软雅黑" w:hAnsi="仿宋_GB2312;微软雅黑"/>
                <w:szCs w:val="30"/>
              </w:rPr>
            </w:r>
          </w:p>
        </w:tc>
        <w:tc>
          <w:tcPr>
            <w:tcW w:w="1428" w:type="dxa"/>
            <w:gridSpan w:val="2"/>
            <w:tcBorders>
              <w:top w:val="single" w:sz="12" w:space="0" w:color="000000"/>
              <w:left w:val="single" w:sz="4" w:space="0" w:color="000000"/>
              <w:bottom w:val="single" w:sz="4" w:space="0" w:color="000000"/>
              <w:right w:val="single" w:sz="4" w:space="0" w:color="000000"/>
            </w:tcBorders>
            <w:vAlign w:val="center"/>
          </w:tcPr>
          <w:p>
            <w:pPr>
              <w:pStyle w:val="Normal"/>
              <w:jc w:val="center"/>
              <w:rPr>
                <w:rFonts w:ascii="仿宋_GB2312;微软雅黑" w:hAnsi="仿宋_GB2312;微软雅黑"/>
                <w:szCs w:val="30"/>
              </w:rPr>
            </w:pPr>
            <w:r>
              <w:rPr>
                <w:rFonts w:ascii="仿宋_GB2312;微软雅黑" w:hAnsi="仿宋_GB2312;微软雅黑"/>
                <w:sz w:val="30"/>
                <w:szCs w:val="30"/>
              </w:rPr>
              <w:t>出生年月</w:t>
            </w:r>
          </w:p>
        </w:tc>
        <w:tc>
          <w:tcPr>
            <w:tcW w:w="1080" w:type="dxa"/>
            <w:tcBorders>
              <w:top w:val="single" w:sz="12" w:space="0" w:color="000000"/>
              <w:left w:val="single" w:sz="4" w:space="0" w:color="000000"/>
              <w:bottom w:val="single" w:sz="4" w:space="0" w:color="000000"/>
              <w:right w:val="single" w:sz="4" w:space="0" w:color="000000"/>
            </w:tcBorders>
            <w:vAlign w:val="center"/>
          </w:tcPr>
          <w:p>
            <w:pPr>
              <w:pStyle w:val="Normal"/>
              <w:snapToGrid w:val="false"/>
              <w:jc w:val="center"/>
              <w:rPr>
                <w:rFonts w:ascii="仿宋_GB2312;微软雅黑" w:hAnsi="仿宋_GB2312;微软雅黑"/>
                <w:szCs w:val="30"/>
              </w:rPr>
            </w:pPr>
            <w:r>
              <w:rPr>
                <w:rFonts w:ascii="仿宋_GB2312;微软雅黑" w:hAnsi="仿宋_GB2312;微软雅黑"/>
                <w:szCs w:val="30"/>
              </w:rPr>
            </w:r>
          </w:p>
        </w:tc>
        <w:tc>
          <w:tcPr>
            <w:tcW w:w="924" w:type="dxa"/>
            <w:tcBorders>
              <w:top w:val="single" w:sz="12" w:space="0" w:color="000000"/>
              <w:left w:val="single" w:sz="4" w:space="0" w:color="000000"/>
              <w:bottom w:val="single" w:sz="4" w:space="0" w:color="000000"/>
              <w:right w:val="single" w:sz="4" w:space="0" w:color="000000"/>
            </w:tcBorders>
            <w:vAlign w:val="center"/>
          </w:tcPr>
          <w:p>
            <w:pPr>
              <w:pStyle w:val="Normal"/>
              <w:jc w:val="center"/>
              <w:rPr>
                <w:rFonts w:ascii="仿宋_GB2312;微软雅黑" w:hAnsi="仿宋_GB2312;微软雅黑"/>
                <w:szCs w:val="30"/>
              </w:rPr>
            </w:pPr>
            <w:r>
              <w:rPr>
                <w:rFonts w:ascii="仿宋_GB2312;微软雅黑" w:hAnsi="仿宋_GB2312;微软雅黑"/>
                <w:szCs w:val="30"/>
              </w:rPr>
              <w:t>民族</w:t>
            </w:r>
          </w:p>
        </w:tc>
        <w:tc>
          <w:tcPr>
            <w:tcW w:w="1066" w:type="dxa"/>
            <w:tcBorders>
              <w:top w:val="single" w:sz="12" w:space="0" w:color="000000"/>
              <w:left w:val="single" w:sz="4" w:space="0" w:color="000000"/>
              <w:bottom w:val="single" w:sz="4" w:space="0" w:color="000000"/>
              <w:right w:val="single" w:sz="12" w:space="0" w:color="000000"/>
            </w:tcBorders>
            <w:vAlign w:val="center"/>
          </w:tcPr>
          <w:p>
            <w:pPr>
              <w:pStyle w:val="Normal"/>
              <w:snapToGrid w:val="false"/>
              <w:jc w:val="center"/>
              <w:rPr>
                <w:rFonts w:ascii="仿宋_GB2312;微软雅黑" w:hAnsi="仿宋_GB2312;微软雅黑"/>
                <w:szCs w:val="30"/>
              </w:rPr>
            </w:pPr>
            <w:r>
              <w:rPr>
                <w:rFonts w:ascii="仿宋_GB2312;微软雅黑" w:hAnsi="仿宋_GB2312;微软雅黑"/>
                <w:szCs w:val="30"/>
              </w:rPr>
            </w:r>
          </w:p>
        </w:tc>
      </w:tr>
      <w:tr>
        <w:trPr/>
        <w:tc>
          <w:tcPr>
            <w:tcW w:w="1497" w:type="dxa"/>
            <w:tcBorders>
              <w:top w:val="single" w:sz="4" w:space="0" w:color="000000"/>
              <w:left w:val="single" w:sz="12" w:space="0" w:color="000000"/>
              <w:bottom w:val="single" w:sz="4" w:space="0" w:color="000000"/>
              <w:right w:val="single" w:sz="4" w:space="0" w:color="000000"/>
            </w:tcBorders>
            <w:vAlign w:val="center"/>
          </w:tcPr>
          <w:p>
            <w:pPr>
              <w:pStyle w:val="Normal"/>
              <w:jc w:val="center"/>
              <w:rPr>
                <w:rFonts w:ascii="仿宋_GB2312;微软雅黑" w:hAnsi="仿宋_GB2312;微软雅黑"/>
                <w:szCs w:val="30"/>
              </w:rPr>
            </w:pPr>
            <w:r>
              <w:rPr>
                <w:rFonts w:ascii="仿宋_GB2312;微软雅黑" w:hAnsi="仿宋_GB2312;微软雅黑"/>
                <w:szCs w:val="30"/>
              </w:rPr>
              <w:t>籍贯</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仿宋_GB2312;微软雅黑" w:hAnsi="仿宋_GB2312;微软雅黑"/>
                <w:szCs w:val="30"/>
              </w:rPr>
            </w:pPr>
            <w:r>
              <w:rPr>
                <w:rFonts w:ascii="仿宋_GB2312;微软雅黑" w:hAnsi="仿宋_GB2312;微软雅黑"/>
                <w:szCs w:val="30"/>
              </w:rPr>
            </w:r>
          </w:p>
        </w:tc>
        <w:tc>
          <w:tcPr>
            <w:tcW w:w="1065"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exact" w:line="400"/>
              <w:jc w:val="center"/>
              <w:rPr>
                <w:rFonts w:ascii="仿宋_GB2312;微软雅黑" w:hAnsi="仿宋_GB2312;微软雅黑"/>
                <w:szCs w:val="30"/>
              </w:rPr>
            </w:pPr>
            <w:r>
              <w:rPr>
                <w:rFonts w:ascii="仿宋_GB2312;微软雅黑" w:hAnsi="仿宋_GB2312;微软雅黑"/>
                <w:szCs w:val="30"/>
              </w:rPr>
              <w:t>入党</w:t>
            </w:r>
          </w:p>
          <w:p>
            <w:pPr>
              <w:pStyle w:val="Normal"/>
              <w:spacing w:lineRule="exact" w:line="400"/>
              <w:jc w:val="center"/>
              <w:rPr>
                <w:rFonts w:ascii="仿宋_GB2312;微软雅黑" w:hAnsi="仿宋_GB2312;微软雅黑"/>
                <w:szCs w:val="30"/>
              </w:rPr>
            </w:pPr>
            <w:r>
              <w:rPr>
                <w:rFonts w:ascii="仿宋_GB2312;微软雅黑" w:hAnsi="仿宋_GB2312;微软雅黑"/>
                <w:szCs w:val="30"/>
              </w:rPr>
              <w:t>时间</w:t>
            </w:r>
          </w:p>
        </w:tc>
        <w:tc>
          <w:tcPr>
            <w:tcW w:w="1065"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仿宋_GB2312;微软雅黑" w:hAnsi="仿宋_GB2312;微软雅黑"/>
                <w:szCs w:val="30"/>
              </w:rPr>
            </w:pPr>
            <w:r>
              <w:rPr>
                <w:rFonts w:ascii="仿宋_GB2312;微软雅黑" w:hAnsi="仿宋_GB2312;微软雅黑"/>
                <w:szCs w:val="30"/>
              </w:rPr>
            </w:r>
          </w:p>
        </w:tc>
        <w:tc>
          <w:tcPr>
            <w:tcW w:w="142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exact" w:line="400"/>
              <w:jc w:val="center"/>
              <w:rPr>
                <w:rFonts w:ascii="仿宋_GB2312;微软雅黑" w:hAnsi="仿宋_GB2312;微软雅黑"/>
                <w:szCs w:val="30"/>
              </w:rPr>
            </w:pPr>
            <w:r>
              <w:rPr>
                <w:rFonts w:ascii="仿宋_GB2312;微软雅黑" w:hAnsi="仿宋_GB2312;微软雅黑"/>
                <w:szCs w:val="30"/>
              </w:rPr>
              <w:t>参加工作时间</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仿宋_GB2312;微软雅黑" w:hAnsi="仿宋_GB2312;微软雅黑"/>
                <w:szCs w:val="30"/>
              </w:rPr>
            </w:pPr>
            <w:r>
              <w:rPr>
                <w:rFonts w:ascii="仿宋_GB2312;微软雅黑" w:hAnsi="仿宋_GB2312;微软雅黑"/>
                <w:szCs w:val="30"/>
              </w:rPr>
            </w:r>
          </w:p>
        </w:tc>
        <w:tc>
          <w:tcPr>
            <w:tcW w:w="92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微软雅黑" w:hAnsi="仿宋_GB2312;微软雅黑"/>
                <w:szCs w:val="30"/>
              </w:rPr>
            </w:pPr>
            <w:r>
              <w:rPr>
                <w:rFonts w:ascii="仿宋_GB2312;微软雅黑" w:hAnsi="仿宋_GB2312;微软雅黑"/>
                <w:szCs w:val="30"/>
              </w:rPr>
              <w:t>学历</w:t>
            </w:r>
          </w:p>
        </w:tc>
        <w:tc>
          <w:tcPr>
            <w:tcW w:w="1066"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rFonts w:ascii="仿宋_GB2312;微软雅黑" w:hAnsi="仿宋_GB2312;微软雅黑"/>
                <w:szCs w:val="30"/>
              </w:rPr>
            </w:pPr>
            <w:r>
              <w:rPr>
                <w:rFonts w:ascii="仿宋_GB2312;微软雅黑" w:hAnsi="仿宋_GB2312;微软雅黑"/>
                <w:szCs w:val="30"/>
              </w:rPr>
            </w:r>
          </w:p>
        </w:tc>
      </w:tr>
      <w:tr>
        <w:trPr/>
        <w:tc>
          <w:tcPr>
            <w:tcW w:w="2562" w:type="dxa"/>
            <w:gridSpan w:val="2"/>
            <w:tcBorders>
              <w:top w:val="single" w:sz="4" w:space="0" w:color="000000"/>
              <w:left w:val="single" w:sz="12" w:space="0" w:color="000000"/>
              <w:bottom w:val="single" w:sz="4" w:space="0" w:color="000000"/>
              <w:right w:val="single" w:sz="4" w:space="0" w:color="000000"/>
            </w:tcBorders>
            <w:vAlign w:val="center"/>
          </w:tcPr>
          <w:p>
            <w:pPr>
              <w:pStyle w:val="Normal"/>
              <w:jc w:val="center"/>
              <w:rPr>
                <w:rFonts w:ascii="仿宋_GB2312;微软雅黑" w:hAnsi="仿宋_GB2312;微软雅黑"/>
                <w:szCs w:val="30"/>
              </w:rPr>
            </w:pPr>
            <w:r>
              <w:rPr>
                <w:rFonts w:ascii="仿宋_GB2312;微软雅黑" w:hAnsi="仿宋_GB2312;微软雅黑"/>
                <w:szCs w:val="30"/>
              </w:rPr>
              <w:t>工作单位及职务</w:t>
            </w:r>
          </w:p>
        </w:tc>
        <w:tc>
          <w:tcPr>
            <w:tcW w:w="3558" w:type="dxa"/>
            <w:gridSpan w:val="6"/>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仿宋_GB2312;微软雅黑" w:hAnsi="仿宋_GB2312;微软雅黑"/>
                <w:szCs w:val="30"/>
              </w:rPr>
            </w:pPr>
            <w:r>
              <w:rPr>
                <w:rFonts w:ascii="仿宋_GB2312;微软雅黑" w:hAnsi="仿宋_GB2312;微软雅黑"/>
                <w:szCs w:val="30"/>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400"/>
              <w:jc w:val="center"/>
              <w:rPr>
                <w:rFonts w:ascii="仿宋_GB2312;微软雅黑" w:hAnsi="仿宋_GB2312;微软雅黑"/>
                <w:szCs w:val="30"/>
              </w:rPr>
            </w:pPr>
            <w:r>
              <w:rPr>
                <w:rFonts w:ascii="仿宋_GB2312;微软雅黑" w:hAnsi="仿宋_GB2312;微软雅黑"/>
                <w:szCs w:val="30"/>
              </w:rPr>
              <w:t>联系</w:t>
            </w:r>
          </w:p>
          <w:p>
            <w:pPr>
              <w:pStyle w:val="Normal"/>
              <w:jc w:val="center"/>
              <w:rPr>
                <w:rFonts w:ascii="仿宋_GB2312;微软雅黑" w:hAnsi="仿宋_GB2312;微软雅黑"/>
                <w:szCs w:val="30"/>
              </w:rPr>
            </w:pPr>
            <w:r>
              <w:rPr>
                <w:rFonts w:ascii="仿宋_GB2312;微软雅黑" w:hAnsi="仿宋_GB2312;微软雅黑"/>
                <w:szCs w:val="30"/>
              </w:rPr>
              <w:t>电话</w:t>
            </w:r>
          </w:p>
        </w:tc>
        <w:tc>
          <w:tcPr>
            <w:tcW w:w="1990" w:type="dxa"/>
            <w:gridSpan w:val="2"/>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rFonts w:ascii="仿宋_GB2312;微软雅黑" w:hAnsi="仿宋_GB2312;微软雅黑"/>
                <w:szCs w:val="30"/>
              </w:rPr>
            </w:pPr>
            <w:r>
              <w:rPr>
                <w:rFonts w:ascii="仿宋_GB2312;微软雅黑" w:hAnsi="仿宋_GB2312;微软雅黑"/>
                <w:szCs w:val="30"/>
              </w:rPr>
            </w:r>
          </w:p>
        </w:tc>
      </w:tr>
      <w:tr>
        <w:trPr>
          <w:trHeight w:val="664" w:hRule="atLeast"/>
        </w:trPr>
        <w:tc>
          <w:tcPr>
            <w:tcW w:w="9190" w:type="dxa"/>
            <w:gridSpan w:val="11"/>
            <w:tcBorders>
              <w:top w:val="single" w:sz="4" w:space="0" w:color="000000"/>
              <w:left w:val="single" w:sz="12" w:space="0" w:color="000000"/>
              <w:bottom w:val="single" w:sz="4" w:space="0" w:color="000000"/>
              <w:right w:val="single" w:sz="12" w:space="0" w:color="000000"/>
            </w:tcBorders>
          </w:tcPr>
          <w:p>
            <w:pPr>
              <w:pStyle w:val="Normal"/>
              <w:jc w:val="center"/>
              <w:rPr>
                <w:rFonts w:ascii="仿宋_GB2312;微软雅黑" w:hAnsi="仿宋_GB2312;微软雅黑"/>
                <w:szCs w:val="30"/>
              </w:rPr>
            </w:pPr>
            <w:r>
              <w:rPr>
                <w:rFonts w:ascii="仿宋_GB2312;微软雅黑" w:hAnsi="仿宋_GB2312;微软雅黑"/>
                <w:szCs w:val="30"/>
              </w:rPr>
              <w:t>亲属关系情况</w:t>
            </w:r>
          </w:p>
        </w:tc>
      </w:tr>
      <w:tr>
        <w:trPr>
          <w:trHeight w:val="1026" w:hRule="atLeast"/>
        </w:trPr>
        <w:tc>
          <w:tcPr>
            <w:tcW w:w="1497" w:type="dxa"/>
            <w:tcBorders>
              <w:top w:val="single" w:sz="4" w:space="0" w:color="000000"/>
              <w:left w:val="single" w:sz="12" w:space="0" w:color="000000"/>
              <w:bottom w:val="single" w:sz="4" w:space="0" w:color="000000"/>
              <w:right w:val="single" w:sz="4" w:space="0" w:color="000000"/>
            </w:tcBorders>
            <w:vAlign w:val="center"/>
          </w:tcPr>
          <w:p>
            <w:pPr>
              <w:pStyle w:val="Normal"/>
              <w:jc w:val="center"/>
              <w:rPr>
                <w:rFonts w:ascii="仿宋_GB2312;微软雅黑" w:hAnsi="仿宋_GB2312;微软雅黑"/>
                <w:szCs w:val="30"/>
              </w:rPr>
            </w:pPr>
            <w:r>
              <w:rPr>
                <w:rFonts w:ascii="仿宋_GB2312;微软雅黑" w:hAnsi="仿宋_GB2312;微软雅黑"/>
                <w:szCs w:val="30"/>
              </w:rPr>
              <w:t>姓 名</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400"/>
              <w:jc w:val="center"/>
              <w:rPr>
                <w:rFonts w:ascii="仿宋_GB2312;微软雅黑" w:hAnsi="仿宋_GB2312;微软雅黑"/>
                <w:szCs w:val="30"/>
              </w:rPr>
            </w:pPr>
            <w:r>
              <w:rPr>
                <w:rFonts w:ascii="仿宋_GB2312;微软雅黑" w:hAnsi="仿宋_GB2312;微软雅黑"/>
                <w:szCs w:val="30"/>
              </w:rPr>
              <w:t>与本人</w:t>
            </w:r>
          </w:p>
          <w:p>
            <w:pPr>
              <w:pStyle w:val="Normal"/>
              <w:spacing w:lineRule="exact" w:line="400"/>
              <w:jc w:val="center"/>
              <w:rPr>
                <w:rFonts w:ascii="仿宋_GB2312;微软雅黑" w:hAnsi="仿宋_GB2312;微软雅黑"/>
                <w:szCs w:val="30"/>
              </w:rPr>
            </w:pPr>
            <w:r>
              <w:rPr>
                <w:rFonts w:ascii="仿宋_GB2312;微软雅黑" w:hAnsi="仿宋_GB2312;微软雅黑"/>
                <w:szCs w:val="30"/>
              </w:rPr>
              <w:t>关系</w:t>
            </w:r>
          </w:p>
        </w:tc>
        <w:tc>
          <w:tcPr>
            <w:tcW w:w="67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400"/>
              <w:jc w:val="center"/>
              <w:rPr>
                <w:rFonts w:ascii="仿宋_GB2312;微软雅黑" w:hAnsi="仿宋_GB2312;微软雅黑"/>
                <w:szCs w:val="30"/>
              </w:rPr>
            </w:pPr>
            <w:r>
              <w:rPr>
                <w:rFonts w:ascii="仿宋_GB2312;微软雅黑" w:hAnsi="仿宋_GB2312;微软雅黑"/>
                <w:szCs w:val="30"/>
              </w:rPr>
              <w:t>性别</w:t>
            </w:r>
          </w:p>
        </w:tc>
        <w:tc>
          <w:tcPr>
            <w:tcW w:w="12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exact" w:line="400"/>
              <w:jc w:val="center"/>
              <w:rPr>
                <w:rFonts w:ascii="仿宋_GB2312;微软雅黑" w:hAnsi="仿宋_GB2312;微软雅黑"/>
                <w:szCs w:val="30"/>
              </w:rPr>
            </w:pPr>
            <w:r>
              <w:rPr>
                <w:rFonts w:ascii="仿宋_GB2312;微软雅黑" w:hAnsi="仿宋_GB2312;微软雅黑"/>
                <w:szCs w:val="30"/>
              </w:rPr>
              <w:t>出生</w:t>
            </w:r>
          </w:p>
          <w:p>
            <w:pPr>
              <w:pStyle w:val="Normal"/>
              <w:spacing w:lineRule="exact" w:line="400"/>
              <w:jc w:val="center"/>
              <w:rPr>
                <w:rFonts w:ascii="仿宋_GB2312;微软雅黑" w:hAnsi="仿宋_GB2312;微软雅黑"/>
                <w:szCs w:val="30"/>
              </w:rPr>
            </w:pPr>
            <w:r>
              <w:rPr>
                <w:rFonts w:ascii="仿宋_GB2312;微软雅黑" w:hAnsi="仿宋_GB2312;微软雅黑"/>
                <w:szCs w:val="30"/>
              </w:rPr>
              <w:t>年月</w:t>
            </w:r>
          </w:p>
        </w:tc>
        <w:tc>
          <w:tcPr>
            <w:tcW w:w="108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exact" w:line="400"/>
              <w:jc w:val="center"/>
              <w:rPr>
                <w:rFonts w:ascii="仿宋_GB2312;微软雅黑" w:hAnsi="仿宋_GB2312;微软雅黑"/>
                <w:szCs w:val="30"/>
              </w:rPr>
            </w:pPr>
            <w:r>
              <w:rPr>
                <w:rFonts w:ascii="仿宋_GB2312;微软雅黑" w:hAnsi="仿宋_GB2312;微软雅黑"/>
                <w:szCs w:val="30"/>
              </w:rPr>
              <w:t>政治</w:t>
            </w:r>
          </w:p>
          <w:p>
            <w:pPr>
              <w:pStyle w:val="Normal"/>
              <w:spacing w:lineRule="exact" w:line="400"/>
              <w:jc w:val="center"/>
              <w:rPr>
                <w:rFonts w:ascii="仿宋_GB2312;微软雅黑" w:hAnsi="仿宋_GB2312;微软雅黑"/>
                <w:szCs w:val="30"/>
              </w:rPr>
            </w:pPr>
            <w:r>
              <w:rPr>
                <w:rFonts w:ascii="仿宋_GB2312;微软雅黑" w:hAnsi="仿宋_GB2312;微软雅黑"/>
                <w:szCs w:val="30"/>
              </w:rPr>
              <w:t>面貌</w:t>
            </w:r>
          </w:p>
        </w:tc>
        <w:tc>
          <w:tcPr>
            <w:tcW w:w="3610" w:type="dxa"/>
            <w:gridSpan w:val="4"/>
            <w:tcBorders>
              <w:top w:val="single" w:sz="4" w:space="0" w:color="000000"/>
              <w:left w:val="single" w:sz="4" w:space="0" w:color="000000"/>
              <w:bottom w:val="single" w:sz="4" w:space="0" w:color="000000"/>
              <w:right w:val="single" w:sz="12" w:space="0" w:color="000000"/>
            </w:tcBorders>
            <w:vAlign w:val="center"/>
          </w:tcPr>
          <w:p>
            <w:pPr>
              <w:pStyle w:val="Normal"/>
              <w:jc w:val="center"/>
              <w:rPr>
                <w:rFonts w:ascii="仿宋_GB2312;微软雅黑" w:hAnsi="仿宋_GB2312;微软雅黑"/>
                <w:szCs w:val="30"/>
              </w:rPr>
            </w:pPr>
            <w:r>
              <w:rPr>
                <w:rFonts w:ascii="仿宋_GB2312;微软雅黑" w:hAnsi="仿宋_GB2312;微软雅黑"/>
                <w:szCs w:val="30"/>
              </w:rPr>
              <w:t>工作单位及职务</w:t>
            </w:r>
          </w:p>
        </w:tc>
      </w:tr>
      <w:tr>
        <w:trPr/>
        <w:tc>
          <w:tcPr>
            <w:tcW w:w="1497" w:type="dxa"/>
            <w:tcBorders>
              <w:top w:val="single" w:sz="4" w:space="0" w:color="000000"/>
              <w:left w:val="single" w:sz="12"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106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678"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3610" w:type="dxa"/>
            <w:gridSpan w:val="4"/>
            <w:tcBorders>
              <w:top w:val="single" w:sz="4" w:space="0" w:color="000000"/>
              <w:left w:val="single" w:sz="4" w:space="0" w:color="000000"/>
              <w:bottom w:val="single" w:sz="4" w:space="0" w:color="000000"/>
              <w:right w:val="single" w:sz="12"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r>
      <w:tr>
        <w:trPr/>
        <w:tc>
          <w:tcPr>
            <w:tcW w:w="1497" w:type="dxa"/>
            <w:tcBorders>
              <w:top w:val="single" w:sz="4" w:space="0" w:color="000000"/>
              <w:left w:val="single" w:sz="12"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106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678"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3610" w:type="dxa"/>
            <w:gridSpan w:val="4"/>
            <w:tcBorders>
              <w:top w:val="single" w:sz="4" w:space="0" w:color="000000"/>
              <w:left w:val="single" w:sz="4" w:space="0" w:color="000000"/>
              <w:bottom w:val="single" w:sz="4" w:space="0" w:color="000000"/>
              <w:right w:val="single" w:sz="12"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r>
      <w:tr>
        <w:trPr/>
        <w:tc>
          <w:tcPr>
            <w:tcW w:w="1497" w:type="dxa"/>
            <w:tcBorders>
              <w:top w:val="single" w:sz="4" w:space="0" w:color="000000"/>
              <w:left w:val="single" w:sz="12"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106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678"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3610" w:type="dxa"/>
            <w:gridSpan w:val="4"/>
            <w:tcBorders>
              <w:top w:val="single" w:sz="4" w:space="0" w:color="000000"/>
              <w:left w:val="single" w:sz="4" w:space="0" w:color="000000"/>
              <w:bottom w:val="single" w:sz="4" w:space="0" w:color="000000"/>
              <w:right w:val="single" w:sz="12"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r>
      <w:tr>
        <w:trPr/>
        <w:tc>
          <w:tcPr>
            <w:tcW w:w="1497" w:type="dxa"/>
            <w:tcBorders>
              <w:top w:val="single" w:sz="4" w:space="0" w:color="000000"/>
              <w:left w:val="single" w:sz="12"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106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678"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3610" w:type="dxa"/>
            <w:gridSpan w:val="4"/>
            <w:tcBorders>
              <w:top w:val="single" w:sz="4" w:space="0" w:color="000000"/>
              <w:left w:val="single" w:sz="4" w:space="0" w:color="000000"/>
              <w:bottom w:val="single" w:sz="4" w:space="0" w:color="000000"/>
              <w:right w:val="single" w:sz="12"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r>
      <w:tr>
        <w:trPr/>
        <w:tc>
          <w:tcPr>
            <w:tcW w:w="1497" w:type="dxa"/>
            <w:tcBorders>
              <w:top w:val="single" w:sz="4" w:space="0" w:color="000000"/>
              <w:left w:val="single" w:sz="12"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106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678"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3610" w:type="dxa"/>
            <w:gridSpan w:val="4"/>
            <w:tcBorders>
              <w:top w:val="single" w:sz="4" w:space="0" w:color="000000"/>
              <w:left w:val="single" w:sz="4" w:space="0" w:color="000000"/>
              <w:bottom w:val="single" w:sz="4" w:space="0" w:color="000000"/>
              <w:right w:val="single" w:sz="12"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r>
      <w:tr>
        <w:trPr/>
        <w:tc>
          <w:tcPr>
            <w:tcW w:w="1497" w:type="dxa"/>
            <w:tcBorders>
              <w:top w:val="single" w:sz="4" w:space="0" w:color="000000"/>
              <w:left w:val="single" w:sz="12"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106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678"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3610" w:type="dxa"/>
            <w:gridSpan w:val="4"/>
            <w:tcBorders>
              <w:top w:val="single" w:sz="4" w:space="0" w:color="000000"/>
              <w:left w:val="single" w:sz="4" w:space="0" w:color="000000"/>
              <w:bottom w:val="single" w:sz="4" w:space="0" w:color="000000"/>
              <w:right w:val="single" w:sz="12"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r>
      <w:tr>
        <w:trPr/>
        <w:tc>
          <w:tcPr>
            <w:tcW w:w="1497" w:type="dxa"/>
            <w:tcBorders>
              <w:top w:val="single" w:sz="4" w:space="0" w:color="000000"/>
              <w:left w:val="single" w:sz="12"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106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678"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3610" w:type="dxa"/>
            <w:gridSpan w:val="4"/>
            <w:tcBorders>
              <w:top w:val="single" w:sz="4" w:space="0" w:color="000000"/>
              <w:left w:val="single" w:sz="4" w:space="0" w:color="000000"/>
              <w:bottom w:val="single" w:sz="4" w:space="0" w:color="000000"/>
              <w:right w:val="single" w:sz="12"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r>
      <w:tr>
        <w:trPr/>
        <w:tc>
          <w:tcPr>
            <w:tcW w:w="1497" w:type="dxa"/>
            <w:tcBorders>
              <w:top w:val="single" w:sz="4" w:space="0" w:color="000000"/>
              <w:left w:val="single" w:sz="12" w:space="0" w:color="000000"/>
              <w:bottom w:val="single" w:sz="12"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1065" w:type="dxa"/>
            <w:tcBorders>
              <w:top w:val="single" w:sz="4" w:space="0" w:color="000000"/>
              <w:left w:val="single" w:sz="4" w:space="0" w:color="000000"/>
              <w:bottom w:val="single" w:sz="12"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678" w:type="dxa"/>
            <w:tcBorders>
              <w:top w:val="single" w:sz="4" w:space="0" w:color="000000"/>
              <w:left w:val="single" w:sz="4" w:space="0" w:color="000000"/>
              <w:bottom w:val="single" w:sz="12"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1260" w:type="dxa"/>
            <w:gridSpan w:val="2"/>
            <w:tcBorders>
              <w:top w:val="single" w:sz="4" w:space="0" w:color="000000"/>
              <w:left w:val="single" w:sz="4" w:space="0" w:color="000000"/>
              <w:bottom w:val="single" w:sz="12"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1080" w:type="dxa"/>
            <w:gridSpan w:val="2"/>
            <w:tcBorders>
              <w:top w:val="single" w:sz="4" w:space="0" w:color="000000"/>
              <w:left w:val="single" w:sz="4" w:space="0" w:color="000000"/>
              <w:bottom w:val="single" w:sz="12" w:space="0" w:color="000000"/>
              <w:right w:val="single" w:sz="4"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c>
          <w:tcPr>
            <w:tcW w:w="3610" w:type="dxa"/>
            <w:gridSpan w:val="4"/>
            <w:tcBorders>
              <w:top w:val="single" w:sz="4" w:space="0" w:color="000000"/>
              <w:left w:val="single" w:sz="4" w:space="0" w:color="000000"/>
              <w:bottom w:val="single" w:sz="12" w:space="0" w:color="000000"/>
              <w:right w:val="single" w:sz="12" w:space="0" w:color="000000"/>
            </w:tcBorders>
          </w:tcPr>
          <w:p>
            <w:pPr>
              <w:pStyle w:val="Normal"/>
              <w:snapToGrid w:val="false"/>
              <w:rPr>
                <w:rFonts w:ascii="仿宋_GB2312;微软雅黑" w:hAnsi="仿宋_GB2312;微软雅黑"/>
                <w:szCs w:val="30"/>
              </w:rPr>
            </w:pPr>
            <w:r>
              <w:rPr>
                <w:rFonts w:ascii="仿宋_GB2312;微软雅黑" w:hAnsi="仿宋_GB2312;微软雅黑"/>
                <w:szCs w:val="30"/>
              </w:rPr>
            </w:r>
          </w:p>
        </w:tc>
      </w:tr>
    </w:tbl>
    <w:p>
      <w:pPr>
        <w:pStyle w:val="Normal"/>
        <w:spacing w:lineRule="exact" w:line="340"/>
        <w:rPr/>
      </w:pPr>
      <w:r>
        <w:rPr/>
      </w:r>
    </w:p>
    <w:p>
      <w:pPr>
        <w:pStyle w:val="Normal"/>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仿宋_GB2312">
    <w:altName w:val="微软雅黑"/>
    <w:charset w:val="86"/>
    <w:family w:val="modern"/>
    <w:pitch w:val="default"/>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仿宋_GB2312;微软雅黑" w:cs="Times New Roman"/>
      <w:color w:val="auto"/>
      <w:kern w:val="2"/>
      <w:sz w:val="32"/>
      <w:szCs w:val="24"/>
      <w:lang w:val="en-US" w:eastAsia="zh-CN" w:bidi="ar-SA"/>
    </w:rPr>
  </w:style>
  <w:style w:type="character" w:styleId="Style14">
    <w:name w:val="默认段落字体"/>
    <w:qFormat/>
    <w:rPr/>
  </w:style>
  <w:style w:type="character" w:styleId="Char">
    <w:name w:val="页眉 Char"/>
    <w:qFormat/>
    <w:rPr>
      <w:rFonts w:eastAsia="仿宋_GB2312;微软雅黑"/>
      <w:kern w:val="2"/>
      <w:sz w:val="18"/>
      <w:szCs w:val="18"/>
    </w:rPr>
  </w:style>
  <w:style w:type="character" w:styleId="Char1">
    <w:name w:val="页脚 Char"/>
    <w:qFormat/>
    <w:rPr>
      <w:rFonts w:eastAsia="仿宋_GB2312;微软雅黑"/>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Owner</dc:creator>
  <dc:description/>
  <cp:keywords/>
  <dc:language>zh-CN</dc:language>
  <cp:lastModifiedBy>方 盈</cp:lastModifiedBy>
  <dcterms:modified xsi:type="dcterms:W3CDTF">2020-01-08T21:06:00Z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