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right" w:pos="8505" w:leader="none"/>
        </w:tabs>
        <w:spacing w:lineRule="auto" w:line="360"/>
        <w:ind w:firstLine="200" w:right="0"/>
        <w:jc w:val="center"/>
        <w:rPr>
          <w:rFonts w:eastAsia="仿宋_GB2312;仿宋"/>
          <w:b/>
          <w:sz w:val="28"/>
          <w:szCs w:val="28"/>
        </w:rPr>
      </w:pPr>
      <w:r>
        <w:rPr>
          <w:rFonts w:eastAsia="仿宋_GB2312;仿宋"/>
          <w:b/>
          <w:sz w:val="28"/>
          <w:szCs w:val="28"/>
        </w:rPr>
        <w:t>xxx</w:t>
      </w:r>
      <w:r>
        <w:rPr>
          <w:rFonts w:eastAsia="仿宋_GB2312;仿宋"/>
          <w:b/>
          <w:sz w:val="28"/>
          <w:szCs w:val="28"/>
        </w:rPr>
        <w:t>银行</w:t>
      </w:r>
    </w:p>
    <w:p>
      <w:pPr>
        <w:pStyle w:val="Heading2"/>
        <w:spacing w:lineRule="auto" w:line="360"/>
        <w:ind w:firstLine="562" w:right="0"/>
        <w:rPr>
          <w:rFonts w:ascii="Times New Roman" w:hAnsi="Times New Roman" w:cs="Times New Roman"/>
          <w:sz w:val="28"/>
          <w:szCs w:val="28"/>
        </w:rPr>
      </w:pPr>
      <w:r>
        <w:rPr>
          <w:rFonts w:ascii="Times New Roman" w:hAnsi="Times New Roman" w:cs="Times New Roman"/>
          <w:sz w:val="28"/>
          <w:szCs w:val="28"/>
        </w:rPr>
        <w:t>操作风险管理制度与流程</w:t>
      </w:r>
    </w:p>
    <w:p>
      <w:pPr>
        <w:pStyle w:val="Normal"/>
        <w:shd w:fill="FFFFFF" w:val="clear"/>
        <w:overflowPunct w:val="false"/>
        <w:spacing w:lineRule="auto" w:line="360" w:before="156" w:after="0"/>
        <w:jc w:val="center"/>
        <w:rPr>
          <w:b/>
          <w:sz w:val="28"/>
          <w:szCs w:val="28"/>
        </w:rPr>
      </w:pPr>
      <w:r>
        <w:rPr>
          <w:rFonts w:eastAsia="仿宋_GB2312;仿宋"/>
          <w:b/>
          <w:sz w:val="28"/>
          <w:szCs w:val="28"/>
        </w:rPr>
        <w:t>第一章</w:t>
      </w:r>
      <w:r>
        <w:rPr>
          <w:rFonts w:eastAsia="Times New Roman"/>
          <w:b/>
          <w:sz w:val="28"/>
          <w:szCs w:val="28"/>
        </w:rPr>
        <w:t xml:space="preserve"> </w:t>
      </w:r>
      <w:r>
        <w:rPr>
          <w:rFonts w:eastAsia="仿宋_GB2312;仿宋"/>
          <w:b/>
          <w:sz w:val="28"/>
          <w:szCs w:val="28"/>
        </w:rPr>
        <w:t>总则</w:t>
      </w:r>
    </w:p>
    <w:p>
      <w:pPr>
        <w:pStyle w:val="Normal"/>
        <w:shd w:fill="FFFFFF" w:val="clear"/>
        <w:overflowPunct w:val="false"/>
        <w:spacing w:lineRule="auto" w:line="360"/>
        <w:ind w:firstLine="560" w:right="0"/>
        <w:rPr/>
      </w:pPr>
      <w:r>
        <w:rPr>
          <w:rFonts w:eastAsia="仿宋_GB2312;仿宋"/>
          <w:sz w:val="28"/>
          <w:szCs w:val="28"/>
        </w:rPr>
        <w:t>第一条</w:t>
      </w:r>
      <w:r>
        <w:rPr>
          <w:rFonts w:eastAsia="Times New Roman"/>
          <w:sz w:val="28"/>
          <w:szCs w:val="28"/>
        </w:rPr>
        <w:t xml:space="preserve">  </w:t>
      </w:r>
      <w:r>
        <w:rPr>
          <w:rFonts w:eastAsia="仿宋_GB2312;仿宋"/>
          <w:sz w:val="28"/>
          <w:szCs w:val="28"/>
        </w:rPr>
        <w:t>根据</w:t>
      </w:r>
      <w:r>
        <w:rPr>
          <w:rFonts w:eastAsia="仿宋_GB2312;仿宋"/>
          <w:sz w:val="28"/>
          <w:szCs w:val="28"/>
        </w:rPr>
        <w:t>xxx</w:t>
      </w:r>
      <w:r>
        <w:rPr>
          <w:rFonts w:eastAsia="仿宋_GB2312;仿宋"/>
          <w:sz w:val="28"/>
          <w:szCs w:val="28"/>
        </w:rPr>
        <w:t>银行（以下简称“本行”）商务转型和全面风险管理建设要求，为加强本行业操作风险管理，促进本行建立健全操作风险管理体制和机制，完善全面风险管理体系，实现各项业务可持续发展，依据银监会《商业银行操作风险管理指引》、《商业银行资本管理办法（试行）》、《商业银行内部控制指引》、《银行业金融机构全面风险管理指引》以及省联社《江苏省农村商业银行全面风险管理指导意见（试行）》、《江苏省农村信用社联合社关于操作风险管理的指导意见（试行）》等规定，结合本行实际，制定本办法。</w:t>
      </w:r>
    </w:p>
    <w:p>
      <w:pPr>
        <w:pStyle w:val="Normal"/>
        <w:shd w:fill="FFFFFF" w:val="clear"/>
        <w:overflowPunct w:val="false"/>
        <w:spacing w:lineRule="auto" w:line="360"/>
        <w:ind w:firstLine="560" w:right="0"/>
        <w:rPr/>
      </w:pPr>
      <w:r>
        <w:rPr>
          <w:rFonts w:eastAsia="仿宋_GB2312;仿宋"/>
          <w:sz w:val="28"/>
          <w:szCs w:val="28"/>
        </w:rPr>
        <w:t>第二条</w:t>
      </w:r>
      <w:r>
        <w:rPr>
          <w:rFonts w:eastAsia="Times New Roman"/>
          <w:sz w:val="28"/>
          <w:szCs w:val="28"/>
        </w:rPr>
        <w:t xml:space="preserve">  </w:t>
      </w:r>
      <w:r>
        <w:rPr>
          <w:rFonts w:eastAsia="仿宋_GB2312;仿宋"/>
          <w:sz w:val="28"/>
          <w:szCs w:val="28"/>
        </w:rPr>
        <w:t>本办法适用于各支行、各部门。</w:t>
      </w:r>
    </w:p>
    <w:p>
      <w:pPr>
        <w:pStyle w:val="Normal"/>
        <w:shd w:fill="FFFFFF" w:val="clear"/>
        <w:overflowPunct w:val="false"/>
        <w:spacing w:lineRule="auto" w:line="360"/>
        <w:ind w:firstLine="560" w:right="0"/>
        <w:rPr/>
      </w:pPr>
      <w:r>
        <w:rPr>
          <w:rFonts w:eastAsia="仿宋_GB2312;仿宋"/>
          <w:sz w:val="28"/>
          <w:szCs w:val="28"/>
        </w:rPr>
        <w:t>第三条</w:t>
      </w:r>
      <w:r>
        <w:rPr>
          <w:rFonts w:eastAsia="Times New Roman"/>
          <w:sz w:val="28"/>
          <w:szCs w:val="28"/>
        </w:rPr>
        <w:t xml:space="preserve">  </w:t>
      </w:r>
      <w:r>
        <w:rPr>
          <w:rFonts w:eastAsia="仿宋_GB2312;仿宋"/>
          <w:sz w:val="28"/>
          <w:szCs w:val="28"/>
        </w:rPr>
        <w:t>本办法所称操作风险是指由不完善或有问题的内部程序、员工和信息科技系统，以及外部事件所造成损失的风险，包括法律风险，但不包括策略风险和声誉风险。操作风险管理是识别、评估、监测、控制及缓释、报告操作风险的全过程。</w:t>
      </w:r>
    </w:p>
    <w:p>
      <w:pPr>
        <w:pStyle w:val="Normal"/>
        <w:shd w:fill="FFFFFF" w:val="clear"/>
        <w:overflowPunct w:val="false"/>
        <w:spacing w:lineRule="auto" w:line="360"/>
        <w:ind w:firstLine="560" w:right="0"/>
        <w:rPr/>
      </w:pPr>
      <w:r>
        <w:rPr>
          <w:rFonts w:eastAsia="仿宋_GB2312;仿宋"/>
          <w:sz w:val="28"/>
          <w:szCs w:val="28"/>
        </w:rPr>
        <w:t>第四条</w:t>
      </w:r>
      <w:r>
        <w:rPr>
          <w:rFonts w:eastAsia="Times New Roman"/>
          <w:sz w:val="28"/>
          <w:szCs w:val="28"/>
        </w:rPr>
        <w:t xml:space="preserve">  </w:t>
      </w:r>
      <w:r>
        <w:rPr>
          <w:rFonts w:eastAsia="仿宋_GB2312;仿宋"/>
          <w:sz w:val="28"/>
          <w:szCs w:val="28"/>
        </w:rPr>
        <w:t>操作风险管理目标</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通过建立科学的操作风险管理组织架构和内部控制体系，划分明确的风险管理职责，制定有效的风险管理策略、程序和制度，确定操作风险偏好，使用适当的操作风险管理工具和方法，把操作风险的管理纳入到全面风险管理体系中，实现对操作风险的量化管理，最大程度减少操作风险事件，最大限度降低操作风险损失。</w:t>
      </w:r>
    </w:p>
    <w:p>
      <w:pPr>
        <w:pStyle w:val="Normal"/>
        <w:shd w:fill="FFFFFF" w:val="clear"/>
        <w:overflowPunct w:val="false"/>
        <w:spacing w:lineRule="auto" w:line="360"/>
        <w:ind w:firstLine="560" w:right="0"/>
        <w:rPr/>
      </w:pPr>
      <w:r>
        <w:rPr>
          <w:rFonts w:eastAsia="仿宋_GB2312;仿宋"/>
          <w:sz w:val="28"/>
          <w:szCs w:val="28"/>
        </w:rPr>
        <w:t>第五条</w:t>
      </w:r>
      <w:r>
        <w:rPr>
          <w:rFonts w:eastAsia="Times New Roman"/>
          <w:sz w:val="28"/>
          <w:szCs w:val="28"/>
        </w:rPr>
        <w:t xml:space="preserve">  </w:t>
      </w:r>
      <w:r>
        <w:rPr>
          <w:rFonts w:eastAsia="仿宋_GB2312;仿宋"/>
          <w:sz w:val="28"/>
          <w:szCs w:val="28"/>
        </w:rPr>
        <w:t>本行操作风险管理遵循以下原则：</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（一）全覆盖原则。本行操作风险管理要覆盖各项业务、产品和各个操作环节，覆盖所有部门、网点和岗位，并由全体员工执行。</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（二）制衡性原则。本行操作风险管理办法应符合本行董事会战略安排要求，按照内部控制的制衡模式，确保得到全面贯彻执行，任何人在任何岗位办理任何业务均受内部控制约束。</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三）审慎性原则。本行操作风险管理应当坚持风险为本、审慎经营的理念。开展经营活动时，尤其是涉及设立机构或开办新业务时，应坚持内控优先；在进行操作风险损失确认时，应审慎确认，客观、公允统计，准确计量损失金额。</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四）成本效益原则。本行操作风险管理要重点突出，做好关键指标监测、重大风险点的排查和识别，通过付出合理的成本将操作风险损失控制在本行经营所能承受的范围内，保证以合理的控制成本达到最佳的控制效果。</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（五）相匹配原则。本行操作风险管理要与具体业务的性质、规模、复杂程度和特点相适应，有效地识别、评估、监测、控制及缓释操作风险，并根据情况变化及时进行调整。</w:t>
      </w:r>
    </w:p>
    <w:p>
      <w:pPr>
        <w:pStyle w:val="Normal"/>
        <w:shd w:fill="FFFFFF" w:val="clear"/>
        <w:overflowPunct w:val="false"/>
        <w:spacing w:lineRule="auto" w:line="360"/>
        <w:ind w:firstLine="200" w:right="0"/>
        <w:jc w:val="center"/>
        <w:rPr/>
      </w:pPr>
      <w:r>
        <w:rPr>
          <w:rFonts w:eastAsia="仿宋_GB2312;仿宋"/>
          <w:b/>
          <w:sz w:val="28"/>
          <w:szCs w:val="28"/>
        </w:rPr>
        <w:t>第二章</w:t>
      </w:r>
      <w:r>
        <w:rPr>
          <w:rFonts w:eastAsia="Times New Roman"/>
          <w:b/>
          <w:sz w:val="28"/>
          <w:szCs w:val="28"/>
        </w:rPr>
        <w:t xml:space="preserve">  </w:t>
      </w:r>
      <w:r>
        <w:rPr>
          <w:rFonts w:eastAsia="仿宋_GB2312;仿宋"/>
          <w:b/>
          <w:sz w:val="28"/>
          <w:szCs w:val="28"/>
        </w:rPr>
        <w:t>操作风险管理架构</w:t>
      </w:r>
    </w:p>
    <w:p>
      <w:pPr>
        <w:pStyle w:val="Normal"/>
        <w:shd w:fill="FFFFFF" w:val="clear"/>
        <w:overflowPunct w:val="false"/>
        <w:spacing w:lineRule="auto" w:line="360"/>
        <w:ind w:firstLine="200" w:right="0"/>
        <w:jc w:val="center"/>
        <w:rPr>
          <w:rFonts w:eastAsia="仿宋_GB2312;仿宋"/>
          <w:sz w:val="28"/>
          <w:szCs w:val="28"/>
        </w:rPr>
      </w:pPr>
      <w:r>
        <w:rPr>
          <w:rFonts w:eastAsia="仿宋_GB2312;仿宋"/>
          <w:sz w:val="28"/>
          <w:szCs w:val="28"/>
        </w:rPr>
        <w:t>第一节操作风险管理组织架构</w:t>
      </w:r>
    </w:p>
    <w:p>
      <w:pPr>
        <w:pStyle w:val="Normal"/>
        <w:shd w:fill="FFFFFF" w:val="clear"/>
        <w:overflowPunct w:val="false"/>
        <w:spacing w:lineRule="auto" w:line="360"/>
        <w:ind w:firstLine="560" w:right="0"/>
        <w:rPr/>
      </w:pPr>
      <w:r>
        <w:rPr>
          <w:rFonts w:eastAsia="仿宋_GB2312;仿宋"/>
          <w:sz w:val="28"/>
          <w:szCs w:val="28"/>
        </w:rPr>
        <w:t>第六条</w:t>
      </w:r>
      <w:r>
        <w:rPr>
          <w:rFonts w:eastAsia="Times New Roman"/>
          <w:sz w:val="28"/>
          <w:szCs w:val="28"/>
        </w:rPr>
        <w:t xml:space="preserve">  </w:t>
      </w:r>
      <w:r>
        <w:rPr>
          <w:rFonts w:eastAsia="仿宋_GB2312;仿宋"/>
          <w:sz w:val="28"/>
          <w:szCs w:val="28"/>
        </w:rPr>
        <w:t>操作风险管理体系。本行应按照外部监管要求，持续改进和完善操作风险管理，建立与本行的业务性质、规模和复杂程度相适应的操作风险管理体系，有效地识别、评估、监测和控制及缓释操作风险。操作风险管理体系包括以下要素：</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（一）董事会的最终控制职责；</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（二）监事会的监督职责</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（三）高级管理层的职责；</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（四）适当的组织架构；</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（五）操作风险管理政策、方法和程序；</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（六）计提操作风险所需资本的规定。</w:t>
      </w:r>
    </w:p>
    <w:p>
      <w:pPr>
        <w:pStyle w:val="Normal"/>
        <w:shd w:fill="FFFFFF" w:val="clear"/>
        <w:overflowPunct w:val="false"/>
        <w:spacing w:lineRule="auto" w:line="360"/>
        <w:ind w:firstLine="560" w:right="0"/>
        <w:rPr/>
      </w:pPr>
      <w:r>
        <w:rPr>
          <w:rFonts w:eastAsia="仿宋_GB2312;仿宋"/>
          <w:sz w:val="28"/>
          <w:szCs w:val="28"/>
        </w:rPr>
        <w:t>第七条</w:t>
      </w:r>
      <w:r>
        <w:rPr>
          <w:rFonts w:eastAsia="Times New Roman"/>
          <w:sz w:val="28"/>
          <w:szCs w:val="28"/>
        </w:rPr>
        <w:t xml:space="preserve">  </w:t>
      </w:r>
      <w:r>
        <w:rPr>
          <w:rFonts w:eastAsia="仿宋_GB2312;仿宋"/>
          <w:sz w:val="28"/>
          <w:szCs w:val="28"/>
        </w:rPr>
        <w:t>操作风险管理组织架构。本行应建立与操作风险特点相适应的组织架构，包括董事会、监事会、高级管理层和相关职能部门，明确其在操作风险管理中的角色和职责边界，健全操作风险管理三道防线，并指定合规管理部门作为操作风险归口管理部门负责操作风险管理体系的建立和实施，并与业务条线管理部门（下称操作风险责任部门）应保持独立，确保全行范围内操作风险管理的一致性和有效性。</w:t>
      </w:r>
    </w:p>
    <w:p>
      <w:pPr>
        <w:pStyle w:val="Normal"/>
        <w:shd w:fill="FFFFFF" w:val="clear"/>
        <w:overflowPunct w:val="false"/>
        <w:spacing w:lineRule="auto" w:line="360"/>
        <w:ind w:firstLine="200" w:right="0"/>
        <w:jc w:val="center"/>
        <w:rPr>
          <w:rFonts w:eastAsia="仿宋_GB2312;仿宋"/>
          <w:sz w:val="28"/>
          <w:szCs w:val="28"/>
        </w:rPr>
      </w:pPr>
      <w:r>
        <w:rPr>
          <w:rFonts w:eastAsia="仿宋_GB2312;仿宋"/>
          <w:sz w:val="28"/>
          <w:szCs w:val="28"/>
        </w:rPr>
        <w:t>第二节操作风险管理职责</w:t>
      </w:r>
    </w:p>
    <w:p>
      <w:pPr>
        <w:pStyle w:val="Normal"/>
        <w:shd w:fill="FFFFFF" w:val="clear"/>
        <w:overflowPunct w:val="false"/>
        <w:spacing w:lineRule="auto" w:line="360"/>
        <w:ind w:firstLine="560" w:right="0"/>
        <w:rPr/>
      </w:pPr>
      <w:r>
        <w:rPr>
          <w:rFonts w:eastAsia="仿宋_GB2312;仿宋"/>
          <w:sz w:val="28"/>
          <w:szCs w:val="28"/>
        </w:rPr>
        <w:t>第八条</w:t>
      </w:r>
      <w:r>
        <w:rPr>
          <w:rFonts w:eastAsia="Times New Roman"/>
          <w:sz w:val="28"/>
          <w:szCs w:val="28"/>
        </w:rPr>
        <w:t xml:space="preserve">  </w:t>
      </w:r>
      <w:r>
        <w:rPr>
          <w:rFonts w:eastAsia="仿宋_GB2312;仿宋"/>
          <w:sz w:val="28"/>
          <w:szCs w:val="28"/>
        </w:rPr>
        <w:t>董事会对操作风险管理有效性负有最终职责。主要职责包括但不限于以下内容：</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（一）制定与本行战略目标相一致且适用于全行的操作风险管理战略、总体政策；</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（二）通过审批及检查高级管理层有关操作风险的职责、权限及报告制度，确保本行的操作风险管理决策体系的有效性，并尽可能地确保将本行从事的各项业务面临的操作风险控制在可以承受的范围内；</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（三）定期审阅高级管理层提交的操作风险报告，充分了解本行操作风险管理的总体情况、高级管理层处理重大操作风险事件的有效性以及监控和评价日常操作风险管理的有效性；</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（四）审批本行部门设置及职责分工方案，确保高级管理层采取必要的措施有效地识别、评估、监测和控制及缓释操作风险；</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（五）建立内审部门定期审查操作风险管理体系的机制，确保本行操作风险管理体系接受本行内审部门的有效审查与监督；</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（六）制定适当的奖惩制度，在全行范围有效地推动操作风险管理体系建设；</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（七）本行章程规定的其他职责。</w:t>
      </w:r>
    </w:p>
    <w:p>
      <w:pPr>
        <w:pStyle w:val="Normal"/>
        <w:shd w:fill="FFFFFF" w:val="clear"/>
        <w:overflowPunct w:val="false"/>
        <w:spacing w:lineRule="auto" w:line="360"/>
        <w:ind w:firstLine="560" w:right="0"/>
        <w:rPr/>
      </w:pPr>
      <w:r>
        <w:rPr>
          <w:rFonts w:eastAsia="仿宋_GB2312;仿宋"/>
          <w:sz w:val="28"/>
          <w:szCs w:val="28"/>
        </w:rPr>
        <w:t>董事会可以授权其下设的风险管理与关联交易委员会履行以上部分职能</w:t>
      </w:r>
      <w:r>
        <w:rPr>
          <w:rFonts w:eastAsia="仿宋_GB2312;仿宋"/>
          <w:sz w:val="28"/>
          <w:szCs w:val="28"/>
        </w:rPr>
        <w:t>,</w:t>
      </w:r>
      <w:r>
        <w:rPr>
          <w:rFonts w:eastAsia="仿宋_GB2312;仿宋"/>
          <w:sz w:val="28"/>
          <w:szCs w:val="28"/>
        </w:rPr>
        <w:t>风险管理与关联交易委员会应定期向董事会提交有关报告。</w:t>
      </w:r>
    </w:p>
    <w:p>
      <w:pPr>
        <w:pStyle w:val="Normal"/>
        <w:shd w:fill="FFFFFF" w:val="clear"/>
        <w:overflowPunct w:val="false"/>
        <w:spacing w:lineRule="auto" w:line="360"/>
        <w:ind w:firstLine="560" w:right="0"/>
        <w:rPr/>
      </w:pPr>
      <w:r>
        <w:rPr>
          <w:rFonts w:eastAsia="仿宋_GB2312;仿宋"/>
          <w:sz w:val="28"/>
          <w:szCs w:val="28"/>
        </w:rPr>
        <w:t>第九条</w:t>
      </w:r>
      <w:r>
        <w:rPr>
          <w:rFonts w:eastAsia="Times New Roman"/>
          <w:sz w:val="28"/>
          <w:szCs w:val="28"/>
        </w:rPr>
        <w:t xml:space="preserve">  </w:t>
      </w:r>
      <w:r>
        <w:rPr>
          <w:rFonts w:eastAsia="仿宋_GB2312;仿宋"/>
          <w:sz w:val="28"/>
          <w:szCs w:val="28"/>
        </w:rPr>
        <w:t>监事会对本行操作风险管理体系的建立和运行负有监督责任。主要职责包括但不限于以下内容：</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（一）对董事会及高级管理层在操作风险管理中的履职情况进行监督评价，每年至少一次在股东大会上报告董事会及高级管理层在操作风险管理中的履职情况；</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（二）揭示操作风险管理方面存在的问题，并向董事会和高级管理层提出整改意见；</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（三）对高级管理层执行操作风险管理战略、政策和操作风险管理工作进行检查监督；</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（四）对董事会和高级管理层就操作风险的有关问题进行咨询，并要求董事会成员、高级管理人员纠正其损害本行利益的行为；</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（五）本行章程规定的其他职责。</w:t>
      </w:r>
    </w:p>
    <w:p>
      <w:pPr>
        <w:pStyle w:val="Normal"/>
        <w:shd w:fill="FFFFFF" w:val="clear"/>
        <w:overflowPunct w:val="false"/>
        <w:spacing w:lineRule="auto" w:line="360"/>
        <w:ind w:firstLine="560" w:right="0"/>
        <w:rPr/>
      </w:pPr>
      <w:r>
        <w:rPr>
          <w:rFonts w:eastAsia="仿宋_GB2312;仿宋"/>
          <w:sz w:val="28"/>
          <w:szCs w:val="28"/>
        </w:rPr>
        <w:t>第十条</w:t>
      </w:r>
      <w:r>
        <w:rPr>
          <w:rFonts w:eastAsia="Times New Roman"/>
          <w:sz w:val="28"/>
          <w:szCs w:val="28"/>
        </w:rPr>
        <w:t xml:space="preserve">  </w:t>
      </w:r>
      <w:r>
        <w:rPr>
          <w:rFonts w:eastAsia="仿宋_GB2312;仿宋"/>
          <w:sz w:val="28"/>
          <w:szCs w:val="28"/>
        </w:rPr>
        <w:t>高级管理层负责执行董事会批准的操作风险管理战略、总体政策及体系，领导全行操作风险的具体管理工作。主要职责包括但不限于以下内容：</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（一）根据董事会制定的操作风险管理战略及总体政策，负责制定、定期审查和执行操作风险管理的政策、程序和具体的操作规程，并定期向董事会提交操作风险总体情况的报告，并接受监事会监督；</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（二）全面掌握本行操作风险管理的总体状况，特别是各项重大的操作风险事件或项目；</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（三）明确界定各职能部门的操作风险管理职责以及操作风险报告的路径、频率、内容，督促各部门切实履行操作风险管理职责，以保证操作风险管理体系的正常运行；</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（四）为操作风险管理配备适当的资源，包括但不限于提供必要的经费、设置必要的岗位、配备合格的人员、为操作风险管理人员提供培训、赋予操作风险管理人员履行职责所必需的权限等；</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（五）及时对操作风险管理体系进行检查和修订，有效地应对内部程序、产品、业务活动、信息科技系统、员工及外部事件和其他因素发生变化所造成的操作风险事件；</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（六）本行操作风险管理政策规定的其他职责。</w:t>
      </w:r>
    </w:p>
    <w:p>
      <w:pPr>
        <w:pStyle w:val="Normal"/>
        <w:shd w:fill="FFFFFF" w:val="clear"/>
        <w:overflowPunct w:val="false"/>
        <w:spacing w:lineRule="auto" w:line="360"/>
        <w:ind w:firstLine="560" w:right="0"/>
        <w:rPr/>
      </w:pPr>
      <w:r>
        <w:rPr>
          <w:rFonts w:eastAsia="仿宋_GB2312;仿宋"/>
          <w:sz w:val="28"/>
          <w:szCs w:val="28"/>
        </w:rPr>
        <w:t>第十一条</w:t>
      </w:r>
      <w:r>
        <w:rPr>
          <w:rFonts w:eastAsia="Times New Roman"/>
          <w:sz w:val="28"/>
          <w:szCs w:val="28"/>
        </w:rPr>
        <w:t xml:space="preserve">  </w:t>
      </w:r>
      <w:r>
        <w:rPr>
          <w:rFonts w:eastAsia="仿宋_GB2312;仿宋"/>
          <w:sz w:val="28"/>
          <w:szCs w:val="28"/>
        </w:rPr>
        <w:t>合规管理部门作为操作风险归口管理部门，负责全行操作风险管理体系的建立和实施，主要职责包括但不限于以下内容：</w:t>
      </w:r>
    </w:p>
    <w:p>
      <w:pPr>
        <w:pStyle w:val="Normal"/>
        <w:shd w:fill="FFFFFF" w:val="clear"/>
        <w:overflowPunct w:val="false"/>
        <w:spacing w:lineRule="auto" w:line="360"/>
        <w:ind w:firstLine="560" w:right="0"/>
        <w:rPr/>
      </w:pPr>
      <w:r>
        <w:rPr>
          <w:rFonts w:eastAsia="仿宋_GB2312;仿宋"/>
          <w:bCs/>
          <w:sz w:val="28"/>
          <w:szCs w:val="28"/>
        </w:rPr>
        <w:t>（一）</w:t>
      </w:r>
      <w:r>
        <w:rPr>
          <w:rFonts w:eastAsia="仿宋_GB2312;仿宋"/>
          <w:sz w:val="28"/>
          <w:szCs w:val="28"/>
        </w:rPr>
        <w:t>拟订本行操作风险管理政策、程序和具体的操作规程，提交董事会和高级管理层审批；</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（二）建立适用全行的操作风险基本控制标准，并指导和协调全行范围内的操作风险管理；</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（三）建立并组织实施操作风险识别、评估、缓释</w:t>
      </w:r>
      <w:r>
        <w:rPr>
          <w:rFonts w:eastAsia="仿宋_GB2312;仿宋"/>
          <w:sz w:val="28"/>
          <w:szCs w:val="28"/>
        </w:rPr>
        <w:t>(</w:t>
      </w:r>
      <w:r>
        <w:rPr>
          <w:rFonts w:eastAsia="仿宋_GB2312;仿宋"/>
          <w:sz w:val="28"/>
          <w:szCs w:val="28"/>
        </w:rPr>
        <w:t>包括内部控制措施</w:t>
      </w:r>
      <w:r>
        <w:rPr>
          <w:rFonts w:eastAsia="仿宋_GB2312;仿宋"/>
          <w:sz w:val="28"/>
          <w:szCs w:val="28"/>
        </w:rPr>
        <w:t>)</w:t>
      </w:r>
      <w:r>
        <w:rPr>
          <w:rFonts w:eastAsia="仿宋_GB2312;仿宋"/>
          <w:sz w:val="28"/>
          <w:szCs w:val="28"/>
        </w:rPr>
        <w:t>和监测方法以及操作风险报告程序；</w:t>
      </w:r>
    </w:p>
    <w:p>
      <w:pPr>
        <w:pStyle w:val="Normal"/>
        <w:shd w:fill="FFFFFF" w:val="clear"/>
        <w:overflowPunct w:val="false"/>
        <w:spacing w:lineRule="auto" w:line="360"/>
        <w:ind w:firstLine="560" w:right="0"/>
        <w:rPr/>
      </w:pPr>
      <w:r>
        <w:rPr>
          <w:rFonts w:eastAsia="仿宋_GB2312;仿宋"/>
          <w:sz w:val="28"/>
          <w:szCs w:val="28"/>
        </w:rPr>
        <w:t>（四）协助业务条线管理部门、分支机构识别、评估、监测、控制及缓释操作风险；</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（五）定期分析总结本行操作风险管理体系运作情况，推动操作风险管理工具在本行的实施，持续研究、改进和创新操作风险管理方法、技术和工具；</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（六）牵头建设操作风险管理系统；</w:t>
      </w:r>
    </w:p>
    <w:p>
      <w:pPr>
        <w:pStyle w:val="Normal"/>
        <w:shd w:fill="FFFFFF" w:val="clear"/>
        <w:overflowPunct w:val="false"/>
        <w:spacing w:lineRule="auto" w:line="360"/>
        <w:ind w:firstLine="560" w:right="0"/>
        <w:rPr/>
      </w:pPr>
      <w:r>
        <w:rPr>
          <w:rFonts w:eastAsia="仿宋_GB2312;仿宋"/>
          <w:sz w:val="28"/>
          <w:szCs w:val="28"/>
        </w:rPr>
        <w:t>（七）检查并分析业务条线管理部门的操作风险管理情况；</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（八）定期向风险管理部门、高级管理层提交操作风险管理评估分析报告，及时报告重大操作风险事件；</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（九）为各部门提供操作风险管理方面的培训</w:t>
      </w:r>
      <w:r>
        <w:rPr>
          <w:rFonts w:eastAsia="仿宋_GB2312;仿宋"/>
          <w:sz w:val="28"/>
          <w:szCs w:val="28"/>
        </w:rPr>
        <w:t>,</w:t>
      </w:r>
      <w:r>
        <w:rPr>
          <w:rFonts w:eastAsia="仿宋_GB2312;仿宋"/>
          <w:sz w:val="28"/>
          <w:szCs w:val="28"/>
        </w:rPr>
        <w:t>协助各部门提高操作风险管理水平、履行操作风险管理的各项职责；</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（十）确保操作风险制度和措施得到遵守。</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风险管理部门作为全面风险管理牵头部门，负责各类风险的统筹管理工作，操作风险管理主要职责包括但不限于以下内容：</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（一）协助合规管理部门拟订本行操作风险管理政策、程序和具体的操作流程；</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（二）对本行新产品、新业务的潜在风险（含操作风险）进行审核、评估；</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（三）检查并评估操作风险管理体系建设情况，确保操作风险管理纳入全面风险管理体系；</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（四）根据合规管理部门的报告分析本行面临的操作风险状况，评估操作风险管理政策、制度和流程的执行效果，持续提高操作风险管理的有效性。</w:t>
      </w:r>
    </w:p>
    <w:p>
      <w:pPr>
        <w:pStyle w:val="Normal"/>
        <w:shd w:fill="FFFFFF" w:val="clear"/>
        <w:overflowPunct w:val="false"/>
        <w:spacing w:lineRule="auto" w:line="360"/>
        <w:ind w:firstLine="560" w:right="0"/>
        <w:rPr/>
      </w:pPr>
      <w:r>
        <w:rPr>
          <w:rFonts w:eastAsia="仿宋_GB2312;仿宋"/>
          <w:sz w:val="28"/>
          <w:szCs w:val="28"/>
        </w:rPr>
        <w:t>第十二条</w:t>
      </w:r>
      <w:r>
        <w:rPr>
          <w:rFonts w:eastAsia="Times New Roman"/>
          <w:sz w:val="28"/>
          <w:szCs w:val="28"/>
        </w:rPr>
        <w:t xml:space="preserve">  </w:t>
      </w:r>
      <w:r>
        <w:rPr>
          <w:rFonts w:eastAsia="仿宋_GB2312;仿宋"/>
          <w:sz w:val="28"/>
          <w:szCs w:val="28"/>
        </w:rPr>
        <w:t>各业务条线管理部门作为操作风险责任部门，具体管理条线运行操作风险和本部门操作风险，对操作风险的管理情况负直接责任。主要职责包括但不限于以下内容：</w:t>
      </w:r>
    </w:p>
    <w:p>
      <w:pPr>
        <w:pStyle w:val="Normal"/>
        <w:shd w:fill="FFFFFF" w:val="clear"/>
        <w:overflowPunct w:val="false"/>
        <w:spacing w:lineRule="auto" w:line="360"/>
        <w:ind w:firstLine="560" w:right="0"/>
        <w:rPr/>
      </w:pPr>
      <w:r>
        <w:rPr>
          <w:rFonts w:eastAsia="仿宋_GB2312;仿宋"/>
          <w:sz w:val="28"/>
          <w:szCs w:val="28"/>
        </w:rPr>
        <w:t>（一）指定专人负责条线运行操作风险管理，其中包括遵守操作风险管理的政策、程序和具体的操作规程；</w:t>
      </w:r>
    </w:p>
    <w:p>
      <w:pPr>
        <w:pStyle w:val="Normal"/>
        <w:shd w:fill="FFFFFF" w:val="clear"/>
        <w:overflowPunct w:val="false"/>
        <w:spacing w:lineRule="auto" w:line="360"/>
        <w:ind w:firstLine="560" w:right="0"/>
        <w:rPr/>
      </w:pPr>
      <w:r>
        <w:rPr>
          <w:rFonts w:eastAsia="仿宋_GB2312;仿宋"/>
          <w:sz w:val="28"/>
          <w:szCs w:val="28"/>
        </w:rPr>
        <w:t>（二）根据本行统一的操作风险管理评估方法，识别、评估条线运行操作风险，建立持续、有效的操作风险监测、控制及缓释和报告等操作规程，并组织实施；</w:t>
      </w:r>
    </w:p>
    <w:p>
      <w:pPr>
        <w:pStyle w:val="Normal"/>
        <w:shd w:fill="FFFFFF" w:val="clear"/>
        <w:overflowPunct w:val="false"/>
        <w:spacing w:lineRule="auto" w:line="360"/>
        <w:ind w:firstLine="560" w:right="0"/>
        <w:rPr/>
      </w:pPr>
      <w:r>
        <w:rPr>
          <w:rFonts w:eastAsia="仿宋_GB2312;仿宋"/>
          <w:sz w:val="28"/>
          <w:szCs w:val="28"/>
        </w:rPr>
        <w:t>（三）在制定本部门或条线业务流程和相关业务政策时</w:t>
      </w:r>
      <w:r>
        <w:rPr>
          <w:rFonts w:eastAsia="仿宋_GB2312;仿宋"/>
          <w:sz w:val="28"/>
          <w:szCs w:val="28"/>
        </w:rPr>
        <w:t>,</w:t>
      </w:r>
      <w:r>
        <w:rPr>
          <w:rFonts w:eastAsia="仿宋_GB2312;仿宋"/>
          <w:sz w:val="28"/>
          <w:szCs w:val="28"/>
        </w:rPr>
        <w:t>充分考虑操作风险管理和内部控制的要求</w:t>
      </w:r>
      <w:r>
        <w:rPr>
          <w:rFonts w:eastAsia="仿宋_GB2312;仿宋"/>
          <w:sz w:val="28"/>
          <w:szCs w:val="28"/>
        </w:rPr>
        <w:t>,</w:t>
      </w:r>
      <w:r>
        <w:rPr>
          <w:rFonts w:eastAsia="仿宋_GB2312;仿宋"/>
          <w:sz w:val="28"/>
          <w:szCs w:val="28"/>
        </w:rPr>
        <w:t>应保证各级操作风险管理人员参与各项重要的程序、控制措施和政策的审批</w:t>
      </w:r>
      <w:r>
        <w:rPr>
          <w:rFonts w:eastAsia="仿宋_GB2312;仿宋"/>
          <w:sz w:val="28"/>
          <w:szCs w:val="28"/>
        </w:rPr>
        <w:t>,</w:t>
      </w:r>
      <w:r>
        <w:rPr>
          <w:rFonts w:eastAsia="仿宋_GB2312;仿宋"/>
          <w:sz w:val="28"/>
          <w:szCs w:val="28"/>
        </w:rPr>
        <w:t>以确保与操作风险管理总体政策的一致性；</w:t>
      </w:r>
    </w:p>
    <w:p>
      <w:pPr>
        <w:pStyle w:val="Normal"/>
        <w:shd w:fill="FFFFFF" w:val="clear"/>
        <w:overflowPunct w:val="false"/>
        <w:spacing w:lineRule="auto" w:line="360"/>
        <w:ind w:firstLine="560" w:right="0"/>
        <w:rPr/>
      </w:pPr>
      <w:r>
        <w:rPr>
          <w:rFonts w:eastAsia="仿宋_GB2312;仿宋"/>
          <w:sz w:val="28"/>
          <w:szCs w:val="28"/>
        </w:rPr>
        <w:t>（四）监测关键风险指标，定期检查并分析本部门或条线操作风险管理情况，并定期向操作风险归口管理部门报告本部门或条线操作风险管理的总体状况，并及时报告重大操作风险事件；</w:t>
      </w:r>
    </w:p>
    <w:p>
      <w:pPr>
        <w:pStyle w:val="Normal"/>
        <w:shd w:fill="FFFFFF" w:val="clear"/>
        <w:overflowPunct w:val="false"/>
        <w:spacing w:lineRule="auto" w:line="360"/>
        <w:ind w:firstLine="560" w:right="0"/>
        <w:rPr/>
      </w:pPr>
      <w:r>
        <w:rPr>
          <w:rFonts w:eastAsia="仿宋_GB2312;仿宋"/>
          <w:sz w:val="28"/>
          <w:szCs w:val="28"/>
        </w:rPr>
        <w:t>（五）根据实际情况制定本条线业务连续性计划或灾难恢复计划，定期测试和演练，保证持续经营；</w:t>
      </w:r>
    </w:p>
    <w:p>
      <w:pPr>
        <w:pStyle w:val="Normal"/>
        <w:shd w:fill="FFFFFF" w:val="clear"/>
        <w:overflowPunct w:val="false"/>
        <w:spacing w:lineRule="auto" w:line="360"/>
        <w:ind w:firstLine="560" w:right="0"/>
        <w:rPr/>
      </w:pPr>
      <w:r>
        <w:rPr>
          <w:rFonts w:eastAsia="仿宋_GB2312;仿宋"/>
          <w:sz w:val="28"/>
          <w:szCs w:val="28"/>
        </w:rPr>
        <w:t>（六）负责范围内条线运行操作风险进行持续、有效的监测和控制，确保操作风险政策、制度和措施得到遵守；</w:t>
      </w:r>
    </w:p>
    <w:p>
      <w:pPr>
        <w:pStyle w:val="Normal"/>
        <w:shd w:fill="FFFFFF" w:val="clear"/>
        <w:overflowPunct w:val="false"/>
        <w:spacing w:lineRule="auto" w:line="360"/>
        <w:ind w:firstLine="560" w:right="0"/>
        <w:rPr/>
      </w:pPr>
      <w:r>
        <w:rPr>
          <w:rFonts w:eastAsia="仿宋_GB2312;仿宋"/>
          <w:sz w:val="28"/>
          <w:szCs w:val="28"/>
        </w:rPr>
        <w:t>（七）负责本部门或条线操作规程和风险防控管理培训，履行本部门或条线在操作风险管理中的各项职责。</w:t>
      </w:r>
    </w:p>
    <w:p>
      <w:pPr>
        <w:pStyle w:val="Normal"/>
        <w:shd w:fill="FFFFFF" w:val="clear"/>
        <w:overflowPunct w:val="false"/>
        <w:spacing w:lineRule="auto" w:line="360"/>
        <w:ind w:firstLine="560" w:right="0"/>
        <w:rPr/>
      </w:pPr>
      <w:r>
        <w:rPr>
          <w:rFonts w:eastAsia="仿宋_GB2312;仿宋"/>
          <w:sz w:val="28"/>
          <w:szCs w:val="28"/>
        </w:rPr>
        <w:t>第十三条</w:t>
      </w:r>
      <w:r>
        <w:rPr>
          <w:rFonts w:eastAsia="Times New Roman"/>
          <w:sz w:val="28"/>
          <w:szCs w:val="28"/>
        </w:rPr>
        <w:t xml:space="preserve">  </w:t>
      </w:r>
      <w:r>
        <w:rPr>
          <w:rFonts w:eastAsia="仿宋_GB2312;仿宋"/>
          <w:sz w:val="28"/>
          <w:szCs w:val="28"/>
        </w:rPr>
        <w:t>分支机构在操作风险管理中的职责包括但不限于以下内容：</w:t>
      </w:r>
    </w:p>
    <w:p>
      <w:pPr>
        <w:pStyle w:val="Normal"/>
        <w:shd w:fill="FFFFFF" w:val="clear"/>
        <w:overflowPunct w:val="false"/>
        <w:spacing w:lineRule="auto" w:line="360"/>
        <w:ind w:firstLine="560" w:right="0"/>
        <w:rPr/>
      </w:pPr>
      <w:r>
        <w:rPr>
          <w:rFonts w:eastAsia="仿宋_GB2312;仿宋"/>
          <w:sz w:val="28"/>
          <w:szCs w:val="28"/>
        </w:rPr>
        <w:t>（一）负责行内各项业务操作风险管理，确保总行操作风险管理政策以及各条线的制度得到严格贯彻执行；</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（二）汇总损失数据并向合规管理部门报告；</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（三）对合规管理部门或操作风险责任部门识别、监测到的风险进行整改、处置，并将处置结果反馈至合规管理部门或操作风险责任部门。</w:t>
      </w:r>
    </w:p>
    <w:p>
      <w:pPr>
        <w:pStyle w:val="Normal"/>
        <w:shd w:fill="FFFFFF" w:val="clear"/>
        <w:overflowPunct w:val="false"/>
        <w:spacing w:lineRule="auto" w:line="360"/>
        <w:ind w:firstLine="560" w:right="0"/>
        <w:rPr/>
      </w:pPr>
      <w:r>
        <w:rPr>
          <w:rFonts w:eastAsia="仿宋_GB2312;仿宋"/>
          <w:sz w:val="28"/>
          <w:szCs w:val="28"/>
        </w:rPr>
        <w:t>第十四条</w:t>
      </w:r>
      <w:r>
        <w:rPr>
          <w:rFonts w:eastAsia="Times New Roman"/>
          <w:sz w:val="28"/>
          <w:szCs w:val="28"/>
        </w:rPr>
        <w:t xml:space="preserve">  </w:t>
      </w:r>
      <w:r>
        <w:rPr>
          <w:rFonts w:eastAsia="仿宋_GB2312;仿宋"/>
          <w:sz w:val="28"/>
          <w:szCs w:val="28"/>
        </w:rPr>
        <w:t>操作风险责任部门和各分支机构为操作风险管理第一道防线。操作风险责任部门主要负责人是本条线、本部门操作风险管理的主要责任人</w:t>
      </w:r>
      <w:r>
        <w:rPr>
          <w:rFonts w:eastAsia="仿宋_GB2312;仿宋"/>
          <w:sz w:val="28"/>
          <w:szCs w:val="28"/>
        </w:rPr>
        <w:t>，</w:t>
      </w:r>
      <w:r>
        <w:rPr>
          <w:rFonts w:eastAsia="仿宋_GB2312;仿宋"/>
          <w:sz w:val="28"/>
          <w:szCs w:val="28"/>
        </w:rPr>
        <w:t>对本条线、本部门的操作风险负有管理责任</w:t>
      </w:r>
      <w:r>
        <w:rPr>
          <w:rFonts w:eastAsia="仿宋_GB2312;仿宋"/>
          <w:sz w:val="28"/>
          <w:szCs w:val="28"/>
        </w:rPr>
        <w:t>；</w:t>
      </w:r>
      <w:r>
        <w:rPr>
          <w:rFonts w:eastAsia="仿宋_GB2312;仿宋"/>
          <w:sz w:val="28"/>
          <w:szCs w:val="28"/>
        </w:rPr>
        <w:t>分支机构负责本分支机构的操作风险管理，分支机构负责人是分支机构操作风险管理第一责任人</w:t>
      </w:r>
      <w:r>
        <w:rPr>
          <w:rFonts w:eastAsia="仿宋_GB2312;仿宋"/>
          <w:sz w:val="28"/>
          <w:szCs w:val="28"/>
        </w:rPr>
        <w:t>，</w:t>
      </w:r>
      <w:r>
        <w:rPr>
          <w:rFonts w:eastAsia="仿宋_GB2312;仿宋"/>
          <w:sz w:val="28"/>
          <w:szCs w:val="28"/>
        </w:rPr>
        <w:t>对分支机构的操作风险负有管理责任</w:t>
      </w:r>
      <w:r>
        <w:rPr>
          <w:rFonts w:eastAsia="仿宋_GB2312;仿宋"/>
          <w:sz w:val="28"/>
          <w:szCs w:val="28"/>
        </w:rPr>
        <w:t>；</w:t>
      </w:r>
      <w:r>
        <w:rPr>
          <w:rFonts w:eastAsia="仿宋_GB2312;仿宋"/>
          <w:sz w:val="28"/>
          <w:szCs w:val="28"/>
        </w:rPr>
        <w:t>各岗位员工作为本职岗位操作风险的直接管理者</w:t>
      </w:r>
      <w:r>
        <w:rPr>
          <w:rFonts w:eastAsia="仿宋_GB2312;仿宋"/>
          <w:sz w:val="28"/>
          <w:szCs w:val="28"/>
        </w:rPr>
        <w:t>,</w:t>
      </w:r>
      <w:r>
        <w:rPr>
          <w:rFonts w:eastAsia="仿宋_GB2312;仿宋"/>
          <w:sz w:val="28"/>
          <w:szCs w:val="28"/>
        </w:rPr>
        <w:t>对本职岗位的操作风险负直接责任。</w:t>
      </w:r>
    </w:p>
    <w:p>
      <w:pPr>
        <w:pStyle w:val="Normal"/>
        <w:shd w:fill="FFFFFF" w:val="clear"/>
        <w:overflowPunct w:val="false"/>
        <w:spacing w:lineRule="auto" w:line="360"/>
        <w:ind w:firstLine="560" w:right="0"/>
        <w:rPr/>
      </w:pPr>
      <w:r>
        <w:rPr>
          <w:rFonts w:eastAsia="仿宋_GB2312;仿宋"/>
          <w:sz w:val="28"/>
          <w:szCs w:val="28"/>
        </w:rPr>
        <w:t>第十五条</w:t>
      </w:r>
      <w:r>
        <w:rPr>
          <w:rFonts w:eastAsia="Times New Roman"/>
          <w:sz w:val="28"/>
          <w:szCs w:val="28"/>
        </w:rPr>
        <w:t xml:space="preserve">  </w:t>
      </w:r>
      <w:r>
        <w:rPr>
          <w:rFonts w:eastAsia="仿宋_GB2312;仿宋"/>
          <w:sz w:val="28"/>
          <w:szCs w:val="28"/>
        </w:rPr>
        <w:t>信息科技、安全保卫、人力资源等管理部门在管理好本部门操作风险的同时，在涉及其职责分工及专业特长的范围内应为其他部门管理操作风险提供相关资源和支持。</w:t>
      </w:r>
    </w:p>
    <w:p>
      <w:pPr>
        <w:pStyle w:val="Normal"/>
        <w:shd w:fill="FFFFFF" w:val="clear"/>
        <w:overflowPunct w:val="false"/>
        <w:spacing w:lineRule="auto" w:line="360"/>
        <w:ind w:firstLine="560" w:right="0"/>
        <w:rPr/>
      </w:pPr>
      <w:r>
        <w:rPr>
          <w:rFonts w:eastAsia="仿宋_GB2312;仿宋"/>
          <w:sz w:val="28"/>
          <w:szCs w:val="28"/>
        </w:rPr>
        <w:t>第十六条</w:t>
      </w:r>
      <w:r>
        <w:rPr>
          <w:rFonts w:eastAsia="Times New Roman"/>
          <w:sz w:val="28"/>
          <w:szCs w:val="28"/>
        </w:rPr>
        <w:t xml:space="preserve">  </w:t>
      </w:r>
      <w:r>
        <w:rPr>
          <w:rFonts w:eastAsia="仿宋_GB2312;仿宋"/>
          <w:sz w:val="28"/>
          <w:szCs w:val="28"/>
        </w:rPr>
        <w:t>审计部门为操作风险管理第三道防线。审计部门不直接负责或参与操作风险归口管理部门、操作风险责任部门和分支机构的操作风险管理，但应定期检查评估全行的操作风险管理体系运作情况，监督操作风险管理政策的执行情况，对新制定的操作风险管理政策、程序和具体的操作规程进行独立评估，并向董事会报告操作风险管理体系运行效果的评估情况。</w:t>
      </w:r>
    </w:p>
    <w:p>
      <w:pPr>
        <w:pStyle w:val="Normal"/>
        <w:shd w:fill="FFFFFF" w:val="clear"/>
        <w:overflowPunct w:val="false"/>
        <w:spacing w:lineRule="auto" w:line="360" w:before="156" w:after="0"/>
        <w:ind w:firstLine="198" w:right="0"/>
        <w:jc w:val="center"/>
        <w:rPr/>
      </w:pPr>
      <w:r>
        <w:rPr>
          <w:rFonts w:eastAsia="仿宋_GB2312;仿宋"/>
          <w:b/>
          <w:sz w:val="28"/>
          <w:szCs w:val="28"/>
        </w:rPr>
        <w:t>第三章</w:t>
      </w:r>
      <w:r>
        <w:rPr>
          <w:rFonts w:eastAsia="Times New Roman"/>
          <w:b/>
          <w:sz w:val="28"/>
          <w:szCs w:val="28"/>
        </w:rPr>
        <w:t xml:space="preserve">  </w:t>
      </w:r>
      <w:r>
        <w:rPr>
          <w:rFonts w:eastAsia="仿宋_GB2312;仿宋"/>
          <w:b/>
          <w:sz w:val="28"/>
          <w:szCs w:val="28"/>
        </w:rPr>
        <w:t>操作风险管理程序</w:t>
      </w:r>
    </w:p>
    <w:p>
      <w:pPr>
        <w:pStyle w:val="Normal"/>
        <w:shd w:fill="FFFFFF" w:val="clear"/>
        <w:overflowPunct w:val="false"/>
        <w:spacing w:lineRule="auto" w:line="360"/>
        <w:ind w:firstLine="200" w:right="0"/>
        <w:jc w:val="center"/>
        <w:rPr>
          <w:rFonts w:eastAsia="仿宋_GB2312;仿宋"/>
          <w:sz w:val="28"/>
          <w:szCs w:val="28"/>
        </w:rPr>
      </w:pPr>
      <w:r>
        <w:rPr>
          <w:rFonts w:eastAsia="仿宋_GB2312;仿宋"/>
          <w:sz w:val="28"/>
          <w:szCs w:val="28"/>
        </w:rPr>
        <w:t>第一节一般规定</w:t>
      </w:r>
    </w:p>
    <w:p>
      <w:pPr>
        <w:pStyle w:val="Normal"/>
        <w:shd w:fill="FFFFFF" w:val="clear"/>
        <w:overflowPunct w:val="false"/>
        <w:spacing w:lineRule="auto" w:line="360"/>
        <w:ind w:firstLine="560" w:right="0"/>
        <w:rPr/>
      </w:pPr>
      <w:r>
        <w:rPr>
          <w:rFonts w:eastAsia="仿宋_GB2312;仿宋"/>
          <w:sz w:val="28"/>
          <w:szCs w:val="28"/>
        </w:rPr>
        <w:t>第十七条</w:t>
      </w:r>
      <w:r>
        <w:rPr>
          <w:rFonts w:eastAsia="Times New Roman"/>
          <w:sz w:val="28"/>
          <w:szCs w:val="28"/>
        </w:rPr>
        <w:t xml:space="preserve">  </w:t>
      </w:r>
      <w:r>
        <w:rPr>
          <w:rFonts w:eastAsia="仿宋_GB2312;仿宋"/>
          <w:sz w:val="28"/>
          <w:szCs w:val="28"/>
        </w:rPr>
        <w:t>本行操作风险管理应依据操作风险的识别、评估、监测、统计、控制及缓释等流程，设置和完善操作风险管理程序。</w:t>
      </w:r>
    </w:p>
    <w:p>
      <w:pPr>
        <w:pStyle w:val="Normal"/>
        <w:shd w:fill="FFFFFF" w:val="clear"/>
        <w:overflowPunct w:val="false"/>
        <w:spacing w:lineRule="auto" w:line="360"/>
        <w:ind w:firstLine="560" w:right="0"/>
        <w:rPr/>
      </w:pPr>
      <w:r>
        <w:rPr>
          <w:rFonts w:eastAsia="仿宋_GB2312;仿宋"/>
          <w:sz w:val="28"/>
          <w:szCs w:val="28"/>
        </w:rPr>
        <w:t>第十八条</w:t>
      </w:r>
      <w:r>
        <w:rPr>
          <w:rFonts w:eastAsia="Times New Roman"/>
          <w:sz w:val="28"/>
          <w:szCs w:val="28"/>
        </w:rPr>
        <w:t xml:space="preserve">  </w:t>
      </w:r>
      <w:r>
        <w:rPr>
          <w:rFonts w:eastAsia="仿宋_GB2312;仿宋"/>
          <w:sz w:val="28"/>
          <w:szCs w:val="28"/>
        </w:rPr>
        <w:t>本行应制定有效的程序，定期监测并报告操作风险状况和重大损失情况。针对潜在损失不断增大的风险，建立操作风险预警机制，及时采取措施控制，降低风险和损失事件的发生频率及损失程度。</w:t>
      </w:r>
    </w:p>
    <w:p>
      <w:pPr>
        <w:pStyle w:val="Normal"/>
        <w:shd w:fill="FFFFFF" w:val="clear"/>
        <w:overflowPunct w:val="false"/>
        <w:spacing w:lineRule="auto" w:line="360"/>
        <w:ind w:firstLine="200" w:right="0"/>
        <w:jc w:val="center"/>
        <w:rPr>
          <w:rFonts w:eastAsia="仿宋_GB2312;仿宋"/>
          <w:sz w:val="28"/>
          <w:szCs w:val="28"/>
        </w:rPr>
      </w:pPr>
      <w:r>
        <w:rPr>
          <w:rFonts w:eastAsia="仿宋_GB2312;仿宋"/>
          <w:sz w:val="28"/>
          <w:szCs w:val="28"/>
        </w:rPr>
        <w:t>第二节操作风险的识别与评估</w:t>
      </w:r>
    </w:p>
    <w:p>
      <w:pPr>
        <w:pStyle w:val="Normal"/>
        <w:shd w:fill="FFFFFF" w:val="clear"/>
        <w:overflowPunct w:val="false"/>
        <w:spacing w:lineRule="auto" w:line="360"/>
        <w:ind w:firstLine="560" w:right="0"/>
        <w:rPr/>
      </w:pPr>
      <w:r>
        <w:rPr>
          <w:rFonts w:eastAsia="仿宋_GB2312;仿宋"/>
          <w:sz w:val="28"/>
          <w:szCs w:val="28"/>
        </w:rPr>
        <w:t>第十九条</w:t>
      </w:r>
      <w:r>
        <w:rPr>
          <w:rFonts w:eastAsia="Times New Roman"/>
          <w:sz w:val="28"/>
          <w:szCs w:val="28"/>
        </w:rPr>
        <w:t xml:space="preserve">  </w:t>
      </w:r>
      <w:r>
        <w:rPr>
          <w:rFonts w:eastAsia="仿宋_GB2312;仿宋"/>
          <w:sz w:val="28"/>
          <w:szCs w:val="28"/>
        </w:rPr>
        <w:t>操作风险识别与评估包含识别、分析和评估。</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操作风险识别是指识别经营管理活动及业务、管理流程中是否存在风险及存在何种风险。操作风险分析是指对识别出的风险进行分析，判断风险发生的可能性及风险发生的条件。操作风险评估是指评估风险可能产生损失的大小及对银行实现经营管理目标的影响程度和是否可接受或接受的程度。</w:t>
      </w:r>
    </w:p>
    <w:p>
      <w:pPr>
        <w:pStyle w:val="Normal"/>
        <w:shd w:fill="FFFFFF" w:val="clear"/>
        <w:overflowPunct w:val="false"/>
        <w:spacing w:lineRule="auto" w:line="360"/>
        <w:ind w:firstLine="560" w:right="0"/>
        <w:rPr/>
      </w:pPr>
      <w:r>
        <w:rPr>
          <w:rFonts w:eastAsia="仿宋_GB2312;仿宋"/>
          <w:sz w:val="28"/>
          <w:szCs w:val="28"/>
        </w:rPr>
        <w:t>第二十条</w:t>
      </w:r>
      <w:r>
        <w:rPr>
          <w:rFonts w:eastAsia="Times New Roman"/>
          <w:sz w:val="28"/>
          <w:szCs w:val="28"/>
        </w:rPr>
        <w:t xml:space="preserve">  </w:t>
      </w:r>
      <w:r>
        <w:rPr>
          <w:rFonts w:eastAsia="仿宋_GB2312;仿宋"/>
          <w:sz w:val="28"/>
          <w:szCs w:val="28"/>
        </w:rPr>
        <w:t>本行根据自身特点，设定操作风险识别与评估模型。在日常操作风险管理中，收集审计、业务排查、监测报告等各类方式和渠道反馈的信息和相关数据，对各级模型进行整理、更新和维护。</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1.</w:t>
      </w:r>
      <w:r>
        <w:rPr>
          <w:rFonts w:eastAsia="仿宋_GB2312;仿宋"/>
          <w:sz w:val="28"/>
          <w:szCs w:val="28"/>
        </w:rPr>
        <w:t>损失事件模型。对所有可能的损失事件类型进行识别和分类。</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2.</w:t>
      </w:r>
      <w:r>
        <w:rPr>
          <w:rFonts w:eastAsia="仿宋_GB2312;仿宋"/>
          <w:sz w:val="28"/>
          <w:szCs w:val="28"/>
        </w:rPr>
        <w:t>组织模型。对组织维度进行识别、分析和定义。</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3.</w:t>
      </w:r>
      <w:r>
        <w:rPr>
          <w:rFonts w:eastAsia="仿宋_GB2312;仿宋"/>
          <w:sz w:val="28"/>
          <w:szCs w:val="28"/>
        </w:rPr>
        <w:t>风险因素模型。对导致损失事件的所有可能原因、因素进行识别和分类。</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4.</w:t>
      </w:r>
      <w:r>
        <w:rPr>
          <w:rFonts w:eastAsia="仿宋_GB2312;仿宋"/>
          <w:sz w:val="28"/>
          <w:szCs w:val="28"/>
        </w:rPr>
        <w:t>指标模型。对支持合理的主观估计的信息和指标进行识别。</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5.</w:t>
      </w:r>
      <w:r>
        <w:rPr>
          <w:rFonts w:eastAsia="仿宋_GB2312;仿宋"/>
          <w:sz w:val="28"/>
          <w:szCs w:val="28"/>
        </w:rPr>
        <w:t>影响模型。对一个事件的所有可能影响进行识别和分类。</w:t>
      </w:r>
    </w:p>
    <w:p>
      <w:pPr>
        <w:pStyle w:val="Normal"/>
        <w:shd w:fill="FFFFFF" w:val="clear"/>
        <w:overflowPunct w:val="false"/>
        <w:spacing w:lineRule="auto" w:line="360"/>
        <w:ind w:firstLine="560" w:right="0"/>
        <w:rPr/>
      </w:pPr>
      <w:r>
        <w:rPr>
          <w:rFonts w:eastAsia="仿宋_GB2312;仿宋"/>
          <w:sz w:val="28"/>
          <w:szCs w:val="28"/>
        </w:rPr>
        <w:t>第二十一条</w:t>
      </w:r>
      <w:r>
        <w:rPr>
          <w:rFonts w:eastAsia="Times New Roman"/>
          <w:sz w:val="28"/>
          <w:szCs w:val="28"/>
        </w:rPr>
        <w:t xml:space="preserve">  </w:t>
      </w:r>
      <w:r>
        <w:rPr>
          <w:rFonts w:eastAsia="仿宋_GB2312;仿宋"/>
          <w:sz w:val="28"/>
          <w:szCs w:val="28"/>
        </w:rPr>
        <w:t>识别与评估流程</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操作风险识别与评估流程包括：</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（一）前提与准备</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1.</w:t>
      </w:r>
      <w:r>
        <w:rPr>
          <w:rFonts w:eastAsia="仿宋_GB2312;仿宋"/>
          <w:sz w:val="28"/>
          <w:szCs w:val="28"/>
        </w:rPr>
        <w:t>制度先行：从制度上规范风险管理内容，形成制度体系。</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2.</w:t>
      </w:r>
      <w:r>
        <w:rPr>
          <w:rFonts w:eastAsia="仿宋_GB2312;仿宋"/>
          <w:sz w:val="28"/>
          <w:szCs w:val="28"/>
        </w:rPr>
        <w:t>流程梳理为媒介：风险识别评估与业务操作、流程进行结合。</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3.</w:t>
      </w:r>
      <w:r>
        <w:rPr>
          <w:rFonts w:eastAsia="仿宋_GB2312;仿宋"/>
          <w:sz w:val="28"/>
          <w:szCs w:val="28"/>
        </w:rPr>
        <w:t>风险分类为基础：多层次、多角度识别风险点。</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4.</w:t>
      </w:r>
      <w:r>
        <w:rPr>
          <w:rFonts w:eastAsia="仿宋_GB2312;仿宋"/>
          <w:sz w:val="28"/>
          <w:szCs w:val="28"/>
        </w:rPr>
        <w:t>方法为手段：完善的风险识别评估方法。</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（二）计划与组织</w:t>
      </w:r>
    </w:p>
    <w:p>
      <w:pPr>
        <w:pStyle w:val="Normal"/>
        <w:shd w:fill="FFFFFF" w:val="clear"/>
        <w:overflowPunct w:val="false"/>
        <w:spacing w:lineRule="auto" w:line="360"/>
        <w:ind w:firstLine="560" w:right="0"/>
        <w:rPr/>
      </w:pPr>
      <w:r>
        <w:rPr>
          <w:rFonts w:eastAsia="仿宋_GB2312;仿宋"/>
          <w:sz w:val="28"/>
          <w:szCs w:val="28"/>
        </w:rPr>
        <w:t>1.</w:t>
      </w:r>
      <w:r>
        <w:rPr>
          <w:rFonts w:eastAsia="仿宋_GB2312;仿宋"/>
          <w:sz w:val="28"/>
          <w:szCs w:val="28"/>
        </w:rPr>
        <w:t>操作风险责任部门制定条线具体实施计划，形成计划书，明确范围、目标、人员安排和职责分工等，并向合规管理部门报备。</w:t>
      </w:r>
    </w:p>
    <w:p>
      <w:pPr>
        <w:pStyle w:val="Normal"/>
        <w:shd w:fill="FFFFFF" w:val="clear"/>
        <w:overflowPunct w:val="false"/>
        <w:spacing w:lineRule="auto" w:line="360"/>
        <w:ind w:firstLine="560" w:right="0"/>
        <w:rPr/>
      </w:pPr>
      <w:r>
        <w:rPr>
          <w:rFonts w:eastAsia="仿宋_GB2312;仿宋"/>
          <w:sz w:val="28"/>
          <w:szCs w:val="28"/>
        </w:rPr>
        <w:t>2.</w:t>
      </w:r>
      <w:r>
        <w:rPr>
          <w:rFonts w:eastAsia="仿宋_GB2312;仿宋"/>
          <w:sz w:val="28"/>
          <w:szCs w:val="28"/>
        </w:rPr>
        <w:t>合规管理部门牵头业务条线管理部门对相关人员进行培训，明确识别与评估程序及方法等。</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（三）具体措施</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1.</w:t>
      </w:r>
      <w:r>
        <w:rPr>
          <w:rFonts w:eastAsia="仿宋_GB2312;仿宋"/>
          <w:sz w:val="28"/>
          <w:szCs w:val="28"/>
        </w:rPr>
        <w:t>从固有风险和剩余风险两方面进行评估；</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2.</w:t>
      </w:r>
      <w:r>
        <w:rPr>
          <w:rFonts w:eastAsia="仿宋_GB2312;仿宋"/>
          <w:sz w:val="28"/>
          <w:szCs w:val="28"/>
        </w:rPr>
        <w:t>从风险发生可能性和影响程度两个维度分析；</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3.</w:t>
      </w:r>
      <w:r>
        <w:rPr>
          <w:rFonts w:eastAsia="仿宋_GB2312;仿宋"/>
          <w:sz w:val="28"/>
          <w:szCs w:val="28"/>
        </w:rPr>
        <w:t>通过相关矩阵，对风险级别进行认定，形成风险图谱等识别评估结果；</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4.</w:t>
      </w:r>
      <w:r>
        <w:rPr>
          <w:rFonts w:eastAsia="仿宋_GB2312;仿宋"/>
          <w:sz w:val="28"/>
          <w:szCs w:val="28"/>
        </w:rPr>
        <w:t>不同性质风险选择不同的风险评估方法进行评估。</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（四）风险应对</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1.</w:t>
      </w:r>
      <w:r>
        <w:rPr>
          <w:rFonts w:eastAsia="仿宋_GB2312;仿宋"/>
          <w:sz w:val="28"/>
          <w:szCs w:val="28"/>
        </w:rPr>
        <w:t>操作风险责任部门依据识别评估结果制定风险应对方案，如持续改进或制定改进计划。</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2.</w:t>
      </w:r>
      <w:r>
        <w:rPr>
          <w:rFonts w:eastAsia="仿宋_GB2312;仿宋"/>
          <w:sz w:val="28"/>
          <w:szCs w:val="28"/>
        </w:rPr>
        <w:t>合规管理部门针对风险方案提出相关建议。</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3.</w:t>
      </w:r>
      <w:r>
        <w:rPr>
          <w:rFonts w:eastAsia="仿宋_GB2312;仿宋"/>
          <w:sz w:val="28"/>
          <w:szCs w:val="28"/>
        </w:rPr>
        <w:t>应根据确定的风险应对方案，对识别评估结果进行持续跟踪和落实。</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（五）报告及成果固化</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1.</w:t>
      </w:r>
      <w:r>
        <w:rPr>
          <w:rFonts w:eastAsia="仿宋_GB2312;仿宋"/>
          <w:sz w:val="28"/>
          <w:szCs w:val="28"/>
        </w:rPr>
        <w:t>操作风险责任部门形成风险相关报告、表格，上报合规管理部门；</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2.</w:t>
      </w:r>
      <w:r>
        <w:rPr>
          <w:rFonts w:eastAsia="仿宋_GB2312;仿宋"/>
          <w:sz w:val="28"/>
          <w:szCs w:val="28"/>
        </w:rPr>
        <w:t>合规管理部门对相关报告、表格、数据等资料进行审阅和汇总，提交高级管理层、董事会审阅；</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3.</w:t>
      </w:r>
      <w:r>
        <w:rPr>
          <w:rFonts w:eastAsia="仿宋_GB2312;仿宋"/>
          <w:sz w:val="28"/>
          <w:szCs w:val="28"/>
        </w:rPr>
        <w:t>合规管理部门与操作风险责任部门共同确定关键风险指标、风险责任体系等。</w:t>
      </w:r>
    </w:p>
    <w:p>
      <w:pPr>
        <w:pStyle w:val="Normal"/>
        <w:shd w:fill="FFFFFF" w:val="clear"/>
        <w:overflowPunct w:val="false"/>
        <w:spacing w:lineRule="auto" w:line="360"/>
        <w:ind w:firstLine="560" w:right="0"/>
        <w:rPr/>
      </w:pPr>
      <w:r>
        <w:rPr>
          <w:rFonts w:eastAsia="仿宋_GB2312;仿宋"/>
          <w:sz w:val="28"/>
          <w:szCs w:val="28"/>
        </w:rPr>
        <w:t>第二十二条</w:t>
      </w:r>
      <w:r>
        <w:rPr>
          <w:rFonts w:eastAsia="Times New Roman"/>
          <w:sz w:val="28"/>
          <w:szCs w:val="28"/>
        </w:rPr>
        <w:t xml:space="preserve">  </w:t>
      </w:r>
      <w:r>
        <w:rPr>
          <w:rFonts w:eastAsia="仿宋_GB2312;仿宋"/>
          <w:sz w:val="28"/>
          <w:szCs w:val="28"/>
        </w:rPr>
        <w:t>操作风险识别与评估应具有前瞻性，并应识别评估出各业务管理流程存在的主要操作风险事件、风险因素、影响类型、控制措施等，为操作风险监测、控制及缓释等提供基础。</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操作风险的识别与评估可采用风险控制自我评估、风险对应关系、操作风险目录、关键风险指标和记分卡等方法。</w:t>
      </w:r>
    </w:p>
    <w:p>
      <w:pPr>
        <w:pStyle w:val="Normal"/>
        <w:shd w:fill="FFFFFF" w:val="clear"/>
        <w:overflowPunct w:val="false"/>
        <w:spacing w:lineRule="auto" w:line="360"/>
        <w:ind w:firstLine="200" w:right="0"/>
        <w:jc w:val="center"/>
        <w:rPr>
          <w:rFonts w:eastAsia="仿宋_GB2312;仿宋"/>
          <w:sz w:val="28"/>
          <w:szCs w:val="28"/>
        </w:rPr>
      </w:pPr>
      <w:r>
        <w:rPr>
          <w:rFonts w:eastAsia="仿宋_GB2312;仿宋"/>
          <w:sz w:val="28"/>
          <w:szCs w:val="28"/>
        </w:rPr>
        <w:t>第三节操作风险的监测与统计</w:t>
      </w:r>
    </w:p>
    <w:p>
      <w:pPr>
        <w:pStyle w:val="Normal"/>
        <w:shd w:fill="FFFFFF" w:val="clear"/>
        <w:overflowPunct w:val="false"/>
        <w:spacing w:lineRule="auto" w:line="360"/>
        <w:ind w:firstLine="560" w:right="0"/>
        <w:rPr/>
      </w:pPr>
      <w:r>
        <w:rPr>
          <w:rFonts w:eastAsia="仿宋_GB2312;仿宋"/>
          <w:sz w:val="28"/>
          <w:szCs w:val="28"/>
        </w:rPr>
        <w:t>第二十三条</w:t>
      </w:r>
      <w:r>
        <w:rPr>
          <w:rFonts w:eastAsia="Times New Roman"/>
          <w:sz w:val="28"/>
          <w:szCs w:val="28"/>
        </w:rPr>
        <w:t xml:space="preserve">  </w:t>
      </w:r>
      <w:r>
        <w:rPr>
          <w:rFonts w:eastAsia="仿宋_GB2312;仿宋"/>
          <w:sz w:val="28"/>
          <w:szCs w:val="28"/>
        </w:rPr>
        <w:t>本行应建立合适的操作风险监测统计体系，通过设置并监测各类操作风险指标，动态、持续的监测操作风险状况、控制及缓释措施的效果，快速发现政策、流程和内部控制出现的问题并采取相应的补救措施。监测范围应涵盖各业务品种和业务条线以及内部管理制度的执行环节。</w:t>
      </w:r>
    </w:p>
    <w:p>
      <w:pPr>
        <w:pStyle w:val="Normal"/>
        <w:shd w:fill="FFFFFF" w:val="clear"/>
        <w:overflowPunct w:val="false"/>
        <w:spacing w:lineRule="auto" w:line="360"/>
        <w:ind w:firstLine="560" w:right="0"/>
        <w:rPr/>
      </w:pPr>
      <w:r>
        <w:rPr>
          <w:rFonts w:eastAsia="仿宋_GB2312;仿宋"/>
          <w:sz w:val="28"/>
          <w:szCs w:val="28"/>
        </w:rPr>
        <w:t>操作风险监测可采用关键风险指标等操作风险工具，量化相应条线关键环节面临的操作风险程度，并依据本行操作风险容忍度实施针对性控制管理。</w:t>
      </w:r>
    </w:p>
    <w:p>
      <w:pPr>
        <w:pStyle w:val="Normal"/>
        <w:shd w:fill="FFFFFF" w:val="clear"/>
        <w:overflowPunct w:val="false"/>
        <w:spacing w:lineRule="auto" w:line="360"/>
        <w:ind w:firstLine="560" w:right="0"/>
        <w:rPr/>
      </w:pPr>
      <w:r>
        <w:rPr>
          <w:rFonts w:eastAsia="仿宋_GB2312;仿宋"/>
          <w:sz w:val="28"/>
          <w:szCs w:val="28"/>
        </w:rPr>
        <w:t>第二十四条</w:t>
      </w:r>
      <w:r>
        <w:rPr>
          <w:rFonts w:eastAsia="Times New Roman"/>
          <w:sz w:val="28"/>
          <w:szCs w:val="28"/>
        </w:rPr>
        <w:t xml:space="preserve">  </w:t>
      </w:r>
      <w:r>
        <w:rPr>
          <w:rFonts w:eastAsia="仿宋_GB2312;仿宋"/>
          <w:sz w:val="28"/>
          <w:szCs w:val="28"/>
        </w:rPr>
        <w:t>本行应定期监测操作风险状况和造成损失情况，做好操作风险事前、事中和事后监测。</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（一）事前监测。本行应建立早期操作风险预警机制，建立覆盖主要风险类别和重点产品群组的操作风险管理目录，设置操作风险关键风险指标，关注关键风险具体指标。</w:t>
      </w:r>
    </w:p>
    <w:p>
      <w:pPr>
        <w:pStyle w:val="Normal"/>
        <w:shd w:fill="FFFFFF" w:val="clear"/>
        <w:overflowPunct w:val="false"/>
        <w:spacing w:lineRule="auto" w:line="360"/>
        <w:ind w:firstLine="560" w:right="0"/>
        <w:rPr/>
      </w:pPr>
      <w:r>
        <w:rPr>
          <w:rFonts w:eastAsia="仿宋_GB2312;仿宋"/>
          <w:sz w:val="28"/>
          <w:szCs w:val="28"/>
        </w:rPr>
        <w:t>事前监测坚持合理分工、统筹联动。本行分支机构负责监测行内的操作风险变化情况，发现早期操作风险预警信号，及时向对口的操作风险责任部门报告；操作风险责任部门负责本条线内操作风险的监测与预警；合规管理部门负责全行整体操作风险的监测与预警。通过对关键风险指标的持续、动态监测，实现操作风险的主动管理与事前预警。</w:t>
      </w:r>
    </w:p>
    <w:p>
      <w:pPr>
        <w:pStyle w:val="Normal"/>
        <w:shd w:fill="FFFFFF" w:val="clear"/>
        <w:overflowPunct w:val="false"/>
        <w:spacing w:lineRule="auto" w:line="360"/>
        <w:ind w:firstLine="560" w:right="0"/>
        <w:rPr/>
      </w:pPr>
      <w:r>
        <w:rPr>
          <w:rFonts w:eastAsia="仿宋_GB2312;仿宋"/>
          <w:sz w:val="28"/>
          <w:szCs w:val="28"/>
        </w:rPr>
        <w:t>（二）事中监测。当某类操作风险关键风险指标超过预警阈值时，该操作风险的条线操作风险责任部门应及时分析评估宜采取何种操作风险管理措施或启动相应应急预案，组织必要的资源来控制、化解相关分支机构出现的操作风险；出险分支机构应积极主动落实相应操作风险管理措施，并负责事中监测与反馈其实施效果，实时向条线操作风险责任部门分析总结该操作风险事项的管理情况报告并同时报备操作风险归口管理部门。</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三）事后监测。事后监测主要侧重于各类操作风险事件发生后风险控制措施落实、制度完善评估、责任界定追究的跟踪监测。通过收集、整理、分析、统计本行各类操作风险事件，监测操作风险事项的异动状况，强化对本行操作风险管理目录的维护。通过对本行操作风险事项进行定期检查、情景分析和压力测试，监测评估面临的操作风险状况，实现对操作风险的事后控制。</w:t>
      </w:r>
    </w:p>
    <w:p>
      <w:pPr>
        <w:pStyle w:val="Normal"/>
        <w:shd w:fill="FFFFFF" w:val="clear"/>
        <w:overflowPunct w:val="false"/>
        <w:spacing w:lineRule="auto" w:line="360"/>
        <w:ind w:firstLine="560" w:right="0"/>
        <w:rPr/>
      </w:pPr>
      <w:r>
        <w:rPr>
          <w:rFonts w:eastAsia="仿宋_GB2312;仿宋"/>
          <w:sz w:val="28"/>
          <w:szCs w:val="28"/>
        </w:rPr>
        <w:t>本行分支机构负责监测行内的操作风险变化情况，并将行内的操作风险事件数据进行初步收集整理、归类统计，及时报送条线操作风险责任部门；操作风险责任部门负责本条线内的操作风险事件监测，定期检查本条线内操作风险事项，将本条线内操作风险事件数据进行收集整理、归类统计，及时报送合规管理部门；合规管理部门协同操作风险责任部门对业务运行操作风险进行定期检查、情景分析和压力测试，并负责操作风险事件库的建立与维护工作。</w:t>
      </w:r>
    </w:p>
    <w:p>
      <w:pPr>
        <w:pStyle w:val="Normal"/>
        <w:shd w:fill="FFFFFF" w:val="clear"/>
        <w:overflowPunct w:val="false"/>
        <w:spacing w:lineRule="auto" w:line="360"/>
        <w:ind w:firstLine="560" w:right="0"/>
        <w:rPr/>
      </w:pPr>
      <w:r>
        <w:rPr>
          <w:rFonts w:eastAsia="仿宋_GB2312;仿宋"/>
          <w:sz w:val="28"/>
          <w:szCs w:val="28"/>
        </w:rPr>
        <w:t>第二十五条</w:t>
      </w:r>
      <w:r>
        <w:rPr>
          <w:rFonts w:eastAsia="Times New Roman"/>
          <w:sz w:val="28"/>
          <w:szCs w:val="28"/>
        </w:rPr>
        <w:t xml:space="preserve">  </w:t>
      </w:r>
      <w:r>
        <w:rPr>
          <w:rFonts w:eastAsia="仿宋_GB2312;仿宋"/>
          <w:sz w:val="28"/>
          <w:szCs w:val="28"/>
        </w:rPr>
        <w:t>操作风险事件统计应至少包含以下内容：损失事件发生的时间、发现的时间及损失确认时间、损失事件类型（详见附件</w:t>
      </w:r>
      <w:r>
        <w:rPr>
          <w:rFonts w:eastAsia="仿宋_GB2312;仿宋"/>
          <w:sz w:val="28"/>
          <w:szCs w:val="28"/>
        </w:rPr>
        <w:t>1:</w:t>
      </w:r>
      <w:r>
        <w:rPr>
          <w:rFonts w:eastAsia="仿宋_GB2312;仿宋"/>
          <w:sz w:val="28"/>
          <w:szCs w:val="28"/>
        </w:rPr>
        <w:t>操作风险事件分类表）、业务条线名称（详见附件</w:t>
      </w:r>
      <w:r>
        <w:rPr>
          <w:rFonts w:eastAsia="仿宋_GB2312;仿宋"/>
          <w:sz w:val="28"/>
          <w:szCs w:val="28"/>
        </w:rPr>
        <w:t>2:</w:t>
      </w:r>
      <w:r>
        <w:rPr>
          <w:rFonts w:eastAsia="仿宋_GB2312;仿宋"/>
          <w:sz w:val="28"/>
          <w:szCs w:val="28"/>
        </w:rPr>
        <w:t>操作风险业务条线归类目录）、涉及金额、损失金额、缓释金额、非财务影响、与信用风险和市场风险的交叉关系等。</w:t>
      </w:r>
    </w:p>
    <w:p>
      <w:pPr>
        <w:pStyle w:val="Normal"/>
        <w:shd w:fill="FFFFFF" w:val="clear"/>
        <w:overflowPunct w:val="false"/>
        <w:spacing w:lineRule="auto" w:line="360"/>
        <w:ind w:firstLine="560" w:right="0"/>
        <w:rPr/>
      </w:pPr>
      <w:r>
        <w:rPr>
          <w:rFonts w:eastAsia="仿宋_GB2312;仿宋"/>
          <w:sz w:val="28"/>
          <w:szCs w:val="28"/>
        </w:rPr>
        <w:t>第二十六条</w:t>
      </w:r>
      <w:r>
        <w:rPr>
          <w:rFonts w:eastAsia="Times New Roman"/>
          <w:sz w:val="28"/>
          <w:szCs w:val="28"/>
        </w:rPr>
        <w:t xml:space="preserve">  </w:t>
      </w:r>
      <w:r>
        <w:rPr>
          <w:rFonts w:eastAsia="仿宋_GB2312;仿宋"/>
          <w:sz w:val="28"/>
          <w:szCs w:val="28"/>
        </w:rPr>
        <w:t>本行应当根据操作风险事件监测统计工作的重要性原则，合理确定操作风险事件监测统计的金额起点。对设定金额起点以下的操作风险事件和未发生财务损失的操作风险事件也可进行记录和积累。</w:t>
      </w:r>
    </w:p>
    <w:p>
      <w:pPr>
        <w:pStyle w:val="Normal"/>
        <w:shd w:fill="FFFFFF" w:val="clear"/>
        <w:overflowPunct w:val="false"/>
        <w:spacing w:lineRule="auto" w:line="360"/>
        <w:ind w:firstLine="560" w:right="0"/>
        <w:rPr/>
      </w:pPr>
      <w:r>
        <w:rPr>
          <w:rFonts w:eastAsia="仿宋_GB2312;仿宋"/>
          <w:sz w:val="28"/>
          <w:szCs w:val="28"/>
        </w:rPr>
        <w:t>第二十七条</w:t>
      </w:r>
      <w:r>
        <w:rPr>
          <w:rFonts w:eastAsia="Times New Roman"/>
          <w:sz w:val="28"/>
          <w:szCs w:val="28"/>
        </w:rPr>
        <w:t xml:space="preserve">  </w:t>
      </w:r>
      <w:r>
        <w:rPr>
          <w:rFonts w:eastAsia="仿宋_GB2312;仿宋"/>
          <w:sz w:val="28"/>
          <w:szCs w:val="28"/>
        </w:rPr>
        <w:t>本行在监测统计操作风险事件时，应清晰界定操作风险事件统计范围，合理区分操作风险损失和其他风险损失界限。对于跨区域、跨业务种类的操作风险事件，应当合理确定损失统计原则，避免重复统计。</w:t>
      </w:r>
    </w:p>
    <w:p>
      <w:pPr>
        <w:pStyle w:val="Normal"/>
        <w:shd w:fill="FFFFFF" w:val="clear"/>
        <w:overflowPunct w:val="false"/>
        <w:spacing w:lineRule="auto" w:line="360"/>
        <w:ind w:firstLine="200" w:right="0"/>
        <w:jc w:val="center"/>
        <w:rPr>
          <w:rFonts w:eastAsia="仿宋_GB2312;仿宋"/>
          <w:sz w:val="28"/>
          <w:szCs w:val="28"/>
        </w:rPr>
      </w:pPr>
      <w:r>
        <w:rPr>
          <w:rFonts w:eastAsia="仿宋_GB2312;仿宋"/>
          <w:sz w:val="28"/>
          <w:szCs w:val="28"/>
        </w:rPr>
        <w:t>第四节操作风险的控制与缓释</w:t>
      </w:r>
    </w:p>
    <w:p>
      <w:pPr>
        <w:pStyle w:val="Normal"/>
        <w:shd w:fill="FFFFFF" w:val="clear"/>
        <w:overflowPunct w:val="false"/>
        <w:spacing w:lineRule="auto" w:line="360"/>
        <w:ind w:firstLine="560" w:right="0"/>
        <w:rPr/>
      </w:pPr>
      <w:r>
        <w:rPr>
          <w:rFonts w:eastAsia="仿宋_GB2312;仿宋"/>
          <w:sz w:val="28"/>
          <w:szCs w:val="28"/>
        </w:rPr>
        <w:t>第二十八条</w:t>
      </w:r>
      <w:r>
        <w:rPr>
          <w:rFonts w:eastAsia="Times New Roman"/>
          <w:sz w:val="28"/>
          <w:szCs w:val="28"/>
        </w:rPr>
        <w:t xml:space="preserve">  </w:t>
      </w:r>
      <w:r>
        <w:rPr>
          <w:rFonts w:eastAsia="仿宋_GB2312;仿宋"/>
          <w:sz w:val="28"/>
          <w:szCs w:val="28"/>
        </w:rPr>
        <w:t>操作风险的控制及缓释是指根据操作风险评估或监测结果，制订并组织实施操作风险控制及缓释行动计划的过程。</w:t>
      </w:r>
    </w:p>
    <w:p>
      <w:pPr>
        <w:pStyle w:val="Normal"/>
        <w:shd w:fill="FFFFFF" w:val="clear"/>
        <w:overflowPunct w:val="false"/>
        <w:spacing w:lineRule="auto" w:line="360"/>
        <w:ind w:firstLine="560" w:right="0"/>
        <w:rPr/>
      </w:pPr>
      <w:r>
        <w:rPr>
          <w:rFonts w:eastAsia="仿宋_GB2312;仿宋"/>
          <w:sz w:val="28"/>
          <w:szCs w:val="28"/>
        </w:rPr>
        <w:t>第二十九条</w:t>
      </w:r>
      <w:r>
        <w:rPr>
          <w:rFonts w:eastAsia="Times New Roman"/>
          <w:sz w:val="28"/>
          <w:szCs w:val="28"/>
        </w:rPr>
        <w:t xml:space="preserve">  </w:t>
      </w:r>
      <w:r>
        <w:rPr>
          <w:rFonts w:eastAsia="仿宋_GB2312;仿宋"/>
          <w:sz w:val="28"/>
          <w:szCs w:val="28"/>
        </w:rPr>
        <w:t>本行对识别评估出的操作风险点应提出相应控制措施。控制措施种类包括但不限于以下内容：</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（一）高层审核措施。上级管理者对照预算、预测、过往业绩和竞争者的情况对相关业务或经营情况进行审核。</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（二）直接的职能或活动管理措施。如审核业绩报告、新业务数据，关注合规问题，调节资金头寸等。</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（三）信息处理措施。通过一系列的核对与批准，保证交易的准确性、完整性和已授权。</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（四）实物控制措施。建立财产日常管理制度和定期清查制度，采取财产记录、实物保管、定期盘点、账实核对等措施，确保财产安全。</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（五）业绩指标分析措施。综合一系列的指标，通过因素分析、对比分析、趋势分析等方法，发现存在的问题，及时查明原因并加以改进。</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（六）不相容职责分离措施。全面系统地分析、梳理业务流程中所涉及的不相容职务，实施相应的分离措施，形成各司其职、各负其责、相互制约的工作机制。</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（七）其他措施。如：绩效考评控制、预算控制、信息系统控制等。</w:t>
      </w:r>
    </w:p>
    <w:p>
      <w:pPr>
        <w:pStyle w:val="Normal"/>
        <w:shd w:fill="FFFFFF" w:val="clear"/>
        <w:overflowPunct w:val="false"/>
        <w:spacing w:lineRule="auto" w:line="360"/>
        <w:ind w:firstLine="560" w:right="0"/>
        <w:rPr/>
      </w:pPr>
      <w:r>
        <w:rPr>
          <w:rFonts w:eastAsia="仿宋_GB2312;仿宋"/>
          <w:sz w:val="28"/>
          <w:szCs w:val="28"/>
        </w:rPr>
        <w:t>第三十条</w:t>
      </w:r>
      <w:r>
        <w:rPr>
          <w:rFonts w:eastAsia="Times New Roman"/>
          <w:sz w:val="28"/>
          <w:szCs w:val="28"/>
        </w:rPr>
        <w:t xml:space="preserve">  </w:t>
      </w:r>
      <w:r>
        <w:rPr>
          <w:rFonts w:eastAsia="仿宋_GB2312;仿宋"/>
          <w:sz w:val="28"/>
          <w:szCs w:val="28"/>
        </w:rPr>
        <w:t>本行根据自身操作风险偏好和管理水平，在权衡成本效益基础上，选择确定不同业务操作风险的承受、控制、转移、规避等风险缓释策略来控制面临的操作风险。</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（一）对在本行风险承受范围之内的、潜在风险损失小且事件发生频率低（低危低频、承受之内）的业务操作风险，主要通过配置操作风险经济资本或计提风险准备金的方法承受操作风险；</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（二）对在本行风险承受范围之内的、潜在风险损失小且事件发生频率高（低危高频、承受之内）的业务操作风险，主要通过流程优化、强化培训等方法来控制操作风险；</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（三）对在本行风险承受范围之内的、潜在风险损失高且事件发生频率低（高危低频、承受之内）的业务操作风险，应重点考虑购买保险、业务外包等缓释措施来分散转移操作风险；</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（四）对在本行风险承受范围之内、潜在风险损失高且事件发生频率高（高危高频、承受之内）的业务操作风险，主要采取限额管理、减少业务等措施来缓释降低操作风险；</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（五）对在本行风险承受范围之外、潜在风险损失高且事件发生频率高（高危高频、承受之外）的业务操作风险，通过建立健全并严格相应业务准入制度来规避拒绝操作风险。</w:t>
      </w:r>
    </w:p>
    <w:p>
      <w:pPr>
        <w:pStyle w:val="Normal"/>
        <w:shd w:fill="FFFFFF" w:val="clear"/>
        <w:overflowPunct w:val="false"/>
        <w:spacing w:lineRule="auto" w:line="360"/>
        <w:ind w:firstLine="560" w:right="0"/>
        <w:rPr/>
      </w:pPr>
      <w:r>
        <w:rPr>
          <w:rFonts w:eastAsia="仿宋_GB2312;仿宋"/>
          <w:sz w:val="28"/>
          <w:szCs w:val="28"/>
        </w:rPr>
        <w:t>第三十一条</w:t>
      </w:r>
      <w:r>
        <w:rPr>
          <w:rFonts w:eastAsia="Times New Roman"/>
          <w:sz w:val="28"/>
          <w:szCs w:val="28"/>
        </w:rPr>
        <w:t xml:space="preserve">  </w:t>
      </w:r>
      <w:r>
        <w:rPr>
          <w:rFonts w:eastAsia="仿宋_GB2312;仿宋"/>
          <w:sz w:val="28"/>
          <w:szCs w:val="28"/>
        </w:rPr>
        <w:t>本行为缓释风险可以外包部分业务，但应当建立健全外包管理制度，明确外包管理组织架构和管理职责，确保业务外包有严谨的合同和服务协议、各方的责任义务规定明确，并至少每年开展一次全面的外包业务风险评估。</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外包业务活动中对外包服务商相关人员的授权必须遵守“必须知道”和“最小授权”原则，涉及战略管理、风险管理、内部审计及其他有关核心竞争力的职能不得外包。</w:t>
      </w:r>
    </w:p>
    <w:p>
      <w:pPr>
        <w:pStyle w:val="Normal"/>
        <w:shd w:fill="FFFFFF" w:val="clear"/>
        <w:overflowPunct w:val="false"/>
        <w:spacing w:lineRule="auto" w:line="360"/>
        <w:ind w:firstLine="560" w:right="0"/>
        <w:rPr/>
      </w:pPr>
      <w:r>
        <w:rPr>
          <w:rFonts w:eastAsia="仿宋_GB2312;仿宋"/>
          <w:sz w:val="28"/>
          <w:szCs w:val="28"/>
        </w:rPr>
        <w:t>第三十二条</w:t>
      </w:r>
      <w:r>
        <w:rPr>
          <w:rFonts w:eastAsia="Times New Roman"/>
          <w:sz w:val="28"/>
          <w:szCs w:val="28"/>
        </w:rPr>
        <w:t xml:space="preserve">  </w:t>
      </w:r>
      <w:r>
        <w:rPr>
          <w:rFonts w:eastAsia="仿宋_GB2312;仿宋"/>
          <w:sz w:val="28"/>
          <w:szCs w:val="28"/>
        </w:rPr>
        <w:t>本行可购买保险以及与第三方签订合同，并将其作为缓释操作风险的一种方法，但保险理赔的缓释最高不超过操作风险监管资本要求的</w:t>
      </w:r>
      <w:r>
        <w:rPr>
          <w:rFonts w:eastAsia="仿宋_GB2312;仿宋"/>
          <w:sz w:val="28"/>
          <w:szCs w:val="28"/>
        </w:rPr>
        <w:t>20%</w:t>
      </w:r>
      <w:r>
        <w:rPr>
          <w:rFonts w:eastAsia="仿宋_GB2312;仿宋"/>
          <w:sz w:val="28"/>
          <w:szCs w:val="28"/>
        </w:rPr>
        <w:t>。</w:t>
      </w:r>
    </w:p>
    <w:p>
      <w:pPr>
        <w:pStyle w:val="Normal"/>
        <w:shd w:fill="FFFFFF" w:val="clear"/>
        <w:overflowPunct w:val="false"/>
        <w:spacing w:lineRule="auto" w:line="360"/>
        <w:ind w:firstLine="200" w:right="0"/>
        <w:jc w:val="center"/>
        <w:rPr>
          <w:rFonts w:eastAsia="仿宋_GB2312;仿宋"/>
          <w:sz w:val="28"/>
          <w:szCs w:val="28"/>
        </w:rPr>
      </w:pPr>
      <w:r>
        <w:rPr>
          <w:rFonts w:eastAsia="仿宋_GB2312;仿宋"/>
          <w:sz w:val="28"/>
          <w:szCs w:val="28"/>
        </w:rPr>
        <w:t>第五节重点领域操作风险管理</w:t>
      </w:r>
    </w:p>
    <w:p>
      <w:pPr>
        <w:pStyle w:val="Normal"/>
        <w:shd w:fill="FFFFFF" w:val="clear"/>
        <w:overflowPunct w:val="false"/>
        <w:spacing w:lineRule="auto" w:line="360"/>
        <w:ind w:firstLine="560" w:right="0"/>
        <w:rPr/>
      </w:pPr>
      <w:r>
        <w:rPr>
          <w:rFonts w:eastAsia="仿宋_GB2312;仿宋"/>
          <w:sz w:val="28"/>
          <w:szCs w:val="28"/>
        </w:rPr>
        <w:t>第三十三条</w:t>
      </w:r>
      <w:r>
        <w:rPr>
          <w:rFonts w:eastAsia="Times New Roman"/>
          <w:sz w:val="28"/>
          <w:szCs w:val="28"/>
        </w:rPr>
        <w:t xml:space="preserve">  </w:t>
      </w:r>
      <w:r>
        <w:rPr>
          <w:rFonts w:eastAsia="仿宋_GB2312;仿宋"/>
          <w:sz w:val="28"/>
          <w:szCs w:val="28"/>
        </w:rPr>
        <w:t>人员管控。人员因素作为操作风险四大风险因素之一，应建立人员管控体系以强化人员管控。本行应完善员工考勤管理、干部、员工定期岗位轮换制度、强制休假、近亲属回避、岗位任职资格等制度，还应制定员工行为准则，规范员工行为，强化员工职业操守，明确对员工的禁止性规定，建立员工行为排查机制，加强对员工行为的监督和排查。</w:t>
      </w:r>
    </w:p>
    <w:p>
      <w:pPr>
        <w:pStyle w:val="Normal"/>
        <w:shd w:fill="FFFFFF" w:val="clear"/>
        <w:overflowPunct w:val="false"/>
        <w:spacing w:lineRule="auto" w:line="360"/>
        <w:ind w:firstLine="560" w:right="0"/>
        <w:rPr/>
      </w:pPr>
      <w:r>
        <w:rPr>
          <w:rFonts w:eastAsia="仿宋_GB2312;仿宋"/>
          <w:sz w:val="28"/>
          <w:szCs w:val="28"/>
        </w:rPr>
        <w:t>第三十四条</w:t>
      </w:r>
      <w:r>
        <w:rPr>
          <w:rFonts w:eastAsia="Times New Roman"/>
          <w:sz w:val="28"/>
          <w:szCs w:val="28"/>
        </w:rPr>
        <w:t xml:space="preserve">  </w:t>
      </w:r>
      <w:r>
        <w:rPr>
          <w:rFonts w:eastAsia="仿宋_GB2312;仿宋"/>
          <w:sz w:val="28"/>
          <w:szCs w:val="28"/>
        </w:rPr>
        <w:t>业务管控。本行应优化组织架构基础上，根据单位自身的资产规模和管理实际需要，在全行或分区域按业务条线设置专业化的集中作业平台，提升专业能力和集约化水平，强化业务条线的事前事中事后控制。</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（一）开办新业务、提供新产品和服务，应当对潜在的风险进行评估，并制定相应的管理制度和业务流程，确保制度先行。</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（二）建立有效的业务操作风险排查机制，按照业务操作风险特点，对各项业务及业务外包情况定期、不定期的开展排查，识别和揭示风险，采取有效的风险缓释措施，防范和化解风险隐患。</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三）制定与其业务规模和复杂性相适应的应急和业务连续方案，建立恢复服务和保证业务连续运行的备用机制，并应当定期检查、测试其灾难恢复和业务连续机制，确保在出现灾难和业务严重中断时这些方案和机制的正常执行。</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（四）建立健全客户投诉处理机制，制定投诉处理工作流程，定期汇总分析投诉反映事项，查找问题，有效改进服务和管理。</w:t>
      </w:r>
    </w:p>
    <w:p>
      <w:pPr>
        <w:pStyle w:val="Normal"/>
        <w:shd w:fill="FFFFFF" w:val="clear"/>
        <w:overflowPunct w:val="false"/>
        <w:spacing w:lineRule="auto" w:line="360"/>
        <w:ind w:firstLine="560" w:right="0"/>
        <w:rPr/>
      </w:pPr>
      <w:r>
        <w:rPr>
          <w:rFonts w:eastAsia="仿宋_GB2312;仿宋"/>
          <w:sz w:val="28"/>
          <w:szCs w:val="28"/>
        </w:rPr>
        <w:t>第三十五条</w:t>
      </w:r>
      <w:r>
        <w:rPr>
          <w:rFonts w:eastAsia="Times New Roman"/>
          <w:sz w:val="28"/>
          <w:szCs w:val="28"/>
        </w:rPr>
        <w:t xml:space="preserve">  </w:t>
      </w:r>
      <w:r>
        <w:rPr>
          <w:rFonts w:eastAsia="仿宋_GB2312;仿宋"/>
          <w:sz w:val="28"/>
          <w:szCs w:val="28"/>
        </w:rPr>
        <w:t>流程管理。本行应对流程银行建设、商务转型有关操作风险管理方面的成果进行固化，编制操作风险相关管理手册，制定标准的岗位职责体系，执行标准统一的业务流程和管理流程，确保规范运作。</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一）部门、岗位职责说明书。本行应根据内外部环境变化和经营管理需要，适时梳理部门、岗位职责权限，合理确定部门、岗位的职责及权限，明确相应的报告路线和工作流程，形成规范的部门、岗位职责说明。</w:t>
      </w:r>
    </w:p>
    <w:p>
      <w:pPr>
        <w:pStyle w:val="Normal"/>
        <w:shd w:fill="FFFFFF" w:val="clear"/>
        <w:overflowPunct w:val="false"/>
        <w:spacing w:lineRule="auto" w:line="360"/>
        <w:ind w:firstLine="560" w:right="0"/>
        <w:rPr/>
      </w:pPr>
      <w:r>
        <w:rPr>
          <w:rFonts w:eastAsia="仿宋_GB2312;仿宋"/>
          <w:sz w:val="28"/>
          <w:szCs w:val="28"/>
        </w:rPr>
        <w:t>（二）管理流程手册。本行应根据外部规定、内外部环境的变化和经营管理需要，充分运用风险控制自我评估等管理工具，梳理管理环节风险点和管理制度流程，形成管理条线风险目录，制定对应的风险控制措施，形成标准统一的管理流程，并汇编成册。</w:t>
      </w:r>
    </w:p>
    <w:p>
      <w:pPr>
        <w:pStyle w:val="Normal"/>
        <w:shd w:fill="FFFFFF" w:val="clear"/>
        <w:overflowPunct w:val="false"/>
        <w:spacing w:lineRule="auto" w:line="360"/>
        <w:ind w:firstLine="560" w:right="0"/>
        <w:rPr/>
      </w:pPr>
      <w:r>
        <w:rPr>
          <w:rFonts w:eastAsia="仿宋_GB2312;仿宋"/>
          <w:sz w:val="28"/>
          <w:szCs w:val="28"/>
        </w:rPr>
        <w:t>（三）业务操作手册。本行应根据内外部环境变化、产品业务创新和经营管理需要，充分运用关键风险指标等管理工具，梳理操作环节风险点和业务制度流程，形成业务条线风险目录，制定对应的风险控制措施，形成标准统一的业务操作流程，确保一项业务一个流程，并对已梳理形成的业务流程汇编成册。</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本行应收集审计、业务排查、监测报告等各类方式和渠道反馈的信息，定期评价部门、岗位职责和设置、管理流程、业务操作流程等控制不足和控制过度环节，并持续改进和完善，确保有效防控操作风险各个风险点。</w:t>
      </w:r>
    </w:p>
    <w:p>
      <w:pPr>
        <w:pStyle w:val="Normal"/>
        <w:shd w:fill="FFFFFF" w:val="clear"/>
        <w:overflowPunct w:val="false"/>
        <w:spacing w:lineRule="auto" w:line="360"/>
        <w:ind w:firstLine="200" w:right="0"/>
        <w:jc w:val="center"/>
        <w:rPr>
          <w:rFonts w:eastAsia="仿宋_GB2312;仿宋"/>
          <w:sz w:val="28"/>
          <w:szCs w:val="28"/>
        </w:rPr>
      </w:pPr>
      <w:r>
        <w:rPr>
          <w:rFonts w:eastAsia="仿宋_GB2312;仿宋"/>
          <w:sz w:val="28"/>
          <w:szCs w:val="28"/>
        </w:rPr>
        <w:t>第六节操作风险管理报告</w:t>
      </w:r>
    </w:p>
    <w:p>
      <w:pPr>
        <w:pStyle w:val="Normal"/>
        <w:shd w:fill="FFFFFF" w:val="clear"/>
        <w:overflowPunct w:val="false"/>
        <w:spacing w:lineRule="auto" w:line="360"/>
        <w:ind w:firstLine="560" w:right="0"/>
        <w:rPr/>
      </w:pPr>
      <w:r>
        <w:rPr>
          <w:rFonts w:eastAsia="仿宋_GB2312;仿宋"/>
          <w:sz w:val="28"/>
          <w:szCs w:val="28"/>
        </w:rPr>
        <w:t>第三十六条</w:t>
      </w:r>
      <w:r>
        <w:rPr>
          <w:rFonts w:eastAsia="Times New Roman"/>
          <w:sz w:val="28"/>
          <w:szCs w:val="28"/>
        </w:rPr>
        <w:t xml:space="preserve">  </w:t>
      </w:r>
      <w:r>
        <w:rPr>
          <w:rFonts w:eastAsia="仿宋_GB2312;仿宋"/>
          <w:sz w:val="28"/>
          <w:szCs w:val="28"/>
        </w:rPr>
        <w:t>本行应建立有效的操作风险报告制度，明确操作风险报告路径。合规管理部门、操作风险责任部门和分支机构、审计部门发现操作风险问题，均应有畅通的报告渠道和有效的纠正措施。</w:t>
      </w:r>
    </w:p>
    <w:p>
      <w:pPr>
        <w:pStyle w:val="Normal"/>
        <w:shd w:fill="FFFFFF" w:val="clear"/>
        <w:overflowPunct w:val="false"/>
        <w:spacing w:lineRule="auto" w:line="360"/>
        <w:ind w:firstLine="560" w:right="0"/>
        <w:rPr/>
      </w:pPr>
      <w:r>
        <w:rPr>
          <w:rFonts w:eastAsia="仿宋_GB2312;仿宋"/>
          <w:sz w:val="28"/>
          <w:szCs w:val="28"/>
        </w:rPr>
        <w:t>第三十七条</w:t>
      </w:r>
      <w:r>
        <w:rPr>
          <w:rFonts w:eastAsia="Times New Roman"/>
          <w:sz w:val="28"/>
          <w:szCs w:val="28"/>
        </w:rPr>
        <w:t xml:space="preserve">  </w:t>
      </w:r>
      <w:r>
        <w:rPr>
          <w:rFonts w:eastAsia="仿宋_GB2312;仿宋"/>
          <w:sz w:val="28"/>
          <w:szCs w:val="28"/>
        </w:rPr>
        <w:t>操作风险报告应满足以下要求：</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（一）真实性。客观、真实、准确地反映操作风险状况。</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（二）及时性。及时分析、报告重大操作风险事件。</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（三）准确性。提出准确有效、切实可行的操作风险控制措施。</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（四）保密性。操作风险报告要遵守有关保密管理及信息披露规定。</w:t>
      </w:r>
    </w:p>
    <w:p>
      <w:pPr>
        <w:pStyle w:val="Normal"/>
        <w:shd w:fill="FFFFFF" w:val="clear"/>
        <w:overflowPunct w:val="false"/>
        <w:spacing w:lineRule="auto" w:line="360"/>
        <w:ind w:firstLine="560" w:right="0"/>
        <w:rPr/>
      </w:pPr>
      <w:r>
        <w:rPr>
          <w:rFonts w:eastAsia="仿宋_GB2312;仿宋"/>
          <w:sz w:val="28"/>
          <w:szCs w:val="28"/>
        </w:rPr>
        <w:t>第三十八条</w:t>
      </w:r>
      <w:r>
        <w:rPr>
          <w:rFonts w:eastAsia="Times New Roman"/>
          <w:sz w:val="28"/>
          <w:szCs w:val="28"/>
        </w:rPr>
        <w:t xml:space="preserve">  </w:t>
      </w:r>
      <w:r>
        <w:rPr>
          <w:rFonts w:eastAsia="仿宋_GB2312;仿宋"/>
          <w:sz w:val="28"/>
          <w:szCs w:val="28"/>
        </w:rPr>
        <w:t>操作风险报告具体可分为一般操作风险事件报告、重大操作风险事件报告和操作风险管理定期报告等形式。</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操作风险事件包括重大风险事件和一般操作风险事件，具体划分标准参照《商业银行操作风险管理指引》相关内容确定。</w:t>
      </w:r>
    </w:p>
    <w:p>
      <w:pPr>
        <w:pStyle w:val="Normal"/>
        <w:shd w:fill="FFFFFF" w:val="clear"/>
        <w:overflowPunct w:val="false"/>
        <w:spacing w:lineRule="auto" w:line="360"/>
        <w:ind w:firstLine="560" w:right="0"/>
        <w:rPr/>
      </w:pPr>
      <w:r>
        <w:rPr>
          <w:rFonts w:eastAsia="仿宋_GB2312;仿宋"/>
          <w:sz w:val="28"/>
          <w:szCs w:val="28"/>
        </w:rPr>
        <w:t>第三十九条</w:t>
      </w:r>
      <w:r>
        <w:rPr>
          <w:rFonts w:eastAsia="Times New Roman"/>
          <w:sz w:val="28"/>
          <w:szCs w:val="28"/>
        </w:rPr>
        <w:t xml:space="preserve">  </w:t>
      </w:r>
      <w:r>
        <w:rPr>
          <w:rFonts w:eastAsia="仿宋_GB2312;仿宋"/>
          <w:sz w:val="28"/>
          <w:szCs w:val="28"/>
        </w:rPr>
        <w:t>一般和重大操作风险事件报告应至少包括以下内容：事件发生的时间、发现的时间及损失确认的时间、业务名称、操作风险事件类型、业务金额、损失金额、涉案人员、对事件的描述和非财务影响等。</w:t>
      </w:r>
    </w:p>
    <w:p>
      <w:pPr>
        <w:pStyle w:val="Normal"/>
        <w:shd w:fill="FFFFFF" w:val="clear"/>
        <w:overflowPunct w:val="false"/>
        <w:spacing w:lineRule="auto" w:line="360"/>
        <w:ind w:firstLine="560" w:right="0"/>
        <w:rPr/>
      </w:pPr>
      <w:r>
        <w:rPr>
          <w:rFonts w:eastAsia="仿宋_GB2312;仿宋"/>
          <w:sz w:val="28"/>
          <w:szCs w:val="28"/>
        </w:rPr>
        <w:t>第四十条</w:t>
      </w:r>
      <w:r>
        <w:rPr>
          <w:rFonts w:eastAsia="Times New Roman"/>
          <w:sz w:val="28"/>
          <w:szCs w:val="28"/>
        </w:rPr>
        <w:t xml:space="preserve">  </w:t>
      </w:r>
      <w:r>
        <w:rPr>
          <w:rFonts w:eastAsia="仿宋_GB2312;仿宋"/>
          <w:sz w:val="28"/>
          <w:szCs w:val="28"/>
        </w:rPr>
        <w:t>操作风险管理定期报告应至少包括以下内容：报告期内操作风险整体状况、面临的主要风险因素及风险趋势、操作风险及控制措施的评估结果、关键风险指标监测情况、主要操作风险事件、已确认或潜在的重大操作风险损失、加强操作风险管理的建议等内容。</w:t>
      </w:r>
    </w:p>
    <w:p>
      <w:pPr>
        <w:pStyle w:val="Normal"/>
        <w:shd w:fill="FFFFFF" w:val="clear"/>
        <w:overflowPunct w:val="false"/>
        <w:spacing w:lineRule="auto" w:line="360"/>
        <w:ind w:firstLine="560" w:right="0"/>
        <w:rPr/>
      </w:pPr>
      <w:r>
        <w:rPr>
          <w:rFonts w:eastAsia="仿宋_GB2312;仿宋"/>
          <w:sz w:val="28"/>
          <w:szCs w:val="28"/>
        </w:rPr>
        <w:t>第四十一条</w:t>
      </w:r>
      <w:r>
        <w:rPr>
          <w:rFonts w:eastAsia="Times New Roman"/>
          <w:sz w:val="28"/>
          <w:szCs w:val="28"/>
        </w:rPr>
        <w:t xml:space="preserve"> </w:t>
      </w:r>
      <w:r>
        <w:rPr>
          <w:rFonts w:eastAsia="仿宋_GB2312;仿宋"/>
          <w:sz w:val="28"/>
          <w:szCs w:val="28"/>
        </w:rPr>
        <w:t>各类操作风险报告应实行双线报告：本行操作风险责任部门和分支机构应定期或不定期向合规管理部门报告行内或条线各类操作风险事项；合规管理部门应按季向风险管理部门、高级管理层报送操作风险管理定期报告，高级管理层应按年度向董事会报送操作风险管理定期报告。</w:t>
      </w:r>
    </w:p>
    <w:p>
      <w:pPr>
        <w:pStyle w:val="Normal"/>
        <w:shd w:fill="FFFFFF" w:val="clear"/>
        <w:overflowPunct w:val="false"/>
        <w:spacing w:lineRule="auto" w:line="360"/>
        <w:ind w:firstLine="560" w:right="0"/>
        <w:rPr/>
      </w:pPr>
      <w:r>
        <w:rPr>
          <w:rFonts w:eastAsia="仿宋_GB2312;仿宋"/>
          <w:sz w:val="28"/>
          <w:szCs w:val="28"/>
        </w:rPr>
        <w:t>第四十二条</w:t>
      </w:r>
      <w:r>
        <w:rPr>
          <w:rFonts w:eastAsia="Times New Roman"/>
          <w:sz w:val="28"/>
          <w:szCs w:val="28"/>
        </w:rPr>
        <w:t xml:space="preserve">  </w:t>
      </w:r>
      <w:r>
        <w:rPr>
          <w:rFonts w:eastAsia="仿宋_GB2312;仿宋"/>
          <w:sz w:val="28"/>
          <w:szCs w:val="28"/>
        </w:rPr>
        <w:t>本行应建立有效的操作风险事件内部报告路径，具体路径为：</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（一）一般操作风险事件报告路径</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1.</w:t>
      </w:r>
      <w:r>
        <w:rPr>
          <w:rFonts w:eastAsia="仿宋_GB2312;仿宋"/>
          <w:sz w:val="28"/>
          <w:szCs w:val="28"/>
        </w:rPr>
        <w:t>出险单位根据规定启动行动方案，采取相应的风险控制措施；</w:t>
      </w:r>
    </w:p>
    <w:p>
      <w:pPr>
        <w:pStyle w:val="Normal"/>
        <w:shd w:fill="FFFFFF" w:val="clear"/>
        <w:overflowPunct w:val="false"/>
        <w:spacing w:lineRule="auto" w:line="360"/>
        <w:ind w:firstLine="560" w:right="0"/>
        <w:rPr/>
      </w:pPr>
      <w:r>
        <w:rPr>
          <w:rFonts w:eastAsia="仿宋_GB2312;仿宋"/>
          <w:sz w:val="28"/>
          <w:szCs w:val="28"/>
        </w:rPr>
        <w:t>2.</w:t>
      </w:r>
      <w:r>
        <w:rPr>
          <w:rFonts w:eastAsia="仿宋_GB2312;仿宋"/>
          <w:sz w:val="28"/>
          <w:szCs w:val="28"/>
        </w:rPr>
        <w:t>出险单位按规定向条线部门及条线分管领导报告；</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3.</w:t>
      </w:r>
      <w:r>
        <w:rPr>
          <w:rFonts w:eastAsia="仿宋_GB2312;仿宋"/>
          <w:sz w:val="28"/>
          <w:szCs w:val="28"/>
        </w:rPr>
        <w:t>出险单位按规定向合规管理部门报告。</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（二）重大操作风险事件报告路径</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1.</w:t>
      </w:r>
      <w:r>
        <w:rPr>
          <w:rFonts w:eastAsia="仿宋_GB2312;仿宋"/>
          <w:sz w:val="28"/>
          <w:szCs w:val="28"/>
        </w:rPr>
        <w:t>出险单位当即向合规管理部门、风险管理部门报告，并第一时间报请启动应急预案，同时按规定向董事会、高级管理层报告；</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2.</w:t>
      </w:r>
      <w:r>
        <w:rPr>
          <w:rFonts w:eastAsia="仿宋_GB2312;仿宋"/>
          <w:sz w:val="28"/>
          <w:szCs w:val="28"/>
        </w:rPr>
        <w:t>合规管理部门接到出险单位的风险事件报告后，应立即按规定向董事会、高级管理层报告；</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3.</w:t>
      </w:r>
      <w:r>
        <w:rPr>
          <w:rFonts w:eastAsia="仿宋_GB2312;仿宋"/>
          <w:sz w:val="28"/>
          <w:szCs w:val="28"/>
        </w:rPr>
        <w:t>董事会、高级管理层根据具体事件，做出决策，启动应急预案，采取行动和措施，对需要向监管部门和省联社报告的，按规定及时报告；</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4.</w:t>
      </w:r>
      <w:r>
        <w:rPr>
          <w:rFonts w:eastAsia="仿宋_GB2312;仿宋"/>
          <w:sz w:val="28"/>
          <w:szCs w:val="28"/>
        </w:rPr>
        <w:t>出险单位、合规管理部门在报告的同时，应在职权范围内采取相应措施控制操作风险，防止财务或非财务损失的扩大和蔓延；</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5.</w:t>
      </w:r>
      <w:r>
        <w:rPr>
          <w:rFonts w:eastAsia="仿宋_GB2312;仿宋"/>
          <w:sz w:val="28"/>
          <w:szCs w:val="28"/>
        </w:rPr>
        <w:t>重大操作风险事件还应当按规定进行事件后续跟踪报告。</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（三）操作风险管理定期报告路径</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1.</w:t>
      </w:r>
      <w:r>
        <w:rPr>
          <w:rFonts w:eastAsia="仿宋_GB2312;仿宋"/>
          <w:sz w:val="28"/>
          <w:szCs w:val="28"/>
        </w:rPr>
        <w:t>操作风险责任部门和分支机构要按季定期向合规管理部门报送操作风险管理定期报告；</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2.</w:t>
      </w:r>
      <w:r>
        <w:rPr>
          <w:rFonts w:eastAsia="仿宋_GB2312;仿宋"/>
          <w:sz w:val="28"/>
          <w:szCs w:val="28"/>
        </w:rPr>
        <w:t>合规管理部门在整理分析的基础上，负责向风险管理部门、高级管理层报告，同时抄报内审部门；</w:t>
      </w:r>
    </w:p>
    <w:p>
      <w:pPr>
        <w:pStyle w:val="Normal"/>
        <w:shd w:fill="FFFFFF" w:val="clear"/>
        <w:overflowPunct w:val="false"/>
        <w:spacing w:lineRule="auto" w:line="360"/>
        <w:ind w:firstLine="560" w:right="0"/>
        <w:rPr/>
      </w:pPr>
      <w:r>
        <w:rPr>
          <w:rFonts w:eastAsia="仿宋_GB2312;仿宋"/>
          <w:sz w:val="28"/>
          <w:szCs w:val="28"/>
        </w:rPr>
        <w:t>3.</w:t>
      </w:r>
      <w:r>
        <w:rPr>
          <w:rFonts w:eastAsia="仿宋_GB2312;仿宋"/>
          <w:sz w:val="28"/>
          <w:szCs w:val="28"/>
        </w:rPr>
        <w:t>高级管理层按年度向董事会或其下设</w:t>
      </w:r>
      <w:r>
        <w:rPr>
          <w:rFonts w:eastAsia="仿宋_GB2312;仿宋"/>
          <w:sz w:val="28"/>
          <w:szCs w:val="28"/>
        </w:rPr>
        <w:t>的风险管理与关联交易控制委员会</w:t>
      </w:r>
      <w:r>
        <w:rPr>
          <w:rFonts w:eastAsia="仿宋_GB2312;仿宋"/>
          <w:sz w:val="28"/>
          <w:szCs w:val="28"/>
        </w:rPr>
        <w:t>，同时抄报监事会。</w:t>
      </w:r>
    </w:p>
    <w:p>
      <w:pPr>
        <w:pStyle w:val="Normal"/>
        <w:shd w:fill="FFFFFF" w:val="clear"/>
        <w:overflowPunct w:val="false"/>
        <w:spacing w:lineRule="auto" w:line="360" w:before="156" w:after="0"/>
        <w:ind w:firstLine="198" w:right="0"/>
        <w:jc w:val="center"/>
        <w:rPr/>
      </w:pPr>
      <w:r>
        <w:rPr>
          <w:rFonts w:eastAsia="仿宋_GB2312;仿宋"/>
          <w:b/>
          <w:sz w:val="28"/>
          <w:szCs w:val="28"/>
        </w:rPr>
        <w:t>第四章</w:t>
      </w:r>
      <w:r>
        <w:rPr>
          <w:rFonts w:eastAsia="Times New Roman"/>
          <w:b/>
          <w:sz w:val="28"/>
          <w:szCs w:val="28"/>
        </w:rPr>
        <w:t xml:space="preserve">  </w:t>
      </w:r>
      <w:r>
        <w:rPr>
          <w:rFonts w:eastAsia="仿宋_GB2312;仿宋"/>
          <w:b/>
          <w:sz w:val="28"/>
          <w:szCs w:val="28"/>
        </w:rPr>
        <w:t>操作风险管理工具</w:t>
      </w:r>
    </w:p>
    <w:p>
      <w:pPr>
        <w:pStyle w:val="Normal"/>
        <w:shd w:fill="FFFFFF" w:val="clear"/>
        <w:overflowPunct w:val="false"/>
        <w:spacing w:lineRule="auto" w:line="360"/>
        <w:ind w:firstLine="560" w:right="0"/>
        <w:rPr/>
      </w:pPr>
      <w:r>
        <w:rPr>
          <w:rFonts w:eastAsia="仿宋_GB2312;仿宋"/>
          <w:sz w:val="28"/>
          <w:szCs w:val="28"/>
        </w:rPr>
        <w:t>第四十三条</w:t>
      </w:r>
      <w:r>
        <w:rPr>
          <w:rFonts w:eastAsia="Times New Roman"/>
          <w:sz w:val="28"/>
          <w:szCs w:val="28"/>
        </w:rPr>
        <w:t xml:space="preserve">  </w:t>
      </w:r>
      <w:r>
        <w:rPr>
          <w:rFonts w:eastAsia="仿宋_GB2312;仿宋"/>
          <w:sz w:val="28"/>
          <w:szCs w:val="28"/>
        </w:rPr>
        <w:t>本行结合自身实际，积极引进和应用操作风险三大工具，即风险控制自我评估、关键风险指标、损失数据收集。</w:t>
      </w:r>
    </w:p>
    <w:p>
      <w:pPr>
        <w:pStyle w:val="Normal"/>
        <w:shd w:fill="FFFFFF" w:val="clear"/>
        <w:overflowPunct w:val="false"/>
        <w:spacing w:lineRule="auto" w:line="360"/>
        <w:ind w:firstLine="200" w:right="0"/>
        <w:jc w:val="center"/>
        <w:rPr>
          <w:rFonts w:eastAsia="仿宋_GB2312;仿宋"/>
          <w:sz w:val="28"/>
          <w:szCs w:val="28"/>
        </w:rPr>
      </w:pPr>
      <w:r>
        <w:rPr>
          <w:rFonts w:eastAsia="仿宋_GB2312;仿宋"/>
          <w:sz w:val="28"/>
          <w:szCs w:val="28"/>
        </w:rPr>
        <w:t>第一节风险控制自我评估</w:t>
      </w:r>
    </w:p>
    <w:p>
      <w:pPr>
        <w:pStyle w:val="Normal"/>
        <w:shd w:fill="FFFFFF" w:val="clear"/>
        <w:overflowPunct w:val="false"/>
        <w:spacing w:lineRule="auto" w:line="360"/>
        <w:ind w:firstLine="560" w:right="0"/>
        <w:rPr/>
      </w:pPr>
      <w:r>
        <w:rPr>
          <w:rFonts w:eastAsia="仿宋_GB2312;仿宋"/>
          <w:sz w:val="28"/>
          <w:szCs w:val="28"/>
        </w:rPr>
        <w:t>第四十四条</w:t>
      </w:r>
      <w:r>
        <w:rPr>
          <w:rFonts w:eastAsia="Times New Roman"/>
          <w:sz w:val="28"/>
          <w:szCs w:val="28"/>
        </w:rPr>
        <w:t xml:space="preserve">  </w:t>
      </w:r>
      <w:r>
        <w:rPr>
          <w:rFonts w:eastAsia="仿宋_GB2312;仿宋"/>
          <w:sz w:val="28"/>
          <w:szCs w:val="28"/>
        </w:rPr>
        <w:t>风险控制自我评估是识别和评估潜在操作风险以及自身业务活动的控制措施、适当程度及有效性的操作风险管理工具，是对经营和业务活动中一系列可能承受的潜在操作风险进行自我评估。</w:t>
      </w:r>
    </w:p>
    <w:p>
      <w:pPr>
        <w:pStyle w:val="Normal"/>
        <w:shd w:fill="FFFFFF" w:val="clear"/>
        <w:overflowPunct w:val="false"/>
        <w:spacing w:lineRule="auto" w:line="360"/>
        <w:ind w:firstLine="560" w:right="0"/>
        <w:rPr/>
      </w:pPr>
      <w:r>
        <w:rPr>
          <w:rFonts w:eastAsia="仿宋_GB2312;仿宋"/>
          <w:sz w:val="28"/>
          <w:szCs w:val="28"/>
        </w:rPr>
        <w:t>第四十五条</w:t>
      </w:r>
      <w:r>
        <w:rPr>
          <w:rFonts w:eastAsia="Times New Roman"/>
          <w:sz w:val="28"/>
          <w:szCs w:val="28"/>
        </w:rPr>
        <w:t xml:space="preserve">  </w:t>
      </w:r>
      <w:r>
        <w:rPr>
          <w:rFonts w:eastAsia="仿宋_GB2312;仿宋"/>
          <w:sz w:val="28"/>
          <w:szCs w:val="28"/>
        </w:rPr>
        <w:t>风险控制自我评估最常见的形式是发放问卷。</w:t>
      </w:r>
    </w:p>
    <w:p>
      <w:pPr>
        <w:pStyle w:val="Normal"/>
        <w:shd w:fill="FFFFFF" w:val="clear"/>
        <w:overflowPunct w:val="false"/>
        <w:spacing w:lineRule="auto" w:line="360"/>
        <w:ind w:firstLine="560" w:right="0"/>
        <w:rPr/>
      </w:pPr>
      <w:r>
        <w:rPr>
          <w:rFonts w:eastAsia="仿宋_GB2312;仿宋"/>
          <w:sz w:val="28"/>
          <w:szCs w:val="28"/>
        </w:rPr>
        <w:t>第四十六条</w:t>
      </w:r>
      <w:r>
        <w:rPr>
          <w:rFonts w:eastAsia="Times New Roman"/>
          <w:sz w:val="28"/>
          <w:szCs w:val="28"/>
        </w:rPr>
        <w:t xml:space="preserve">  </w:t>
      </w:r>
      <w:r>
        <w:rPr>
          <w:rFonts w:eastAsia="仿宋_GB2312;仿宋"/>
          <w:sz w:val="28"/>
          <w:szCs w:val="28"/>
        </w:rPr>
        <w:t>实施风险控制自我评估六大关键因素：</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（一）制定易于执行的风险控制自我评估程序；</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（二）确定标准的风险控制自我评估方法与工具；</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（三）对风险控制自我评估执行、监督和检查的权责进行清晰划分；</w:t>
      </w:r>
    </w:p>
    <w:p>
      <w:pPr>
        <w:pStyle w:val="Normal"/>
        <w:shd w:fill="FFFFFF" w:val="clear"/>
        <w:overflowPunct w:val="false"/>
        <w:spacing w:lineRule="auto" w:line="360"/>
        <w:ind w:firstLine="560" w:right="0"/>
        <w:rPr/>
      </w:pPr>
      <w:r>
        <w:rPr>
          <w:rFonts w:eastAsia="仿宋_GB2312;仿宋"/>
          <w:sz w:val="28"/>
          <w:szCs w:val="28"/>
        </w:rPr>
        <w:t>（四）董事会、高级管理层及各条线部门的高度重视；</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（五）跨部门的协调合作；</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（六）风险控制自我评估过程和结果的充分应用。</w:t>
      </w:r>
    </w:p>
    <w:p>
      <w:pPr>
        <w:pStyle w:val="Normal"/>
        <w:shd w:fill="FFFFFF" w:val="clear"/>
        <w:overflowPunct w:val="false"/>
        <w:spacing w:lineRule="auto" w:line="360"/>
        <w:ind w:firstLine="560" w:right="0"/>
        <w:rPr/>
      </w:pPr>
      <w:r>
        <w:rPr>
          <w:rFonts w:eastAsia="仿宋_GB2312;仿宋"/>
          <w:sz w:val="28"/>
          <w:szCs w:val="28"/>
        </w:rPr>
        <w:t>第四十七条</w:t>
      </w:r>
      <w:r>
        <w:rPr>
          <w:rFonts w:eastAsia="Times New Roman"/>
          <w:sz w:val="28"/>
          <w:szCs w:val="28"/>
        </w:rPr>
        <w:t xml:space="preserve">  </w:t>
      </w:r>
      <w:r>
        <w:rPr>
          <w:rFonts w:eastAsia="仿宋_GB2312;仿宋"/>
          <w:sz w:val="28"/>
          <w:szCs w:val="28"/>
        </w:rPr>
        <w:t>风险控制自我评估流程</w:t>
      </w:r>
    </w:p>
    <w:p>
      <w:pPr>
        <w:pStyle w:val="Normal"/>
        <w:shd w:fill="FFFFFF" w:val="clear"/>
        <w:overflowPunct w:val="false"/>
        <w:spacing w:lineRule="auto" w:line="360"/>
        <w:ind w:firstLine="560" w:right="0"/>
        <w:rPr/>
      </w:pPr>
      <w:r>
        <w:rPr>
          <w:rFonts w:eastAsia="仿宋_GB2312;仿宋"/>
          <w:sz w:val="28"/>
          <w:szCs w:val="28"/>
        </w:rPr>
        <w:t>1.</w:t>
      </w:r>
      <w:r>
        <w:rPr>
          <w:rFonts w:eastAsia="仿宋_GB2312;仿宋"/>
          <w:sz w:val="28"/>
          <w:szCs w:val="28"/>
        </w:rPr>
        <w:t>范围定义。操作风险责任部门确定本条线、本部门涉及的风险控制自我评估范围，从各条线、本部门收集信息，进行信息准备。</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2.</w:t>
      </w:r>
      <w:r>
        <w:rPr>
          <w:rFonts w:eastAsia="仿宋_GB2312;仿宋"/>
          <w:sz w:val="28"/>
          <w:szCs w:val="28"/>
        </w:rPr>
        <w:t>创建问卷。操作风险责任部门根据定义的范围和收集的信息，设计问卷。针对问卷种类定义问题和阈值，并确定评估方法。</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3.</w:t>
      </w:r>
      <w:r>
        <w:rPr>
          <w:rFonts w:eastAsia="仿宋_GB2312;仿宋"/>
          <w:sz w:val="28"/>
          <w:szCs w:val="28"/>
        </w:rPr>
        <w:t>执行（问卷实施）。操作风险责任部门根据设计好的问卷和确定的评估方法，开展问卷调查，定量收集问卷调查信息，识别风险因素。</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4.</w:t>
      </w:r>
      <w:r>
        <w:rPr>
          <w:rFonts w:eastAsia="仿宋_GB2312;仿宋"/>
          <w:sz w:val="28"/>
          <w:szCs w:val="28"/>
        </w:rPr>
        <w:t>审阅和调整。合规管理部门对操作风险责任部门收集整理的问卷调查资料和信息进行结果分析，并与风险责任部门进行讨论，对相关结果进行必要调整。</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5.</w:t>
      </w:r>
      <w:r>
        <w:rPr>
          <w:rFonts w:eastAsia="仿宋_GB2312;仿宋"/>
          <w:sz w:val="28"/>
          <w:szCs w:val="28"/>
        </w:rPr>
        <w:t>报告。合规管理部门根据讨论分析结果，形成风险控制自我评估报告交高级管理层和董事会。董事会根据报告分析，调整相关政策，完善业务、管理流程和关键风险指标及风险控制措施，设定新的操作风险容忍度水平。</w:t>
      </w:r>
    </w:p>
    <w:p>
      <w:pPr>
        <w:pStyle w:val="Normal"/>
        <w:shd w:fill="FFFFFF" w:val="clear"/>
        <w:overflowPunct w:val="false"/>
        <w:spacing w:lineRule="auto" w:line="360"/>
        <w:ind w:firstLine="560" w:right="0"/>
        <w:rPr/>
      </w:pPr>
      <w:r>
        <w:rPr>
          <w:rFonts w:eastAsia="仿宋_GB2312;仿宋"/>
          <w:sz w:val="28"/>
          <w:szCs w:val="28"/>
        </w:rPr>
        <w:t>第四十八条</w:t>
      </w:r>
      <w:r>
        <w:rPr>
          <w:rFonts w:eastAsia="Times New Roman"/>
          <w:sz w:val="28"/>
          <w:szCs w:val="28"/>
        </w:rPr>
        <w:t xml:space="preserve">  </w:t>
      </w:r>
      <w:r>
        <w:rPr>
          <w:rFonts w:eastAsia="仿宋_GB2312;仿宋"/>
          <w:sz w:val="28"/>
          <w:szCs w:val="28"/>
        </w:rPr>
        <w:t>本行要通过风险控制自我评估，完成对所有业务、管理流程的风险点及控制措施的识别与评估，建立和形成业务流程库、风险点库及控制措施库。</w:t>
      </w:r>
    </w:p>
    <w:p>
      <w:pPr>
        <w:pStyle w:val="Normal"/>
        <w:shd w:fill="FFFFFF" w:val="clear"/>
        <w:overflowPunct w:val="false"/>
        <w:spacing w:lineRule="auto" w:line="360"/>
        <w:ind w:firstLine="200" w:right="0"/>
        <w:jc w:val="center"/>
        <w:rPr>
          <w:rFonts w:eastAsia="仿宋_GB2312;仿宋"/>
          <w:sz w:val="28"/>
          <w:szCs w:val="28"/>
        </w:rPr>
      </w:pPr>
      <w:r>
        <w:rPr>
          <w:rFonts w:eastAsia="仿宋_GB2312;仿宋"/>
          <w:sz w:val="28"/>
          <w:szCs w:val="28"/>
        </w:rPr>
        <w:t>第二节关键风险指标</w:t>
      </w:r>
    </w:p>
    <w:p>
      <w:pPr>
        <w:pStyle w:val="Normal"/>
        <w:shd w:fill="FFFFFF" w:val="clear"/>
        <w:overflowPunct w:val="false"/>
        <w:spacing w:lineRule="auto" w:line="360"/>
        <w:ind w:firstLine="560" w:right="0"/>
        <w:rPr/>
      </w:pPr>
      <w:r>
        <w:rPr>
          <w:rFonts w:eastAsia="仿宋_GB2312;仿宋"/>
          <w:sz w:val="28"/>
          <w:szCs w:val="28"/>
        </w:rPr>
        <w:t>第四十九条</w:t>
      </w:r>
      <w:r>
        <w:rPr>
          <w:rFonts w:eastAsia="Times New Roman"/>
          <w:sz w:val="28"/>
          <w:szCs w:val="28"/>
        </w:rPr>
        <w:t xml:space="preserve">  </w:t>
      </w:r>
      <w:r>
        <w:rPr>
          <w:rFonts w:eastAsia="仿宋_GB2312;仿宋"/>
          <w:sz w:val="28"/>
          <w:szCs w:val="28"/>
        </w:rPr>
        <w:t>关键风险指标是指代表某一风险领域变化情况并可定期监控的统计指标，是用来考察银行的风险状况的统计指标，具备可操作性和前瞻性。关键风险指标可用于监测可能造成损失事件的各项风险及控制措施，并作为反映风险变化情况的早期预警指标，具体指标例如：每亿元资产损失率、每万人案件发生率、百万元以上案件发生比率、超过一定期限尚未确认的交易数量、失败交易占总交易数量的比例、员工流动率、客户投诉次数、错误和遗漏的频率以及严重程度等。</w:t>
      </w:r>
    </w:p>
    <w:p>
      <w:pPr>
        <w:pStyle w:val="Normal"/>
        <w:shd w:fill="FFFFFF" w:val="clear"/>
        <w:overflowPunct w:val="false"/>
        <w:spacing w:lineRule="auto" w:line="360"/>
        <w:ind w:firstLine="560" w:right="0"/>
        <w:rPr/>
      </w:pPr>
      <w:r>
        <w:rPr>
          <w:rFonts w:eastAsia="仿宋_GB2312;仿宋"/>
          <w:sz w:val="28"/>
          <w:szCs w:val="28"/>
        </w:rPr>
        <w:t>第五十条</w:t>
      </w:r>
      <w:r>
        <w:rPr>
          <w:rFonts w:eastAsia="Times New Roman"/>
          <w:sz w:val="28"/>
          <w:szCs w:val="28"/>
        </w:rPr>
        <w:t xml:space="preserve">  </w:t>
      </w:r>
      <w:r>
        <w:rPr>
          <w:rFonts w:eastAsia="仿宋_GB2312;仿宋"/>
          <w:sz w:val="28"/>
          <w:szCs w:val="28"/>
        </w:rPr>
        <w:t>本行定期（逐月或逐季）对关键风险指标进行审查，以提示有关风险可能的变化，及时提供预警信息。</w:t>
      </w:r>
    </w:p>
    <w:p>
      <w:pPr>
        <w:pStyle w:val="Normal"/>
        <w:shd w:fill="FFFFFF" w:val="clear"/>
        <w:overflowPunct w:val="false"/>
        <w:spacing w:lineRule="auto" w:line="360"/>
        <w:ind w:firstLine="560" w:right="0"/>
        <w:rPr/>
      </w:pPr>
      <w:r>
        <w:rPr>
          <w:rFonts w:eastAsia="仿宋_GB2312;仿宋"/>
          <w:sz w:val="28"/>
          <w:szCs w:val="28"/>
        </w:rPr>
        <w:t>第五十一条</w:t>
      </w:r>
      <w:r>
        <w:rPr>
          <w:rFonts w:eastAsia="Times New Roman"/>
          <w:sz w:val="28"/>
          <w:szCs w:val="28"/>
        </w:rPr>
        <w:t xml:space="preserve">  </w:t>
      </w:r>
      <w:r>
        <w:rPr>
          <w:rFonts w:eastAsia="仿宋_GB2312;仿宋"/>
          <w:sz w:val="28"/>
          <w:szCs w:val="28"/>
        </w:rPr>
        <w:t>关键风险指标选取原则</w:t>
      </w:r>
    </w:p>
    <w:p>
      <w:pPr>
        <w:pStyle w:val="Normal"/>
        <w:shd w:fill="FFFFFF" w:val="clear"/>
        <w:overflowPunct w:val="false"/>
        <w:spacing w:lineRule="auto" w:line="360"/>
        <w:ind w:firstLine="560" w:right="0"/>
        <w:rPr/>
      </w:pPr>
      <w:r>
        <w:rPr>
          <w:rFonts w:eastAsia="仿宋_GB2312;仿宋"/>
          <w:sz w:val="28"/>
          <w:szCs w:val="28"/>
        </w:rPr>
        <w:t>（一）全面覆盖原则。指标应当全面覆盖四大风险因素、七大类型损失事件类型、九大业务条线。</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（二）数据可得原则。指标应当与潜在风险高度相关并可预测，选取的指标应能持续地获得完整的数据支持。</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（三）指标可控原则。选取的指标应当可以通过可选的管控措施进行有效的控制。</w:t>
      </w:r>
    </w:p>
    <w:p>
      <w:pPr>
        <w:pStyle w:val="Normal"/>
        <w:shd w:fill="FFFFFF" w:val="clear"/>
        <w:overflowPunct w:val="false"/>
        <w:spacing w:lineRule="auto" w:line="360"/>
        <w:ind w:firstLine="560" w:right="0"/>
        <w:rPr/>
      </w:pPr>
      <w:r>
        <w:rPr>
          <w:rFonts w:eastAsia="仿宋_GB2312;仿宋"/>
          <w:sz w:val="28"/>
          <w:szCs w:val="28"/>
        </w:rPr>
        <w:t>第五十二条</w:t>
      </w:r>
      <w:r>
        <w:rPr>
          <w:rFonts w:eastAsia="Times New Roman"/>
          <w:sz w:val="28"/>
          <w:szCs w:val="28"/>
        </w:rPr>
        <w:t xml:space="preserve">  </w:t>
      </w:r>
      <w:r>
        <w:rPr>
          <w:rFonts w:eastAsia="仿宋_GB2312;仿宋"/>
          <w:sz w:val="28"/>
          <w:szCs w:val="28"/>
        </w:rPr>
        <w:t>关键风险指标选取及阈值设定</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（一）收集信息、分析并识别潜在风险</w:t>
      </w:r>
    </w:p>
    <w:p>
      <w:pPr>
        <w:pStyle w:val="Normal"/>
        <w:shd w:fill="FFFFFF" w:val="clear"/>
        <w:overflowPunct w:val="false"/>
        <w:spacing w:lineRule="auto" w:line="360"/>
        <w:ind w:firstLine="560" w:right="0"/>
        <w:rPr/>
      </w:pPr>
      <w:r>
        <w:rPr>
          <w:rFonts w:eastAsia="仿宋_GB2312;仿宋"/>
          <w:sz w:val="28"/>
          <w:szCs w:val="28"/>
        </w:rPr>
        <w:t>1.</w:t>
      </w:r>
      <w:r>
        <w:rPr>
          <w:rFonts w:eastAsia="仿宋_GB2312;仿宋"/>
          <w:sz w:val="28"/>
          <w:szCs w:val="28"/>
        </w:rPr>
        <w:t>根据全面覆盖原则，收集各条线部门内部信息，如历史数据和风险控制自我评估结果，进行汇总和整理。</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2.</w:t>
      </w:r>
      <w:r>
        <w:rPr>
          <w:rFonts w:eastAsia="仿宋_GB2312;仿宋"/>
          <w:sz w:val="28"/>
          <w:szCs w:val="28"/>
        </w:rPr>
        <w:t>全面分析业务流程和内部信息，识别潜在风险。</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（二）建立风险指标清单</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分析识别得到的潜在风险，明确风险点，确定对应的风险指标，建立风险指标清单。</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（三）列出关键风险指标目录</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1.</w:t>
      </w:r>
      <w:r>
        <w:rPr>
          <w:rFonts w:eastAsia="仿宋_GB2312;仿宋"/>
          <w:sz w:val="28"/>
          <w:szCs w:val="28"/>
        </w:rPr>
        <w:t>根据数据可得原则，剔除可得较差的指标；</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2.</w:t>
      </w:r>
      <w:r>
        <w:rPr>
          <w:rFonts w:eastAsia="仿宋_GB2312;仿宋"/>
          <w:sz w:val="28"/>
          <w:szCs w:val="28"/>
        </w:rPr>
        <w:t>根据指标可控原则，剔除难以被有效控制的指标；</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3.</w:t>
      </w:r>
      <w:r>
        <w:rPr>
          <w:rFonts w:eastAsia="仿宋_GB2312;仿宋"/>
          <w:sz w:val="28"/>
          <w:szCs w:val="28"/>
        </w:rPr>
        <w:t>进行指标整理，建立关键风险指标目录。</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（四）定义阈值和监测方式</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1.</w:t>
      </w:r>
      <w:r>
        <w:rPr>
          <w:rFonts w:eastAsia="仿宋_GB2312;仿宋"/>
          <w:sz w:val="28"/>
          <w:szCs w:val="28"/>
        </w:rPr>
        <w:t>根据历史损失数据和风险控制自我评估结果，结合外部经验和内部实际情况，合理设定指标阈值；</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2.</w:t>
      </w:r>
      <w:r>
        <w:rPr>
          <w:rFonts w:eastAsia="仿宋_GB2312;仿宋"/>
          <w:sz w:val="28"/>
          <w:szCs w:val="28"/>
        </w:rPr>
        <w:t>制定指标监测方式，包括频率；</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3.</w:t>
      </w:r>
      <w:r>
        <w:rPr>
          <w:rFonts w:eastAsia="仿宋_GB2312;仿宋"/>
          <w:sz w:val="28"/>
          <w:szCs w:val="28"/>
        </w:rPr>
        <w:t>在关键风险指标提交审批前进行初始验证，测试指标的有效性。</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（五）指标审批和验证</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1.</w:t>
      </w:r>
      <w:r>
        <w:rPr>
          <w:rFonts w:eastAsia="仿宋_GB2312;仿宋"/>
          <w:sz w:val="28"/>
          <w:szCs w:val="28"/>
        </w:rPr>
        <w:t>将选取的关键风险指标目录、阈值和监测方式上报高级管理层审批。</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2.</w:t>
      </w:r>
      <w:r>
        <w:rPr>
          <w:rFonts w:eastAsia="仿宋_GB2312;仿宋"/>
          <w:sz w:val="28"/>
          <w:szCs w:val="28"/>
        </w:rPr>
        <w:t>在关键风险指标审批生效后，启动指标监测工作。参考监测结果，定期对关键风险指标进行验证。</w:t>
      </w:r>
    </w:p>
    <w:p>
      <w:pPr>
        <w:pStyle w:val="Normal"/>
        <w:shd w:fill="FFFFFF" w:val="clear"/>
        <w:overflowPunct w:val="false"/>
        <w:spacing w:lineRule="auto" w:line="360"/>
        <w:ind w:firstLine="560" w:right="0"/>
        <w:rPr/>
      </w:pPr>
      <w:r>
        <w:rPr>
          <w:rFonts w:eastAsia="仿宋_GB2312;仿宋"/>
          <w:sz w:val="28"/>
          <w:szCs w:val="28"/>
        </w:rPr>
        <w:t>第五十三条</w:t>
      </w:r>
      <w:r>
        <w:rPr>
          <w:rFonts w:eastAsia="Times New Roman"/>
          <w:sz w:val="28"/>
          <w:szCs w:val="28"/>
        </w:rPr>
        <w:t xml:space="preserve">  </w:t>
      </w:r>
      <w:r>
        <w:rPr>
          <w:rFonts w:eastAsia="仿宋_GB2312;仿宋"/>
          <w:sz w:val="28"/>
          <w:szCs w:val="28"/>
        </w:rPr>
        <w:t>关键风险指标监测、报告</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（一）监测。合规管理部门定期监测关键风险指标数据的变动情况，当关键风险指标值超过预设的阈值范围，对相关部门进行风险提示，并提出管理建议或要求。</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（二）分析。合规管理部门定期对关键风险指标的变化因素作详细分析，对相关部门风险提示落实情况和关键风险指标控制情况进行跟踪分析。</w:t>
      </w:r>
    </w:p>
    <w:p>
      <w:pPr>
        <w:pStyle w:val="Normal"/>
        <w:shd w:fill="FFFFFF" w:val="clear"/>
        <w:overflowPunct w:val="false"/>
        <w:spacing w:lineRule="auto" w:line="360"/>
        <w:ind w:firstLine="560" w:right="0"/>
        <w:rPr/>
      </w:pPr>
      <w:r>
        <w:rPr>
          <w:rFonts w:eastAsia="仿宋_GB2312;仿宋"/>
          <w:sz w:val="28"/>
          <w:szCs w:val="28"/>
        </w:rPr>
        <w:t>（三）报告。合规管理部门评估关键指标风险控制效果，在关键指标变化详细分析的基础上形成报告，定期向风险管理部门、高级管理层、董事会或其风险管理与关联交易委员会提交关键风险指标分析报告。</w:t>
      </w:r>
    </w:p>
    <w:p>
      <w:pPr>
        <w:pStyle w:val="Normal"/>
        <w:shd w:fill="FFFFFF" w:val="clear"/>
        <w:overflowPunct w:val="false"/>
        <w:spacing w:lineRule="auto" w:line="360"/>
        <w:ind w:firstLine="560" w:right="0"/>
        <w:rPr/>
      </w:pPr>
      <w:r>
        <w:rPr>
          <w:rFonts w:eastAsia="仿宋_GB2312;仿宋"/>
          <w:sz w:val="28"/>
          <w:szCs w:val="28"/>
        </w:rPr>
        <w:t>第五十四条</w:t>
      </w:r>
      <w:r>
        <w:rPr>
          <w:rFonts w:eastAsia="Times New Roman"/>
          <w:sz w:val="28"/>
          <w:szCs w:val="28"/>
        </w:rPr>
        <w:t xml:space="preserve">  </w:t>
      </w:r>
      <w:r>
        <w:rPr>
          <w:rFonts w:eastAsia="仿宋_GB2312;仿宋"/>
          <w:sz w:val="28"/>
          <w:szCs w:val="28"/>
        </w:rPr>
        <w:t>关键风险指标调整</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（一）调整的发起。关键风险指标使用部门根据关键风险指标实际应用的有效性提出关键风险指标管理政策及清单的修改意见，如：阈值设置范围调整，将修改意见以报告形式上交合规管理部门审阅。</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（二）审阅和分析。合规管理部门根据关键风险指标的使用情况分析及审阅关键风险指标管理政策及清单的增减、修改及定期重检调整申请意见，然后交由高级管理层审议核准。</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（三）调整的审批。对于关键风险指标管理政策及对关键风险指标体系、关键风险指标清单的修改，需要高级管理层审批，必要时可由董事会授权风险管理委员会审批。</w:t>
      </w:r>
    </w:p>
    <w:p>
      <w:pPr>
        <w:pStyle w:val="Normal"/>
        <w:shd w:fill="FFFFFF" w:val="clear"/>
        <w:overflowPunct w:val="false"/>
        <w:spacing w:lineRule="auto" w:line="360"/>
        <w:ind w:firstLine="560" w:right="0"/>
        <w:rPr/>
      </w:pPr>
      <w:r>
        <w:rPr>
          <w:rFonts w:eastAsia="仿宋_GB2312;仿宋"/>
          <w:sz w:val="28"/>
          <w:szCs w:val="28"/>
        </w:rPr>
        <w:t>第五十五条</w:t>
      </w:r>
      <w:r>
        <w:rPr>
          <w:rFonts w:eastAsia="Times New Roman"/>
          <w:sz w:val="28"/>
          <w:szCs w:val="28"/>
        </w:rPr>
        <w:t xml:space="preserve">  </w:t>
      </w:r>
      <w:r>
        <w:rPr>
          <w:rFonts w:eastAsia="仿宋_GB2312;仿宋"/>
          <w:sz w:val="28"/>
          <w:szCs w:val="28"/>
        </w:rPr>
        <w:t>本行要通过实施关键风险指标工具，完成对关键风险指标的开发、采集及监控，建立和形成关键风险指标库。</w:t>
      </w:r>
    </w:p>
    <w:p>
      <w:pPr>
        <w:pStyle w:val="Normal"/>
        <w:shd w:fill="FFFFFF" w:val="clear"/>
        <w:overflowPunct w:val="false"/>
        <w:spacing w:lineRule="auto" w:line="360"/>
        <w:ind w:firstLine="200" w:right="0"/>
        <w:jc w:val="center"/>
        <w:rPr>
          <w:rFonts w:eastAsia="仿宋_GB2312;仿宋"/>
          <w:sz w:val="28"/>
          <w:szCs w:val="28"/>
        </w:rPr>
      </w:pPr>
      <w:r>
        <w:rPr>
          <w:rFonts w:eastAsia="仿宋_GB2312;仿宋"/>
          <w:sz w:val="28"/>
          <w:szCs w:val="28"/>
        </w:rPr>
        <w:t>第三节损失数据收集</w:t>
      </w:r>
    </w:p>
    <w:p>
      <w:pPr>
        <w:pStyle w:val="Normal"/>
        <w:shd w:fill="FFFFFF" w:val="clear"/>
        <w:overflowPunct w:val="false"/>
        <w:spacing w:lineRule="auto" w:line="360"/>
        <w:ind w:firstLine="560" w:right="0"/>
        <w:rPr/>
      </w:pPr>
      <w:r>
        <w:rPr>
          <w:rFonts w:eastAsia="仿宋_GB2312;仿宋"/>
          <w:sz w:val="28"/>
          <w:szCs w:val="28"/>
        </w:rPr>
        <w:t>第五十六条</w:t>
      </w:r>
      <w:r>
        <w:rPr>
          <w:rFonts w:eastAsia="Times New Roman"/>
          <w:sz w:val="28"/>
          <w:szCs w:val="28"/>
        </w:rPr>
        <w:t xml:space="preserve">  </w:t>
      </w:r>
      <w:r>
        <w:rPr>
          <w:rFonts w:eastAsia="仿宋_GB2312;仿宋"/>
          <w:sz w:val="28"/>
          <w:szCs w:val="28"/>
        </w:rPr>
        <w:t>损失数据收集是指依据监管规定、本行的操作风险偏好与管理需求所定义的收集范围，针对操作风险事件的相关信息，进行数据收集、内容分析、整改方案设计与执行、损失分配、内外部报告的过程。</w:t>
      </w:r>
    </w:p>
    <w:p>
      <w:pPr>
        <w:pStyle w:val="Normal"/>
        <w:shd w:fill="FFFFFF" w:val="clear"/>
        <w:overflowPunct w:val="false"/>
        <w:spacing w:lineRule="auto" w:line="360"/>
        <w:ind w:firstLine="560" w:right="0"/>
        <w:rPr/>
      </w:pPr>
      <w:r>
        <w:rPr>
          <w:rFonts w:eastAsia="仿宋_GB2312;仿宋"/>
          <w:sz w:val="28"/>
          <w:szCs w:val="28"/>
        </w:rPr>
        <w:t>第五十七条</w:t>
      </w:r>
      <w:r>
        <w:rPr>
          <w:rFonts w:eastAsia="Times New Roman"/>
          <w:sz w:val="28"/>
          <w:szCs w:val="28"/>
        </w:rPr>
        <w:t xml:space="preserve">  </w:t>
      </w:r>
      <w:r>
        <w:rPr>
          <w:rFonts w:eastAsia="仿宋_GB2312;仿宋"/>
          <w:sz w:val="28"/>
          <w:szCs w:val="28"/>
        </w:rPr>
        <w:t>损失数据收集标准</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损失数据收集流程包括具有高质量标准的操作损失的识别、统计、验证、管理和报告等环节，并达到完备性、及时性、可获得性等，确保信息的数量和质量。</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损失数据收集的完备性主要是指所收集损失的整体情况；损失数据收集的及时性主要是指损失事件记录的时间点；损失数据收集的可获得性主要是指获取信息的成本；损失数据收集信息的数量和质量主要包括损失的时间、性质、数量及风险暴露的信息和评级信息等。</w:t>
      </w:r>
    </w:p>
    <w:p>
      <w:pPr>
        <w:pStyle w:val="Normal"/>
        <w:shd w:fill="FFFFFF" w:val="clear"/>
        <w:overflowPunct w:val="false"/>
        <w:spacing w:lineRule="auto" w:line="360"/>
        <w:ind w:firstLine="560" w:right="0"/>
        <w:rPr/>
      </w:pPr>
      <w:r>
        <w:rPr>
          <w:rFonts w:eastAsia="仿宋_GB2312;仿宋"/>
          <w:sz w:val="28"/>
          <w:szCs w:val="28"/>
        </w:rPr>
        <w:t>第五十八条</w:t>
      </w:r>
      <w:r>
        <w:rPr>
          <w:rFonts w:eastAsia="Times New Roman"/>
          <w:sz w:val="28"/>
          <w:szCs w:val="28"/>
        </w:rPr>
        <w:t xml:space="preserve">  </w:t>
      </w:r>
      <w:r>
        <w:rPr>
          <w:rFonts w:eastAsia="仿宋_GB2312;仿宋"/>
          <w:sz w:val="28"/>
          <w:szCs w:val="28"/>
        </w:rPr>
        <w:t>损失数据收集要素环节</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损失数据收集要素环节主要包括收集内容、信息来源、收集方式和收集人员。收集内容主要包括损失数据收集标准、损失类型、信息种类、阈值、特别案例、分类指南等；收集方式主要包括方法、程序、流程、与其他系统连接、变革管理、培训等。</w:t>
      </w:r>
    </w:p>
    <w:p>
      <w:pPr>
        <w:pStyle w:val="Normal"/>
        <w:shd w:fill="FFFFFF" w:val="clear"/>
        <w:overflowPunct w:val="false"/>
        <w:spacing w:lineRule="auto" w:line="360"/>
        <w:ind w:firstLine="560" w:right="0"/>
        <w:rPr/>
      </w:pPr>
      <w:r>
        <w:rPr>
          <w:rFonts w:eastAsia="仿宋_GB2312;仿宋"/>
          <w:sz w:val="28"/>
          <w:szCs w:val="28"/>
        </w:rPr>
        <w:t>第五十九条</w:t>
      </w:r>
      <w:r>
        <w:rPr>
          <w:rFonts w:eastAsia="Times New Roman"/>
          <w:sz w:val="28"/>
          <w:szCs w:val="28"/>
        </w:rPr>
        <w:t xml:space="preserve">  </w:t>
      </w:r>
      <w:r>
        <w:rPr>
          <w:rFonts w:eastAsia="仿宋_GB2312;仿宋"/>
          <w:sz w:val="28"/>
          <w:szCs w:val="28"/>
        </w:rPr>
        <w:t>损失数据收集信息设定</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本行对于所有需要收集的损失事件应设置一定的数据项，至少包括以下项目：损失额、日期（损失事件发生日期、损失事件发现日期、损失事件录入日期、损失记账日期）、损失事件类型、损失形态、组织维度、风险因素及其他。</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操作风险损失形态包括：法律成本、监管罚没、资产损失、对外赔偿、追索失败、账面减值和其他损失。</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法律成本。因本行发生操作风险事件引发法律诉讼或仲裁，在诉讼或仲裁过程中依法支出的诉讼费用、仲裁费用及其他法律成本。如违反知识产权保护规定等导致的诉讼费、外聘律师代理费、评估费、鉴定费等。</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监管罚没。因操作风险事件所遭受的监管部门或有权机关罚款及其他处罚。如违反产业政策、监管法规等所遭受的罚款、吊销执照等。</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资产损失。由于疏忽、事故或自然灾害等事件造成实物资产的直接毁坏和价值的减少。如火灾、洪水、地震等自然灾害所导致的账面价值减少等。</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对外赔偿。由于内部操作风险事件，导致本行未能履行应承担的责任造成对外的赔偿。如因本行自身业务中断、交割延误、内部案件造成客户资金或资产等损失的赔偿金额。</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追索失败。由于工作失误、失职或内部事件，使原本能够追偿但最终无法追偿所导致的损失，或因有关方不履行相应义务导致追索失败所造成的损失。如资金划转错误、相关文件要素缺失、跟踪监测不及时所带来的损失等。</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账面减值。由于偷盗、欺诈、未经授权活动等操作风险事件所导致的资产账面价值直接减少。如内部欺诈导致的销账、外部欺诈和偷盗导致的账面资产或收入损失，以及未经授权或超授权交易导致的账面损失等。</w:t>
      </w:r>
    </w:p>
    <w:p>
      <w:pPr>
        <w:pStyle w:val="Normal"/>
        <w:shd w:fill="FFFFFF" w:val="clear"/>
        <w:overflowPunct w:val="false"/>
        <w:spacing w:lineRule="auto" w:line="360"/>
        <w:ind w:firstLine="560" w:right="0"/>
        <w:rPr/>
      </w:pPr>
      <w:r>
        <w:rPr>
          <w:rFonts w:eastAsia="仿宋_GB2312;仿宋"/>
          <w:sz w:val="28"/>
          <w:szCs w:val="28"/>
        </w:rPr>
        <w:t>第六十条</w:t>
      </w:r>
      <w:r>
        <w:rPr>
          <w:rFonts w:eastAsia="Times New Roman"/>
          <w:sz w:val="28"/>
          <w:szCs w:val="28"/>
        </w:rPr>
        <w:t xml:space="preserve">  </w:t>
      </w:r>
      <w:r>
        <w:rPr>
          <w:rFonts w:eastAsia="仿宋_GB2312;仿宋"/>
          <w:sz w:val="28"/>
          <w:szCs w:val="28"/>
        </w:rPr>
        <w:t>损失数据收集流程</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本行应结合监管要求、自身实际情况和内部管理需求确定损失数据收集流程。</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1.</w:t>
      </w:r>
      <w:r>
        <w:rPr>
          <w:rFonts w:eastAsia="仿宋_GB2312;仿宋"/>
          <w:sz w:val="28"/>
          <w:szCs w:val="28"/>
        </w:rPr>
        <w:t>识别。操作风险责任部门首先要识别、评估操作风险损失。</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2.</w:t>
      </w:r>
      <w:r>
        <w:rPr>
          <w:rFonts w:eastAsia="仿宋_GB2312;仿宋"/>
          <w:sz w:val="28"/>
          <w:szCs w:val="28"/>
        </w:rPr>
        <w:t>统计。操作风险责任部门在识别、评估操作风险损失的基础上，建立损失数据库，收集操作风险损失信息，并进行信息分类。</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3.</w:t>
      </w:r>
      <w:r>
        <w:rPr>
          <w:rFonts w:eastAsia="仿宋_GB2312;仿宋"/>
          <w:sz w:val="28"/>
          <w:szCs w:val="28"/>
        </w:rPr>
        <w:t>验证。操作风险责任部门根据会计索引和选择的方法模型对损失数据进行数据分析，合规管理部门在分析的基础上进行数据分析验证。</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4.</w:t>
      </w:r>
      <w:r>
        <w:rPr>
          <w:rFonts w:eastAsia="仿宋_GB2312;仿宋"/>
          <w:sz w:val="28"/>
          <w:szCs w:val="28"/>
        </w:rPr>
        <w:t>管理。合规管理部门对已分析验证数据进行管理，对相关的风险损失事件做好分析。</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5.</w:t>
      </w:r>
      <w:r>
        <w:rPr>
          <w:rFonts w:eastAsia="仿宋_GB2312;仿宋"/>
          <w:sz w:val="28"/>
          <w:szCs w:val="28"/>
        </w:rPr>
        <w:t>报告。合规管理部门在综合分析的基础上形成报告，并报告风险管理部门、高级管理层和董事会。</w:t>
      </w:r>
    </w:p>
    <w:p>
      <w:pPr>
        <w:pStyle w:val="Normal"/>
        <w:shd w:fill="FFFFFF" w:val="clear"/>
        <w:overflowPunct w:val="false"/>
        <w:spacing w:lineRule="auto" w:line="360"/>
        <w:ind w:firstLine="560" w:right="0"/>
        <w:rPr/>
      </w:pPr>
      <w:r>
        <w:rPr>
          <w:rFonts w:eastAsia="仿宋_GB2312;仿宋"/>
          <w:sz w:val="28"/>
          <w:szCs w:val="28"/>
        </w:rPr>
        <w:t>第六十一条</w:t>
      </w:r>
      <w:r>
        <w:rPr>
          <w:rFonts w:eastAsia="Times New Roman"/>
          <w:sz w:val="28"/>
          <w:szCs w:val="28"/>
        </w:rPr>
        <w:t xml:space="preserve">  </w:t>
      </w:r>
      <w:r>
        <w:rPr>
          <w:rFonts w:eastAsia="仿宋_GB2312;仿宋"/>
          <w:sz w:val="28"/>
          <w:szCs w:val="28"/>
        </w:rPr>
        <w:t>本行通过实施损失数据收集工具，明确损失数据的收集标准、收集规则及收集流程，做好损失数据收集方法和损失数据信息源的维护，形成常态化的损失数据机制，建立和形成损失数据库。</w:t>
      </w:r>
    </w:p>
    <w:p>
      <w:pPr>
        <w:pStyle w:val="Normal"/>
        <w:shd w:fill="FFFFFF" w:val="clear"/>
        <w:overflowPunct w:val="false"/>
        <w:spacing w:lineRule="auto" w:line="360"/>
        <w:ind w:firstLine="560" w:right="0"/>
        <w:rPr/>
      </w:pPr>
      <w:r>
        <w:rPr>
          <w:rFonts w:eastAsia="仿宋_GB2312;仿宋"/>
          <w:sz w:val="28"/>
          <w:szCs w:val="28"/>
        </w:rPr>
        <w:t>第六十二条</w:t>
      </w:r>
      <w:r>
        <w:rPr>
          <w:rFonts w:eastAsia="Times New Roman"/>
          <w:sz w:val="28"/>
          <w:szCs w:val="28"/>
        </w:rPr>
        <w:t xml:space="preserve">  </w:t>
      </w:r>
      <w:r>
        <w:rPr>
          <w:rFonts w:eastAsia="仿宋_GB2312;仿宋"/>
          <w:sz w:val="28"/>
          <w:szCs w:val="28"/>
        </w:rPr>
        <w:t>本行通过建立损失数据库，跟踪和记录每项损失事件的频率、严重性和其他相关信息，对损失事件及损失金额，按照事件类型和业务条线进行矩阵分布分析，评估蒙受操作风险的程度以及开发控制及缓释风险的政策。</w:t>
      </w:r>
    </w:p>
    <w:p>
      <w:pPr>
        <w:pStyle w:val="Normal"/>
        <w:shd w:fill="FFFFFF" w:val="clear"/>
        <w:overflowPunct w:val="false"/>
        <w:spacing w:lineRule="auto" w:line="360" w:before="156" w:after="0"/>
        <w:ind w:firstLine="198" w:right="0"/>
        <w:jc w:val="center"/>
        <w:rPr/>
      </w:pPr>
      <w:r>
        <w:rPr>
          <w:rFonts w:eastAsia="仿宋_GB2312;仿宋"/>
          <w:b/>
          <w:sz w:val="28"/>
          <w:szCs w:val="28"/>
        </w:rPr>
        <w:t>第五章</w:t>
      </w:r>
      <w:r>
        <w:rPr>
          <w:rFonts w:eastAsia="Times New Roman"/>
          <w:b/>
          <w:sz w:val="28"/>
          <w:szCs w:val="28"/>
        </w:rPr>
        <w:t xml:space="preserve">  </w:t>
      </w:r>
      <w:r>
        <w:rPr>
          <w:rFonts w:eastAsia="仿宋_GB2312;仿宋"/>
          <w:b/>
          <w:sz w:val="28"/>
          <w:szCs w:val="28"/>
        </w:rPr>
        <w:t>操作风险偏好和资本计量</w:t>
      </w:r>
    </w:p>
    <w:p>
      <w:pPr>
        <w:pStyle w:val="Normal"/>
        <w:shd w:fill="FFFFFF" w:val="clear"/>
        <w:overflowPunct w:val="false"/>
        <w:spacing w:lineRule="auto" w:line="360"/>
        <w:ind w:firstLine="560" w:right="0"/>
        <w:rPr/>
      </w:pPr>
      <w:r>
        <w:rPr>
          <w:rFonts w:eastAsia="仿宋_GB2312;仿宋"/>
          <w:sz w:val="28"/>
          <w:szCs w:val="28"/>
        </w:rPr>
        <w:t>第六十三条</w:t>
      </w:r>
      <w:r>
        <w:rPr>
          <w:rFonts w:eastAsia="Times New Roman"/>
          <w:sz w:val="28"/>
          <w:szCs w:val="28"/>
        </w:rPr>
        <w:t xml:space="preserve">  </w:t>
      </w:r>
      <w:r>
        <w:rPr>
          <w:rFonts w:eastAsia="仿宋_GB2312;仿宋"/>
          <w:sz w:val="28"/>
          <w:szCs w:val="28"/>
        </w:rPr>
        <w:t>本行董事会应根据本行操作风险管理政策、经营发展水平、风险承受能力、风险管理控制能力、内外部环境等，确定本行的操作风险偏好和容忍度。</w:t>
      </w:r>
    </w:p>
    <w:p>
      <w:pPr>
        <w:pStyle w:val="Normal"/>
        <w:shd w:fill="FFFFFF" w:val="clear"/>
        <w:overflowPunct w:val="false"/>
        <w:spacing w:lineRule="auto" w:line="360"/>
        <w:ind w:firstLine="560" w:right="0"/>
        <w:rPr/>
      </w:pPr>
      <w:r>
        <w:rPr>
          <w:rFonts w:eastAsia="仿宋_GB2312;仿宋"/>
          <w:sz w:val="28"/>
          <w:szCs w:val="28"/>
        </w:rPr>
        <w:t>第六十四条</w:t>
      </w:r>
      <w:r>
        <w:rPr>
          <w:rFonts w:eastAsia="Times New Roman"/>
          <w:sz w:val="28"/>
          <w:szCs w:val="28"/>
        </w:rPr>
        <w:t xml:space="preserve">  </w:t>
      </w:r>
      <w:r>
        <w:rPr>
          <w:rFonts w:eastAsia="仿宋_GB2312;仿宋"/>
          <w:sz w:val="28"/>
          <w:szCs w:val="28"/>
        </w:rPr>
        <w:t>本行在确定操作风险偏好和容忍度时，应强调业务规模、效益与风险承受度的匹配，主要依据下列因素来确定可接受的操作风险水平：</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（一）股东的预期；</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（二）统一的风险偏好和整体风险容忍度范围；</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（三）总资本及储备；</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（四）业务发展战略和业务发展能力；</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（五）操作风险管理能力；</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（六）操作风险的潜在损失；</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（七）法律、法规规定的最低资本金。</w:t>
      </w:r>
    </w:p>
    <w:p>
      <w:pPr>
        <w:pStyle w:val="Normal"/>
        <w:shd w:fill="FFFFFF" w:val="clear"/>
        <w:overflowPunct w:val="false"/>
        <w:spacing w:lineRule="auto" w:line="360"/>
        <w:ind w:firstLine="560" w:right="0"/>
        <w:rPr/>
      </w:pPr>
      <w:r>
        <w:rPr>
          <w:rFonts w:eastAsia="仿宋_GB2312;仿宋"/>
          <w:sz w:val="28"/>
          <w:szCs w:val="28"/>
        </w:rPr>
        <w:t>第六十五条</w:t>
      </w:r>
      <w:r>
        <w:rPr>
          <w:rFonts w:eastAsia="Times New Roman"/>
          <w:sz w:val="28"/>
          <w:szCs w:val="28"/>
        </w:rPr>
        <w:t xml:space="preserve">  </w:t>
      </w:r>
      <w:r>
        <w:rPr>
          <w:rFonts w:eastAsia="仿宋_GB2312;仿宋"/>
          <w:sz w:val="28"/>
          <w:szCs w:val="28"/>
        </w:rPr>
        <w:t>操作风险偏好和容忍度要坚持动态调整原则。本行在确定本行操作风险偏好和容忍度后，应针对本行不同时期的业务发展和经营管理需要，根据内外部环境的变化，结合经营管理水平和风险管控能力，适时调整本行操作风险偏好和容忍度。</w:t>
      </w:r>
    </w:p>
    <w:p>
      <w:pPr>
        <w:pStyle w:val="Normal"/>
        <w:shd w:fill="FFFFFF" w:val="clear"/>
        <w:overflowPunct w:val="false"/>
        <w:spacing w:lineRule="auto" w:line="360"/>
        <w:ind w:firstLine="560" w:right="0"/>
        <w:rPr/>
      </w:pPr>
      <w:r>
        <w:rPr>
          <w:rFonts w:eastAsia="仿宋_GB2312;仿宋"/>
          <w:sz w:val="28"/>
          <w:szCs w:val="28"/>
        </w:rPr>
        <w:t>第六十六条</w:t>
      </w:r>
      <w:r>
        <w:rPr>
          <w:rFonts w:eastAsia="Times New Roman"/>
          <w:sz w:val="28"/>
          <w:szCs w:val="28"/>
        </w:rPr>
        <w:t xml:space="preserve">  </w:t>
      </w:r>
      <w:r>
        <w:rPr>
          <w:rFonts w:eastAsia="仿宋_GB2312;仿宋"/>
          <w:sz w:val="28"/>
          <w:szCs w:val="28"/>
        </w:rPr>
        <w:t>本行应按照《商业银行资本管理办法（试行）》的相关要求，为所承担的操作风险计提充足的资本，并根据本行实际情况及可操作性探索为操作风险计量配置相应的经济资本，逐步建立科学的风险管理约束机制。</w:t>
      </w:r>
    </w:p>
    <w:p>
      <w:pPr>
        <w:pStyle w:val="Normal"/>
        <w:shd w:fill="FFFFFF" w:val="clear"/>
        <w:overflowPunct w:val="false"/>
        <w:spacing w:lineRule="auto" w:line="360" w:before="156" w:after="0"/>
        <w:ind w:firstLine="198" w:right="0"/>
        <w:jc w:val="center"/>
        <w:rPr/>
      </w:pPr>
      <w:r>
        <w:rPr>
          <w:rFonts w:eastAsia="仿宋_GB2312;仿宋"/>
          <w:b/>
          <w:sz w:val="28"/>
          <w:szCs w:val="28"/>
        </w:rPr>
        <w:t>第六章</w:t>
      </w:r>
      <w:r>
        <w:rPr>
          <w:rFonts w:eastAsia="Times New Roman"/>
          <w:b/>
          <w:sz w:val="28"/>
          <w:szCs w:val="28"/>
        </w:rPr>
        <w:t xml:space="preserve"> </w:t>
      </w:r>
      <w:r>
        <w:rPr>
          <w:rFonts w:eastAsia="Times New Roman"/>
          <w:b/>
          <w:sz w:val="28"/>
          <w:szCs w:val="28"/>
        </w:rPr>
        <w:t xml:space="preserve"> </w:t>
      </w:r>
      <w:r>
        <w:rPr>
          <w:rFonts w:eastAsia="仿宋_GB2312;仿宋"/>
          <w:b/>
          <w:sz w:val="28"/>
          <w:szCs w:val="28"/>
        </w:rPr>
        <w:t>操作风险应急处理与信息披露</w:t>
      </w:r>
    </w:p>
    <w:p>
      <w:pPr>
        <w:pStyle w:val="Normal"/>
        <w:shd w:fill="FFFFFF" w:val="clear"/>
        <w:overflowPunct w:val="false"/>
        <w:spacing w:lineRule="auto" w:line="360"/>
        <w:ind w:firstLine="560" w:right="0"/>
        <w:rPr/>
      </w:pPr>
      <w:r>
        <w:rPr>
          <w:rFonts w:eastAsia="仿宋_GB2312;仿宋"/>
          <w:sz w:val="28"/>
          <w:szCs w:val="28"/>
        </w:rPr>
        <w:t>第六十七条</w:t>
      </w:r>
      <w:r>
        <w:rPr>
          <w:rFonts w:eastAsia="Times New Roman"/>
          <w:sz w:val="28"/>
          <w:szCs w:val="28"/>
        </w:rPr>
        <w:t xml:space="preserve">  </w:t>
      </w:r>
      <w:r>
        <w:rPr>
          <w:rFonts w:eastAsia="仿宋_GB2312;仿宋"/>
          <w:sz w:val="28"/>
          <w:szCs w:val="28"/>
        </w:rPr>
        <w:t>本行应当制定与其业务规模和复杂性相适应的应急预案和业务连续方案，建立恢复服务和保证业务连续运行的备用机制，并应当定期检查更新、测试和演练，确保在出现灾难和业务严重中断时这些方案和机制的正常执行。</w:t>
      </w:r>
    </w:p>
    <w:p>
      <w:pPr>
        <w:pStyle w:val="Normal"/>
        <w:shd w:fill="FFFFFF" w:val="clear"/>
        <w:overflowPunct w:val="false"/>
        <w:spacing w:lineRule="auto" w:line="360"/>
        <w:ind w:firstLine="560" w:right="0"/>
        <w:rPr/>
      </w:pPr>
      <w:r>
        <w:rPr>
          <w:rFonts w:eastAsia="仿宋_GB2312;仿宋"/>
          <w:sz w:val="28"/>
          <w:szCs w:val="28"/>
        </w:rPr>
        <w:t>第六十八条</w:t>
      </w:r>
      <w:r>
        <w:rPr>
          <w:rFonts w:eastAsia="Times New Roman"/>
          <w:sz w:val="28"/>
          <w:szCs w:val="28"/>
        </w:rPr>
        <w:t xml:space="preserve">  </w:t>
      </w:r>
      <w:r>
        <w:rPr>
          <w:rFonts w:eastAsia="仿宋_GB2312;仿宋"/>
          <w:sz w:val="28"/>
          <w:szCs w:val="28"/>
        </w:rPr>
        <w:t>本行应当建立操作风险应急工作领导小组，按业务条线成立操作风险应急工作小组，对操作风险存在重大影响的情形或应急事项，应按制定的应急和业务连续方案开展应急工作，确保恢复服务和保证业务连续及正常运行。</w:t>
      </w:r>
    </w:p>
    <w:p>
      <w:pPr>
        <w:pStyle w:val="Normal"/>
        <w:shd w:fill="FFFFFF" w:val="clear"/>
        <w:overflowPunct w:val="false"/>
        <w:spacing w:lineRule="auto" w:line="360"/>
        <w:ind w:firstLine="560" w:right="0"/>
        <w:rPr/>
      </w:pPr>
      <w:r>
        <w:rPr>
          <w:rFonts w:eastAsia="仿宋_GB2312;仿宋"/>
          <w:sz w:val="28"/>
          <w:szCs w:val="28"/>
        </w:rPr>
        <w:t>第六十九条</w:t>
      </w:r>
      <w:r>
        <w:rPr>
          <w:rFonts w:eastAsia="Times New Roman"/>
          <w:sz w:val="28"/>
          <w:szCs w:val="28"/>
        </w:rPr>
        <w:t xml:space="preserve">  </w:t>
      </w:r>
      <w:r>
        <w:rPr>
          <w:rFonts w:eastAsia="仿宋_GB2312;仿宋"/>
          <w:sz w:val="28"/>
          <w:szCs w:val="28"/>
        </w:rPr>
        <w:t>本行发生重大操作风险事件，应在第一时间启动应急预案，及时向董事会、高级管理层或相关管理人员报告，并按有关规定向省联社和监管部门报告。</w:t>
      </w:r>
    </w:p>
    <w:p>
      <w:pPr>
        <w:pStyle w:val="Normal"/>
        <w:shd w:fill="FFFFFF" w:val="clear"/>
        <w:overflowPunct w:val="false"/>
        <w:spacing w:lineRule="auto" w:line="360"/>
        <w:ind w:firstLine="560" w:right="0"/>
        <w:rPr/>
      </w:pPr>
      <w:r>
        <w:rPr>
          <w:rFonts w:eastAsia="仿宋_GB2312;仿宋"/>
          <w:sz w:val="28"/>
          <w:szCs w:val="28"/>
        </w:rPr>
        <w:t>第七十条</w:t>
      </w:r>
      <w:r>
        <w:rPr>
          <w:rFonts w:eastAsia="Times New Roman"/>
          <w:sz w:val="28"/>
          <w:szCs w:val="28"/>
        </w:rPr>
        <w:t xml:space="preserve">  </w:t>
      </w:r>
      <w:r>
        <w:rPr>
          <w:rFonts w:eastAsia="仿宋_GB2312;仿宋"/>
          <w:sz w:val="28"/>
          <w:szCs w:val="28"/>
        </w:rPr>
        <w:t>本行遵照监管部门和本行信息披露的规定，披露操作风险状况的定量和定性信息。</w:t>
      </w:r>
    </w:p>
    <w:p>
      <w:pPr>
        <w:pStyle w:val="Normal"/>
        <w:shd w:fill="FFFFFF" w:val="clear"/>
        <w:overflowPunct w:val="false"/>
        <w:spacing w:lineRule="auto" w:line="360" w:before="156" w:after="0"/>
        <w:ind w:firstLine="198" w:right="0"/>
        <w:jc w:val="center"/>
        <w:rPr/>
      </w:pPr>
      <w:r>
        <w:rPr>
          <w:rFonts w:eastAsia="仿宋_GB2312;仿宋"/>
          <w:sz w:val="28"/>
          <w:szCs w:val="28"/>
        </w:rPr>
        <w:t>第七章</w:t>
      </w:r>
      <w:r>
        <w:rPr>
          <w:rFonts w:eastAsia="Times New Roman"/>
          <w:sz w:val="28"/>
          <w:szCs w:val="28"/>
        </w:rPr>
        <w:t xml:space="preserve">  </w:t>
      </w:r>
      <w:r>
        <w:rPr>
          <w:rFonts w:eastAsia="仿宋_GB2312;仿宋"/>
          <w:sz w:val="28"/>
          <w:szCs w:val="28"/>
        </w:rPr>
        <w:t>操作风险管理系统建设</w:t>
      </w:r>
    </w:p>
    <w:p>
      <w:pPr>
        <w:pStyle w:val="Normal"/>
        <w:shd w:fill="FFFFFF" w:val="clear"/>
        <w:overflowPunct w:val="false"/>
        <w:spacing w:lineRule="auto" w:line="360"/>
        <w:ind w:firstLine="560" w:right="0"/>
        <w:rPr/>
      </w:pPr>
      <w:r>
        <w:rPr>
          <w:rFonts w:eastAsia="仿宋_GB2312;仿宋"/>
          <w:sz w:val="28"/>
          <w:szCs w:val="28"/>
        </w:rPr>
        <w:t>第七十一条</w:t>
      </w:r>
      <w:r>
        <w:rPr>
          <w:rFonts w:eastAsia="Times New Roman"/>
          <w:sz w:val="28"/>
          <w:szCs w:val="28"/>
        </w:rPr>
        <w:t xml:space="preserve">  </w:t>
      </w:r>
      <w:r>
        <w:rPr>
          <w:rFonts w:eastAsia="仿宋_GB2312;仿宋"/>
          <w:sz w:val="28"/>
          <w:szCs w:val="28"/>
        </w:rPr>
        <w:t>本行应当建立并逐步完善操作风险</w:t>
      </w:r>
      <w:hyperlink r:id="rId2">
        <w:r>
          <w:rPr>
            <w:rStyle w:val="Hyperlink"/>
            <w:rFonts w:eastAsia="仿宋_GB2312;仿宋"/>
            <w:sz w:val="28"/>
            <w:szCs w:val="28"/>
          </w:rPr>
          <w:t>管理系统</w:t>
        </w:r>
      </w:hyperlink>
      <w:r>
        <w:rPr>
          <w:rFonts w:eastAsia="仿宋_GB2312;仿宋"/>
          <w:sz w:val="28"/>
          <w:szCs w:val="28"/>
        </w:rPr>
        <w:t>，为有效地识别、评估、监测、控制和报告操作风险提供技术支撑。操作风险管理系统的建设可与内控合规、案防等相关系统的建设有机融合。合规管理部门负责牵头建设操作风险管理系统，信息科技部门负责操作风险管理系统的日常维护和技术支撑，操作风险责任部门和分支机构负责数据收集、录入和日常管理与维护。风险管理部门应参与操作风险管理系统建设，对系统建设进行风险评估，并提供相关建议。</w:t>
      </w:r>
    </w:p>
    <w:p>
      <w:pPr>
        <w:pStyle w:val="Normal"/>
        <w:shd w:fill="FFFFFF" w:val="clear"/>
        <w:overflowPunct w:val="false"/>
        <w:spacing w:lineRule="auto" w:line="360"/>
        <w:ind w:firstLine="560" w:right="0"/>
        <w:rPr/>
      </w:pPr>
      <w:r>
        <w:rPr>
          <w:rFonts w:eastAsia="仿宋_GB2312;仿宋"/>
          <w:sz w:val="28"/>
          <w:szCs w:val="28"/>
        </w:rPr>
        <w:t>第七十二条</w:t>
      </w:r>
      <w:r>
        <w:rPr>
          <w:rFonts w:eastAsia="Times New Roman"/>
          <w:sz w:val="28"/>
          <w:szCs w:val="28"/>
        </w:rPr>
        <w:t xml:space="preserve">  </w:t>
      </w:r>
      <w:r>
        <w:rPr>
          <w:rFonts w:eastAsia="仿宋_GB2312;仿宋"/>
          <w:sz w:val="28"/>
          <w:szCs w:val="28"/>
        </w:rPr>
        <w:t>本行通过建立操作风险管理系统，实现对操作人员的身份识别，将操作风险防控嵌入到经营管理的每个环节，为操作风险管理流程和管理工具的实施和整合提供平台，确保风险控制自我评估工具模块、关键风险指标工具模块和损失数据收集工具模块间的联系和数据共享，为本行风险决策提供支撑，实现风险预警、风险识别和风险控制，定期跟踪监测风险并进行风险评估。</w:t>
      </w:r>
    </w:p>
    <w:p>
      <w:pPr>
        <w:pStyle w:val="Normal"/>
        <w:shd w:fill="FFFFFF" w:val="clear"/>
        <w:overflowPunct w:val="false"/>
        <w:spacing w:lineRule="auto" w:line="360"/>
        <w:ind w:firstLine="560" w:right="0"/>
        <w:rPr/>
      </w:pPr>
      <w:r>
        <w:rPr>
          <w:rFonts w:eastAsia="仿宋_GB2312;仿宋"/>
          <w:sz w:val="28"/>
          <w:szCs w:val="28"/>
        </w:rPr>
        <w:t>第七十三条</w:t>
      </w:r>
      <w:r>
        <w:rPr>
          <w:rFonts w:eastAsia="Times New Roman"/>
          <w:sz w:val="28"/>
          <w:szCs w:val="28"/>
        </w:rPr>
        <w:t xml:space="preserve">  </w:t>
      </w:r>
      <w:r>
        <w:rPr>
          <w:rFonts w:eastAsia="仿宋_GB2312;仿宋"/>
          <w:sz w:val="28"/>
          <w:szCs w:val="28"/>
        </w:rPr>
        <w:t>操作风险管理系统应当包括以下内容：</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（一）操作风险库建设。包括业务流程库、风险点及控制措施库、关键风险指标库、损失数据库等。</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（二）操作风险系统模型建设。包括数据分析模型、识别评估模型、监测模型、控制模型等。</w:t>
      </w:r>
    </w:p>
    <w:p>
      <w:pPr>
        <w:pStyle w:val="Normal"/>
        <w:shd w:fill="FFFFFF" w:val="clear"/>
        <w:overflowPunct w:val="false"/>
        <w:spacing w:lineRule="auto" w:line="360"/>
        <w:ind w:firstLine="560" w:right="0"/>
        <w:rPr/>
      </w:pPr>
      <w:r>
        <w:rPr>
          <w:rFonts w:eastAsia="仿宋_GB2312;仿宋"/>
          <w:sz w:val="28"/>
          <w:szCs w:val="28"/>
        </w:rPr>
        <w:t>第七十四条</w:t>
      </w:r>
      <w:r>
        <w:rPr>
          <w:rFonts w:eastAsia="Times New Roman"/>
          <w:sz w:val="28"/>
          <w:szCs w:val="28"/>
        </w:rPr>
        <w:t xml:space="preserve">  </w:t>
      </w:r>
      <w:r>
        <w:rPr>
          <w:rFonts w:eastAsia="仿宋_GB2312;仿宋"/>
          <w:sz w:val="28"/>
          <w:szCs w:val="28"/>
        </w:rPr>
        <w:t>操作风险系统工作流程</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（一）业务处理。日常业务处理，形成纸质文档、电子文件和系统数据等档案资料。</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（二）数据收集。从已形成的纸质文档、电子文件和系统数据等档案资料中收集有关操作风险数据。</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（三）数据录入。通过手工录入或系统导入的方式，将收集的操作风险数据录入操作风险管理系统。</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（四）审核验证。将录入的数据，通过管理系统进行审核验证，通过后，系统根据数据性质和特点分发到操作风险库。</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（五）系统分析。对审核验证分发后的数据，按照自己设定的模型规则，由系统对数据进行分析，自动形成结论。</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（六）措施行动。将形成的结论分发给对应的责任部门，责任部门根据结论，决定是否启动行动预案或采取何种控制、缓释措施。</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（七）报告。根据规定将情况报告给董事会和高级管理层，董事会和高级管理层根据报告内容作出操作风险管理决策，促进操作风险管理的调整与提高。</w:t>
      </w:r>
    </w:p>
    <w:p>
      <w:pPr>
        <w:pStyle w:val="Normal"/>
        <w:shd w:fill="FFFFFF" w:val="clear"/>
        <w:overflowPunct w:val="false"/>
        <w:spacing w:lineRule="auto" w:line="360" w:before="156" w:after="0"/>
        <w:ind w:firstLine="198" w:right="0"/>
        <w:jc w:val="center"/>
        <w:rPr/>
      </w:pPr>
      <w:r>
        <w:rPr>
          <w:rFonts w:eastAsia="仿宋_GB2312;仿宋"/>
          <w:b/>
          <w:sz w:val="28"/>
          <w:szCs w:val="28"/>
        </w:rPr>
        <w:t>第八章</w:t>
      </w:r>
      <w:r>
        <w:rPr>
          <w:rFonts w:eastAsia="Times New Roman"/>
          <w:b/>
          <w:sz w:val="28"/>
          <w:szCs w:val="28"/>
        </w:rPr>
        <w:t xml:space="preserve">  </w:t>
      </w:r>
      <w:r>
        <w:rPr>
          <w:rFonts w:eastAsia="仿宋_GB2312;仿宋"/>
          <w:b/>
          <w:sz w:val="28"/>
          <w:szCs w:val="28"/>
        </w:rPr>
        <w:t>操作风险的审计</w:t>
      </w:r>
    </w:p>
    <w:p>
      <w:pPr>
        <w:pStyle w:val="Normal"/>
        <w:shd w:fill="FFFFFF" w:val="clear"/>
        <w:overflowPunct w:val="false"/>
        <w:spacing w:lineRule="auto" w:line="360"/>
        <w:ind w:firstLine="560" w:right="0"/>
        <w:rPr/>
      </w:pPr>
      <w:r>
        <w:rPr>
          <w:rFonts w:eastAsia="仿宋_GB2312;仿宋"/>
          <w:sz w:val="28"/>
          <w:szCs w:val="28"/>
        </w:rPr>
        <w:t>第七十五条</w:t>
      </w:r>
      <w:r>
        <w:rPr>
          <w:rFonts w:eastAsia="Times New Roman"/>
          <w:sz w:val="28"/>
          <w:szCs w:val="28"/>
        </w:rPr>
        <w:t xml:space="preserve">  </w:t>
      </w:r>
      <w:r>
        <w:rPr>
          <w:rFonts w:eastAsia="仿宋_GB2312;仿宋"/>
          <w:sz w:val="28"/>
          <w:szCs w:val="28"/>
        </w:rPr>
        <w:t>本行对操作风险管理实行定期审计稽核制度。本行审计部门应至少每年一次对操作风险管理体系各个组成部分和环节的有效性进行全面审查与评价，还应根据单位面临的操作风险状况不定期采用专项审计等方式对操作风险管理的部分内容进行审计。</w:t>
      </w:r>
    </w:p>
    <w:p>
      <w:pPr>
        <w:pStyle w:val="Normal"/>
        <w:shd w:fill="FFFFFF" w:val="clear"/>
        <w:overflowPunct w:val="false"/>
        <w:spacing w:lineRule="auto" w:line="360"/>
        <w:ind w:firstLine="560" w:right="0"/>
        <w:rPr/>
      </w:pPr>
      <w:r>
        <w:rPr>
          <w:rFonts w:eastAsia="仿宋_GB2312;仿宋"/>
          <w:sz w:val="28"/>
          <w:szCs w:val="28"/>
        </w:rPr>
        <w:t>根据业务发展需要，还可以委托</w:t>
      </w:r>
      <w:hyperlink r:id="rId3">
        <w:r>
          <w:rPr>
            <w:rStyle w:val="Hyperlink"/>
            <w:rFonts w:eastAsia="仿宋_GB2312;仿宋"/>
            <w:sz w:val="28"/>
            <w:szCs w:val="28"/>
          </w:rPr>
          <w:t>社会中介机构</w:t>
        </w:r>
      </w:hyperlink>
      <w:r>
        <w:rPr>
          <w:rFonts w:eastAsia="仿宋_GB2312;仿宋"/>
          <w:sz w:val="28"/>
          <w:szCs w:val="28"/>
        </w:rPr>
        <w:t>对本行操作风险管理体系定期进行外部审计和评价。</w:t>
      </w:r>
    </w:p>
    <w:p>
      <w:pPr>
        <w:pStyle w:val="Normal"/>
        <w:shd w:fill="FFFFFF" w:val="clear"/>
        <w:overflowPunct w:val="false"/>
        <w:spacing w:lineRule="auto" w:line="360"/>
        <w:ind w:firstLine="560" w:right="0"/>
        <w:rPr/>
      </w:pPr>
      <w:r>
        <w:rPr>
          <w:rFonts w:eastAsia="仿宋_GB2312;仿宋"/>
          <w:sz w:val="28"/>
          <w:szCs w:val="28"/>
        </w:rPr>
        <w:t>第七十六条</w:t>
      </w:r>
      <w:r>
        <w:rPr>
          <w:rFonts w:eastAsia="Times New Roman"/>
          <w:sz w:val="28"/>
          <w:szCs w:val="28"/>
        </w:rPr>
        <w:t xml:space="preserve">  </w:t>
      </w:r>
      <w:r>
        <w:rPr>
          <w:rFonts w:eastAsia="仿宋_GB2312;仿宋"/>
          <w:sz w:val="28"/>
          <w:szCs w:val="28"/>
        </w:rPr>
        <w:t>操作风险管理内部审计既要面向操作风险归口管理部门、责任部门和分支机构，也要面向董事会和高级管理层，全面审计至少应包括如下内容：</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（一）操作风险管理体系的完备性与运作效果；</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（二）操作风险管理一、二道防线履职情况；</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（三）操作风险管理政策、制度执行遵守情况；</w:t>
      </w:r>
    </w:p>
    <w:p>
      <w:pPr>
        <w:pStyle w:val="Normal"/>
        <w:shd w:fill="FFFFFF" w:val="clear"/>
        <w:overflowPunct w:val="false"/>
        <w:spacing w:lineRule="auto" w:line="360"/>
        <w:ind w:firstLine="560" w:right="0"/>
        <w:rPr>
          <w:sz w:val="28"/>
          <w:szCs w:val="28"/>
        </w:rPr>
      </w:pPr>
      <w:r>
        <w:rPr>
          <w:rFonts w:eastAsia="仿宋_GB2312;仿宋"/>
          <w:sz w:val="28"/>
          <w:szCs w:val="28"/>
        </w:rPr>
        <w:t>（四）违反规章</w:t>
      </w:r>
      <w:r>
        <w:rPr>
          <w:rFonts w:eastAsia="Times New Roman"/>
          <w:sz w:val="28"/>
          <w:szCs w:val="28"/>
        </w:rPr>
        <w:t xml:space="preserve"> </w:t>
      </w:r>
      <w:r>
        <w:rPr>
          <w:rFonts w:eastAsia="仿宋_GB2312;仿宋"/>
          <w:sz w:val="28"/>
          <w:szCs w:val="28"/>
        </w:rPr>
        <w:t>制度的责任追究情况；</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（五）操作风险管理系统建设情况。</w:t>
      </w:r>
    </w:p>
    <w:p>
      <w:pPr>
        <w:pStyle w:val="Normal"/>
        <w:shd w:fill="FFFFFF" w:val="clear"/>
        <w:overflowPunct w:val="false"/>
        <w:spacing w:lineRule="auto" w:line="360"/>
        <w:ind w:firstLine="560" w:right="0"/>
        <w:rPr/>
      </w:pPr>
      <w:r>
        <w:rPr>
          <w:rFonts w:eastAsia="仿宋_GB2312;仿宋"/>
          <w:sz w:val="28"/>
          <w:szCs w:val="28"/>
        </w:rPr>
        <w:t>第七十七条</w:t>
      </w:r>
      <w:r>
        <w:rPr>
          <w:rFonts w:eastAsia="Times New Roman"/>
          <w:sz w:val="28"/>
          <w:szCs w:val="28"/>
        </w:rPr>
        <w:t xml:space="preserve">  </w:t>
      </w:r>
      <w:r>
        <w:rPr>
          <w:rFonts w:eastAsia="仿宋_GB2312;仿宋"/>
          <w:sz w:val="28"/>
          <w:szCs w:val="28"/>
        </w:rPr>
        <w:t>审计部门对操作风险管理的审计报告向应董事会、监事会和高级管理层报告，同时抄送合规管理部门、风险管理部门。</w:t>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委托社会中介机构对本行操作风险管理体系进行审计的，应将外部审计报告提交省联社，并根据需要报送监管部门。</w:t>
      </w:r>
    </w:p>
    <w:p>
      <w:pPr>
        <w:pStyle w:val="Normal"/>
        <w:shd w:fill="FFFFFF" w:val="clear"/>
        <w:overflowPunct w:val="false"/>
        <w:spacing w:lineRule="auto" w:line="360"/>
        <w:ind w:firstLine="560" w:right="0"/>
        <w:rPr/>
      </w:pPr>
      <w:r>
        <w:rPr>
          <w:rFonts w:eastAsia="仿宋_GB2312;仿宋"/>
          <w:sz w:val="28"/>
          <w:szCs w:val="28"/>
        </w:rPr>
        <w:t>第七十八条</w:t>
      </w:r>
      <w:r>
        <w:rPr>
          <w:rFonts w:eastAsia="Times New Roman"/>
          <w:sz w:val="28"/>
          <w:szCs w:val="28"/>
        </w:rPr>
        <w:t xml:space="preserve">  </w:t>
      </w:r>
      <w:r>
        <w:rPr>
          <w:rFonts w:eastAsia="仿宋_GB2312;仿宋"/>
          <w:sz w:val="28"/>
          <w:szCs w:val="28"/>
        </w:rPr>
        <w:t>董事会应督促高级管理层对内部审计所发现的问题提出改进方案并采取改进措施。审计部门应跟踪检查改进措施的实施情况，并直接向董事会和高级管理层提交有关报告。</w:t>
      </w:r>
    </w:p>
    <w:p>
      <w:pPr>
        <w:pStyle w:val="Normal"/>
        <w:shd w:fill="FFFFFF" w:val="clear"/>
        <w:overflowPunct w:val="false"/>
        <w:spacing w:lineRule="auto" w:line="360" w:before="156" w:after="0"/>
        <w:ind w:firstLine="198" w:right="0"/>
        <w:jc w:val="center"/>
        <w:rPr/>
      </w:pPr>
      <w:r>
        <w:rPr>
          <w:rFonts w:eastAsia="仿宋_GB2312;仿宋"/>
          <w:b/>
          <w:sz w:val="28"/>
          <w:szCs w:val="28"/>
        </w:rPr>
        <w:t>第九章</w:t>
      </w:r>
      <w:r>
        <w:rPr>
          <w:rFonts w:eastAsia="Times New Roman"/>
          <w:b/>
          <w:sz w:val="28"/>
          <w:szCs w:val="28"/>
        </w:rPr>
        <w:t xml:space="preserve">  </w:t>
      </w:r>
      <w:r>
        <w:rPr>
          <w:rFonts w:eastAsia="仿宋_GB2312;仿宋"/>
          <w:b/>
          <w:sz w:val="28"/>
          <w:szCs w:val="28"/>
        </w:rPr>
        <w:t>操作风险管理的考核与奖惩</w:t>
      </w:r>
    </w:p>
    <w:p>
      <w:pPr>
        <w:pStyle w:val="Normal"/>
        <w:shd w:fill="FFFFFF" w:val="clear"/>
        <w:overflowPunct w:val="false"/>
        <w:spacing w:lineRule="auto" w:line="360"/>
        <w:ind w:firstLine="560" w:right="0"/>
        <w:rPr/>
      </w:pPr>
      <w:r>
        <w:rPr>
          <w:rFonts w:eastAsia="仿宋_GB2312;仿宋"/>
          <w:sz w:val="28"/>
          <w:szCs w:val="28"/>
        </w:rPr>
        <w:t>第七十九条</w:t>
      </w:r>
      <w:r>
        <w:rPr>
          <w:rFonts w:eastAsia="Times New Roman"/>
          <w:sz w:val="28"/>
          <w:szCs w:val="28"/>
        </w:rPr>
        <w:t xml:space="preserve">  </w:t>
      </w:r>
      <w:r>
        <w:rPr>
          <w:rFonts w:eastAsia="仿宋_GB2312;仿宋"/>
          <w:sz w:val="28"/>
          <w:szCs w:val="28"/>
        </w:rPr>
        <w:t>本行应将操作风险年度管理情况纳入到对董事、高级管理层的年度履职考核中。高级管理层应针对操作风险管理建立明确的内部评价考核机制，将各分支机构、部门或主要业务条线形成的操作风险与其收益挂钩，有效防范因规模扩大等原因而放松对操作风险的控制。</w:t>
      </w:r>
    </w:p>
    <w:p>
      <w:pPr>
        <w:pStyle w:val="Normal"/>
        <w:shd w:fill="FFFFFF" w:val="clear"/>
        <w:overflowPunct w:val="false"/>
        <w:spacing w:lineRule="auto" w:line="360"/>
        <w:ind w:firstLine="560" w:right="0"/>
        <w:rPr/>
      </w:pPr>
      <w:r>
        <w:rPr>
          <w:rFonts w:eastAsia="仿宋_GB2312;仿宋"/>
          <w:sz w:val="28"/>
          <w:szCs w:val="28"/>
        </w:rPr>
        <w:t>第八十条</w:t>
      </w:r>
      <w:r>
        <w:rPr>
          <w:rFonts w:eastAsia="Times New Roman"/>
          <w:sz w:val="28"/>
          <w:szCs w:val="28"/>
        </w:rPr>
        <w:t xml:space="preserve">  </w:t>
      </w:r>
      <w:r>
        <w:rPr>
          <w:rFonts w:eastAsia="仿宋_GB2312;仿宋"/>
          <w:sz w:val="28"/>
          <w:szCs w:val="28"/>
        </w:rPr>
        <w:t>本行应明确操作风险管理与监管机构联络的归口部门，负责向监管部门、省联社报送、接收相关信息，跟踪、评估、考核监管意见和管理要求的落实情况。</w:t>
      </w:r>
    </w:p>
    <w:p>
      <w:pPr>
        <w:pStyle w:val="Normal"/>
        <w:shd w:fill="FFFFFF" w:val="clear"/>
        <w:overflowPunct w:val="false"/>
        <w:spacing w:lineRule="auto" w:line="360"/>
        <w:ind w:firstLine="560" w:right="0"/>
        <w:rPr/>
      </w:pPr>
      <w:r>
        <w:rPr>
          <w:rFonts w:eastAsia="仿宋_GB2312;仿宋"/>
          <w:sz w:val="28"/>
          <w:szCs w:val="28"/>
        </w:rPr>
        <w:t>第八十一条</w:t>
      </w:r>
      <w:r>
        <w:rPr>
          <w:rFonts w:eastAsia="Times New Roman"/>
          <w:sz w:val="28"/>
          <w:szCs w:val="28"/>
        </w:rPr>
        <w:t xml:space="preserve">  </w:t>
      </w:r>
      <w:r>
        <w:rPr>
          <w:rFonts w:eastAsia="仿宋_GB2312;仿宋"/>
          <w:sz w:val="28"/>
          <w:szCs w:val="28"/>
        </w:rPr>
        <w:t>对于监管部门在监管中或省联社在行业管理中发现的有关操作风险管理的问题，本行应当在规定的时限内，提交整改方案并落实整改措施，并将相关问题整改情况纳入考核。</w:t>
      </w:r>
    </w:p>
    <w:p>
      <w:pPr>
        <w:pStyle w:val="Normal"/>
        <w:shd w:fill="FFFFFF" w:val="clear"/>
        <w:overflowPunct w:val="false"/>
        <w:spacing w:lineRule="auto" w:line="360" w:before="156" w:after="0"/>
        <w:ind w:firstLine="198" w:right="0"/>
        <w:jc w:val="center"/>
        <w:rPr/>
      </w:pPr>
      <w:r>
        <w:rPr>
          <w:rFonts w:eastAsia="仿宋_GB2312;仿宋"/>
          <w:b/>
          <w:sz w:val="28"/>
          <w:szCs w:val="28"/>
        </w:rPr>
        <w:t>第十章</w:t>
      </w:r>
      <w:r>
        <w:rPr>
          <w:rFonts w:eastAsia="Times New Roman"/>
          <w:b/>
          <w:sz w:val="28"/>
          <w:szCs w:val="28"/>
        </w:rPr>
        <w:t xml:space="preserve">  </w:t>
      </w:r>
      <w:r>
        <w:rPr>
          <w:rFonts w:eastAsia="仿宋_GB2312;仿宋"/>
          <w:b/>
          <w:sz w:val="28"/>
          <w:szCs w:val="28"/>
        </w:rPr>
        <w:t>附则</w:t>
      </w:r>
    </w:p>
    <w:p>
      <w:pPr>
        <w:pStyle w:val="Normal"/>
        <w:shd w:fill="FFFFFF" w:val="clear"/>
        <w:overflowPunct w:val="false"/>
        <w:spacing w:lineRule="auto" w:line="360"/>
        <w:ind w:firstLine="560" w:right="0"/>
        <w:rPr/>
      </w:pPr>
      <w:r>
        <w:rPr>
          <w:rFonts w:eastAsia="仿宋_GB2312;仿宋"/>
          <w:sz w:val="28"/>
          <w:szCs w:val="28"/>
        </w:rPr>
        <w:t>第八十</w:t>
      </w:r>
      <w:r>
        <w:rPr>
          <w:rFonts w:eastAsia="仿宋_GB2312;仿宋"/>
          <w:sz w:val="28"/>
          <w:szCs w:val="28"/>
        </w:rPr>
        <w:t>二</w:t>
      </w:r>
      <w:r>
        <w:rPr>
          <w:rFonts w:eastAsia="仿宋_GB2312;仿宋"/>
          <w:sz w:val="28"/>
          <w:szCs w:val="28"/>
        </w:rPr>
        <w:t>条</w:t>
      </w:r>
      <w:r>
        <w:rPr>
          <w:rFonts w:eastAsia="Times New Roman"/>
          <w:sz w:val="28"/>
          <w:szCs w:val="28"/>
        </w:rPr>
        <w:t xml:space="preserve">  </w:t>
      </w:r>
      <w:r>
        <w:rPr>
          <w:rFonts w:eastAsia="仿宋_GB2312;仿宋"/>
          <w:sz w:val="28"/>
          <w:szCs w:val="28"/>
        </w:rPr>
        <w:t>本办法由</w:t>
      </w:r>
      <w:r>
        <w:rPr>
          <w:rFonts w:eastAsia="仿宋_GB2312;仿宋"/>
          <w:sz w:val="28"/>
          <w:szCs w:val="28"/>
        </w:rPr>
        <w:t>xxx</w:t>
      </w:r>
      <w:r>
        <w:rPr>
          <w:rFonts w:eastAsia="仿宋_GB2312;仿宋"/>
          <w:sz w:val="28"/>
          <w:szCs w:val="28"/>
        </w:rPr>
        <w:t>银行负责解释，适时补充、修订和完善。</w:t>
      </w:r>
    </w:p>
    <w:p>
      <w:pPr>
        <w:pStyle w:val="Normal"/>
        <w:shd w:fill="FFFFFF" w:val="clear"/>
        <w:overflowPunct w:val="false"/>
        <w:spacing w:lineRule="auto" w:line="360"/>
        <w:ind w:firstLine="560" w:right="0"/>
        <w:rPr/>
      </w:pPr>
      <w:r>
        <w:rPr>
          <w:rFonts w:eastAsia="仿宋_GB2312;仿宋"/>
          <w:sz w:val="28"/>
          <w:szCs w:val="28"/>
        </w:rPr>
        <w:t>第八十</w:t>
      </w:r>
      <w:r>
        <w:rPr>
          <w:rFonts w:eastAsia="仿宋_GB2312;仿宋"/>
          <w:sz w:val="28"/>
          <w:szCs w:val="28"/>
        </w:rPr>
        <w:t>三</w:t>
      </w:r>
      <w:r>
        <w:rPr>
          <w:rFonts w:eastAsia="仿宋_GB2312;仿宋"/>
          <w:sz w:val="28"/>
          <w:szCs w:val="28"/>
        </w:rPr>
        <w:t>条</w:t>
      </w:r>
      <w:r>
        <w:rPr>
          <w:rFonts w:eastAsia="Times New Roman"/>
          <w:sz w:val="28"/>
          <w:szCs w:val="28"/>
        </w:rPr>
        <w:t xml:space="preserve">  </w:t>
      </w:r>
      <w:r>
        <w:rPr>
          <w:rFonts w:eastAsia="仿宋_GB2312;仿宋"/>
          <w:sz w:val="28"/>
          <w:szCs w:val="28"/>
        </w:rPr>
        <w:t>本办法自印发之日起施行。</w:t>
      </w:r>
    </w:p>
    <w:p>
      <w:pPr>
        <w:pStyle w:val="Normal"/>
        <w:shd w:fill="FFFFFF" w:val="clear"/>
        <w:overflowPunct w:val="false"/>
        <w:spacing w:lineRule="auto" w:line="360"/>
        <w:ind w:firstLine="200" w:right="0"/>
        <w:rPr>
          <w:rFonts w:eastAsia="仿宋_GB2312;仿宋"/>
          <w:sz w:val="28"/>
          <w:szCs w:val="28"/>
        </w:rPr>
      </w:pPr>
      <w:r>
        <w:rPr>
          <w:rFonts w:eastAsia="仿宋_GB2312;仿宋"/>
          <w:sz w:val="28"/>
          <w:szCs w:val="28"/>
        </w:rPr>
      </w:r>
    </w:p>
    <w:p>
      <w:pPr>
        <w:pStyle w:val="Normal"/>
        <w:shd w:fill="FFFFFF" w:val="clear"/>
        <w:overflowPunct w:val="false"/>
        <w:spacing w:lineRule="auto" w:line="360"/>
        <w:ind w:firstLine="560" w:right="0"/>
        <w:rPr>
          <w:rFonts w:eastAsia="仿宋_GB2312;仿宋"/>
          <w:sz w:val="28"/>
          <w:szCs w:val="28"/>
        </w:rPr>
      </w:pPr>
      <w:r>
        <w:rPr>
          <w:rFonts w:eastAsia="仿宋_GB2312;仿宋"/>
          <w:sz w:val="28"/>
          <w:szCs w:val="28"/>
        </w:rPr>
        <w:t>附件：</w:t>
      </w:r>
      <w:r>
        <w:rPr>
          <w:rFonts w:eastAsia="仿宋_GB2312;仿宋"/>
          <w:sz w:val="28"/>
          <w:szCs w:val="28"/>
        </w:rPr>
        <w:t>1.</w:t>
      </w:r>
      <w:r>
        <w:rPr>
          <w:rFonts w:eastAsia="仿宋_GB2312;仿宋"/>
          <w:sz w:val="28"/>
          <w:szCs w:val="28"/>
        </w:rPr>
        <w:t>操作风险事件分类表</w:t>
      </w:r>
    </w:p>
    <w:p>
      <w:pPr>
        <w:pStyle w:val="Normal"/>
        <w:shd w:fill="FFFFFF" w:val="clear"/>
        <w:overflowPunct w:val="false"/>
        <w:spacing w:lineRule="auto" w:line="360"/>
        <w:ind w:firstLine="1383" w:right="0"/>
        <w:rPr/>
      </w:pPr>
      <w:r>
        <w:rPr>
          <w:rFonts w:eastAsia="仿宋_GB2312;仿宋"/>
          <w:sz w:val="28"/>
          <w:szCs w:val="28"/>
        </w:rPr>
        <w:t>2.</w:t>
      </w:r>
      <w:r>
        <w:rPr>
          <w:rFonts w:eastAsia="仿宋_GB2312;仿宋"/>
          <w:sz w:val="28"/>
          <w:szCs w:val="28"/>
        </w:rPr>
        <w:t>操作风险业务条线归类目录</w:t>
      </w:r>
      <w:r>
        <w:br w:type="page"/>
      </w:r>
    </w:p>
    <w:p>
      <w:pPr>
        <w:pStyle w:val="Normal"/>
        <w:widowControl/>
        <w:spacing w:lineRule="auto" w:line="360"/>
        <w:ind w:firstLine="200" w:right="0"/>
        <w:jc w:val="left"/>
        <w:rPr>
          <w:rFonts w:eastAsia="仿宋_GB2312;仿宋"/>
          <w:sz w:val="28"/>
          <w:szCs w:val="28"/>
        </w:rPr>
      </w:pPr>
      <w:r>
        <w:rPr>
          <w:rFonts w:eastAsia="仿宋_GB2312;仿宋"/>
          <w:sz w:val="28"/>
          <w:szCs w:val="28"/>
        </w:rPr>
        <w:t>附件</w:t>
      </w:r>
      <w:r>
        <w:rPr>
          <w:rFonts w:eastAsia="仿宋_GB2312;仿宋"/>
          <w:sz w:val="28"/>
          <w:szCs w:val="28"/>
        </w:rPr>
        <w:t>1</w:t>
      </w:r>
      <w:r>
        <w:rPr>
          <w:rFonts w:eastAsia="仿宋_GB2312;仿宋"/>
          <w:sz w:val="28"/>
          <w:szCs w:val="28"/>
        </w:rPr>
        <w:t>：</w:t>
      </w:r>
    </w:p>
    <w:p>
      <w:pPr>
        <w:pStyle w:val="Normal"/>
        <w:shd w:fill="FFFFFF" w:val="clear"/>
        <w:overflowPunct w:val="false"/>
        <w:spacing w:lineRule="auto" w:line="360"/>
        <w:ind w:firstLine="200" w:right="0"/>
        <w:jc w:val="center"/>
        <w:rPr>
          <w:rFonts w:eastAsia="仿宋_GB2312;仿宋"/>
          <w:sz w:val="28"/>
          <w:szCs w:val="28"/>
        </w:rPr>
      </w:pPr>
      <w:r>
        <w:rPr>
          <w:rFonts w:eastAsia="仿宋_GB2312;仿宋"/>
          <w:sz w:val="28"/>
          <w:szCs w:val="28"/>
        </w:rPr>
        <w:t>操作风险事件分类表</w:t>
      </w:r>
    </w:p>
    <w:tbl>
      <w:tblPr>
        <w:tblW w:w="4900" w:type="pct"/>
        <w:jc w:val="center"/>
        <w:tblInd w:w="0" w:type="dxa"/>
        <w:tblLayout w:type="fixed"/>
        <w:tblCellMar>
          <w:top w:w="15" w:type="dxa"/>
          <w:left w:w="15" w:type="dxa"/>
          <w:bottom w:w="0" w:type="dxa"/>
          <w:right w:w="15" w:type="dxa"/>
        </w:tblCellMar>
      </w:tblPr>
      <w:tblGrid>
        <w:gridCol w:w="762"/>
        <w:gridCol w:w="2513"/>
        <w:gridCol w:w="1188"/>
        <w:gridCol w:w="3063"/>
        <w:gridCol w:w="919"/>
      </w:tblGrid>
      <w:tr>
        <w:trPr>
          <w:tblHeader w:val="true"/>
          <w:trHeight w:val="510" w:hRule="atLeast"/>
        </w:trPr>
        <w:tc>
          <w:tcPr>
            <w:tcW w:w="762"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1</w:t>
            </w:r>
            <w:r>
              <w:rPr>
                <w:rFonts w:eastAsia="仿宋_GB2312;仿宋"/>
                <w:sz w:val="28"/>
                <w:szCs w:val="28"/>
              </w:rPr>
              <w:t>级目录</w:t>
            </w:r>
          </w:p>
        </w:tc>
        <w:tc>
          <w:tcPr>
            <w:tcW w:w="251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简要解释</w:t>
            </w:r>
          </w:p>
        </w:tc>
        <w:tc>
          <w:tcPr>
            <w:tcW w:w="1188"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2</w:t>
            </w:r>
            <w:r>
              <w:rPr>
                <w:rFonts w:eastAsia="仿宋_GB2312;仿宋"/>
                <w:sz w:val="28"/>
                <w:szCs w:val="28"/>
              </w:rPr>
              <w:t>级目录</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3</w:t>
            </w:r>
            <w:r>
              <w:rPr>
                <w:rFonts w:eastAsia="仿宋_GB2312;仿宋"/>
                <w:sz w:val="28"/>
                <w:szCs w:val="28"/>
              </w:rPr>
              <w:t>级目录</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编号示例</w:t>
            </w:r>
          </w:p>
        </w:tc>
      </w:tr>
      <w:tr>
        <w:trPr>
          <w:trHeight w:val="510" w:hRule="atLeast"/>
        </w:trPr>
        <w:tc>
          <w:tcPr>
            <w:tcW w:w="76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内部</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欺诈</w:t>
            </w:r>
          </w:p>
        </w:tc>
        <w:tc>
          <w:tcPr>
            <w:tcW w:w="251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210"/>
              <w:rPr>
                <w:spacing w:val="8"/>
                <w:sz w:val="28"/>
                <w:szCs w:val="28"/>
              </w:rPr>
            </w:pPr>
            <w:r>
              <w:rPr>
                <w:rFonts w:eastAsia="仿宋_GB2312;仿宋"/>
                <w:spacing w:val="8"/>
                <w:sz w:val="28"/>
                <w:szCs w:val="28"/>
              </w:rPr>
              <w:t>故意骗取、盗用财产或违反监管规章</w:t>
            </w:r>
            <w:r>
              <w:rPr>
                <w:rFonts w:eastAsia="Times New Roman"/>
                <w:spacing w:val="8"/>
                <w:sz w:val="28"/>
                <w:szCs w:val="28"/>
              </w:rPr>
              <w:t xml:space="preserve"> </w:t>
            </w:r>
            <w:r>
              <w:rPr>
                <w:rFonts w:eastAsia="仿宋_GB2312;仿宋"/>
                <w:spacing w:val="8"/>
                <w:sz w:val="28"/>
                <w:szCs w:val="28"/>
              </w:rPr>
              <w:t>、法律或公司政策导致的损失，此类事件至少涉及内部一方，但不包括歧视及差别待遇事件</w:t>
            </w:r>
          </w:p>
        </w:tc>
        <w:tc>
          <w:tcPr>
            <w:tcW w:w="118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行为未</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经授权</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故意隐瞒交易</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1.1.1</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未经授权交易导致资金损失</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1.1.2</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故意错误估价</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1.1.3</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其他</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1.1.4</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盗窃和欺诈</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欺诈</w:t>
            </w:r>
            <w:r>
              <w:rPr>
                <w:rFonts w:eastAsia="仿宋_GB2312;仿宋"/>
                <w:sz w:val="28"/>
                <w:szCs w:val="28"/>
              </w:rPr>
              <w:t>/</w:t>
            </w:r>
            <w:r>
              <w:rPr>
                <w:rFonts w:eastAsia="仿宋_GB2312;仿宋"/>
                <w:sz w:val="28"/>
                <w:szCs w:val="28"/>
              </w:rPr>
              <w:t>信用欺诈</w:t>
            </w:r>
            <w:r>
              <w:rPr>
                <w:rFonts w:eastAsia="仿宋_GB2312;仿宋"/>
                <w:sz w:val="28"/>
                <w:szCs w:val="28"/>
              </w:rPr>
              <w:t>/</w:t>
            </w:r>
            <w:r>
              <w:rPr>
                <w:rFonts w:eastAsia="仿宋_GB2312;仿宋"/>
                <w:sz w:val="28"/>
                <w:szCs w:val="28"/>
              </w:rPr>
              <w:t>不实存款</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1.2.1</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盗窃</w:t>
            </w:r>
            <w:r>
              <w:rPr>
                <w:rFonts w:eastAsia="仿宋_GB2312;仿宋"/>
                <w:sz w:val="28"/>
                <w:szCs w:val="28"/>
              </w:rPr>
              <w:t>/</w:t>
            </w:r>
            <w:r>
              <w:rPr>
                <w:rFonts w:eastAsia="仿宋_GB2312;仿宋"/>
                <w:sz w:val="28"/>
                <w:szCs w:val="28"/>
              </w:rPr>
              <w:t>勒索</w:t>
            </w:r>
            <w:r>
              <w:rPr>
                <w:rFonts w:eastAsia="仿宋_GB2312;仿宋"/>
                <w:sz w:val="28"/>
                <w:szCs w:val="28"/>
              </w:rPr>
              <w:t>/</w:t>
            </w:r>
            <w:r>
              <w:rPr>
                <w:rFonts w:eastAsia="仿宋_GB2312;仿宋"/>
                <w:sz w:val="28"/>
                <w:szCs w:val="28"/>
              </w:rPr>
              <w:t>挪用公款</w:t>
            </w:r>
            <w:r>
              <w:rPr>
                <w:rFonts w:eastAsia="仿宋_GB2312;仿宋"/>
                <w:sz w:val="28"/>
                <w:szCs w:val="28"/>
              </w:rPr>
              <w:t>/</w:t>
            </w:r>
            <w:r>
              <w:rPr>
                <w:rFonts w:eastAsia="仿宋_GB2312;仿宋"/>
                <w:sz w:val="28"/>
                <w:szCs w:val="28"/>
              </w:rPr>
              <w:t>抢劫</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1.2.2</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盗用资产</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1.2.3</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恶意损毁资产</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1.2.4</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伪造</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1.2.5</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支票欺诈</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1.2.6</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走私</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1.2.7</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窃取账户资金</w:t>
            </w:r>
            <w:r>
              <w:rPr>
                <w:rFonts w:eastAsia="仿宋_GB2312;仿宋"/>
                <w:sz w:val="28"/>
                <w:szCs w:val="28"/>
              </w:rPr>
              <w:t>/</w:t>
            </w:r>
            <w:r>
              <w:rPr>
                <w:rFonts w:eastAsia="仿宋_GB2312;仿宋"/>
                <w:sz w:val="28"/>
                <w:szCs w:val="28"/>
              </w:rPr>
              <w:t>假账</w:t>
            </w:r>
            <w:r>
              <w:rPr>
                <w:rFonts w:eastAsia="仿宋_GB2312;仿宋"/>
                <w:sz w:val="28"/>
                <w:szCs w:val="28"/>
              </w:rPr>
              <w:t>/</w:t>
            </w:r>
            <w:r>
              <w:rPr>
                <w:rFonts w:eastAsia="仿宋_GB2312;仿宋"/>
                <w:sz w:val="28"/>
                <w:szCs w:val="28"/>
              </w:rPr>
              <w:t>假冒开户人</w:t>
            </w:r>
            <w:r>
              <w:rPr>
                <w:rFonts w:eastAsia="仿宋_GB2312;仿宋"/>
                <w:sz w:val="28"/>
                <w:szCs w:val="28"/>
              </w:rPr>
              <w:t>/</w:t>
            </w:r>
            <w:r>
              <w:rPr>
                <w:rFonts w:eastAsia="仿宋_GB2312;仿宋"/>
                <w:sz w:val="28"/>
                <w:szCs w:val="28"/>
              </w:rPr>
              <w:t>等等</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1.2.8</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违规纳税</w:t>
            </w:r>
            <w:r>
              <w:rPr>
                <w:rFonts w:eastAsia="仿宋_GB2312;仿宋"/>
                <w:sz w:val="28"/>
                <w:szCs w:val="28"/>
              </w:rPr>
              <w:t>/</w:t>
            </w:r>
            <w:r>
              <w:rPr>
                <w:rFonts w:eastAsia="仿宋_GB2312;仿宋"/>
                <w:sz w:val="28"/>
                <w:szCs w:val="28"/>
              </w:rPr>
              <w:t>故意逃税</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1.2.9</w:t>
            </w:r>
          </w:p>
        </w:tc>
      </w:tr>
      <w:tr>
        <w:trPr>
          <w:trHeight w:val="510" w:hRule="atLeast"/>
        </w:trPr>
        <w:tc>
          <w:tcPr>
            <w:tcW w:w="762" w:type="dxa"/>
            <w:vMerge w:val="restart"/>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内部</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欺诈</w:t>
            </w:r>
          </w:p>
        </w:tc>
        <w:tc>
          <w:tcPr>
            <w:tcW w:w="2513" w:type="dxa"/>
            <w:vMerge w:val="restart"/>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shd w:fill="FFFFFF" w:val="clear"/>
              <w:spacing w:lineRule="auto" w:line="360"/>
              <w:ind w:firstLine="200" w:left="210" w:right="210"/>
              <w:rPr>
                <w:spacing w:val="8"/>
                <w:sz w:val="28"/>
                <w:szCs w:val="28"/>
              </w:rPr>
            </w:pPr>
            <w:r>
              <w:rPr>
                <w:rFonts w:eastAsia="仿宋_GB2312;仿宋"/>
                <w:spacing w:val="8"/>
                <w:sz w:val="28"/>
                <w:szCs w:val="28"/>
              </w:rPr>
              <w:t>故意骗取、盗用财产或违反监管规章</w:t>
            </w:r>
            <w:r>
              <w:rPr>
                <w:rFonts w:eastAsia="Times New Roman"/>
                <w:spacing w:val="8"/>
                <w:sz w:val="28"/>
                <w:szCs w:val="28"/>
              </w:rPr>
              <w:t xml:space="preserve"> </w:t>
            </w:r>
            <w:r>
              <w:rPr>
                <w:rFonts w:eastAsia="仿宋_GB2312;仿宋"/>
                <w:spacing w:val="8"/>
                <w:sz w:val="28"/>
                <w:szCs w:val="28"/>
              </w:rPr>
              <w:t>、法律或公司政策导致的损失，此类事件至少涉及内部一方，但不包括歧视及差别待遇事件</w:t>
            </w:r>
          </w:p>
        </w:tc>
        <w:tc>
          <w:tcPr>
            <w:tcW w:w="1188" w:type="dxa"/>
            <w:vMerge w:val="restart"/>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盗窃和欺诈</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贿赂</w:t>
            </w:r>
            <w:r>
              <w:rPr>
                <w:rFonts w:eastAsia="仿宋_GB2312;仿宋"/>
                <w:sz w:val="28"/>
                <w:szCs w:val="28"/>
              </w:rPr>
              <w:t>/</w:t>
            </w:r>
            <w:r>
              <w:rPr>
                <w:rFonts w:eastAsia="仿宋_GB2312;仿宋"/>
                <w:sz w:val="28"/>
                <w:szCs w:val="28"/>
              </w:rPr>
              <w:t>回扣</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1.2.10</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内幕交易（不用本行的账户）</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1.2.11</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其他</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1.2.12</w:t>
            </w:r>
          </w:p>
        </w:tc>
      </w:tr>
      <w:tr>
        <w:trPr>
          <w:trHeight w:val="510" w:hRule="atLeast"/>
        </w:trPr>
        <w:tc>
          <w:tcPr>
            <w:tcW w:w="76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外部</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欺诈</w:t>
            </w:r>
          </w:p>
        </w:tc>
        <w:tc>
          <w:tcPr>
            <w:tcW w:w="251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210"/>
              <w:rPr>
                <w:rFonts w:eastAsia="仿宋_GB2312;仿宋"/>
                <w:spacing w:val="8"/>
                <w:sz w:val="28"/>
                <w:szCs w:val="28"/>
              </w:rPr>
            </w:pPr>
            <w:r>
              <w:rPr>
                <w:rFonts w:eastAsia="仿宋_GB2312;仿宋"/>
                <w:spacing w:val="8"/>
                <w:sz w:val="28"/>
                <w:szCs w:val="28"/>
              </w:rPr>
              <w:t>第三方故意骗取、盗用财产或逃避法律导致的损失</w:t>
            </w:r>
          </w:p>
        </w:tc>
        <w:tc>
          <w:tcPr>
            <w:tcW w:w="118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盗窃和欺诈</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盗窃</w:t>
            </w:r>
            <w:r>
              <w:rPr>
                <w:rFonts w:eastAsia="仿宋_GB2312;仿宋"/>
                <w:sz w:val="28"/>
                <w:szCs w:val="28"/>
              </w:rPr>
              <w:t>/</w:t>
            </w:r>
            <w:r>
              <w:rPr>
                <w:rFonts w:eastAsia="仿宋_GB2312;仿宋"/>
                <w:sz w:val="28"/>
                <w:szCs w:val="28"/>
              </w:rPr>
              <w:t>抢劫</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2.1.1</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伪造</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2.1.2</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支票欺诈</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2.1.3</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其他</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2.1.4</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系统安全性</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黑客攻击损失</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2.2.1</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窃取信息造成资金损失</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2.2.2</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其他</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2.2.3</w:t>
            </w:r>
          </w:p>
        </w:tc>
      </w:tr>
      <w:tr>
        <w:trPr>
          <w:trHeight w:val="510" w:hRule="atLeast"/>
        </w:trPr>
        <w:tc>
          <w:tcPr>
            <w:tcW w:w="76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137" w:left="42" w:right="42"/>
              <w:rPr>
                <w:rFonts w:eastAsia="仿宋_GB2312;仿宋"/>
                <w:sz w:val="28"/>
                <w:szCs w:val="28"/>
              </w:rPr>
            </w:pPr>
            <w:r>
              <w:rPr>
                <w:rFonts w:eastAsia="仿宋_GB2312;仿宋"/>
                <w:sz w:val="28"/>
                <w:szCs w:val="28"/>
              </w:rPr>
              <w:t>就业制</w:t>
            </w:r>
          </w:p>
          <w:p>
            <w:pPr>
              <w:pStyle w:val="Normal"/>
              <w:shd w:fill="FFFFFF" w:val="clear"/>
              <w:spacing w:lineRule="auto" w:line="360"/>
              <w:ind w:firstLine="137" w:left="42" w:right="42"/>
              <w:rPr>
                <w:rFonts w:eastAsia="仿宋_GB2312;仿宋"/>
                <w:sz w:val="28"/>
                <w:szCs w:val="28"/>
              </w:rPr>
            </w:pPr>
            <w:r>
              <w:rPr>
                <w:rFonts w:eastAsia="仿宋_GB2312;仿宋"/>
                <w:sz w:val="28"/>
                <w:szCs w:val="28"/>
              </w:rPr>
              <w:t>度和工</w:t>
            </w:r>
          </w:p>
          <w:p>
            <w:pPr>
              <w:pStyle w:val="Normal"/>
              <w:shd w:fill="FFFFFF" w:val="clear"/>
              <w:spacing w:lineRule="auto" w:line="360"/>
              <w:ind w:firstLine="137" w:left="42" w:right="42"/>
              <w:rPr>
                <w:rFonts w:eastAsia="仿宋_GB2312;仿宋"/>
                <w:sz w:val="28"/>
                <w:szCs w:val="28"/>
              </w:rPr>
            </w:pPr>
            <w:r>
              <w:rPr>
                <w:rFonts w:eastAsia="仿宋_GB2312;仿宋"/>
                <w:sz w:val="28"/>
                <w:szCs w:val="28"/>
              </w:rPr>
              <w:t>作场所</w:t>
            </w:r>
          </w:p>
          <w:p>
            <w:pPr>
              <w:pStyle w:val="Normal"/>
              <w:shd w:fill="FFFFFF" w:val="clear"/>
              <w:spacing w:lineRule="auto" w:line="360"/>
              <w:ind w:firstLine="137" w:left="42" w:right="42"/>
              <w:rPr>
                <w:rFonts w:eastAsia="仿宋_GB2312;仿宋"/>
                <w:sz w:val="28"/>
                <w:szCs w:val="28"/>
              </w:rPr>
            </w:pPr>
            <w:r>
              <w:rPr>
                <w:rFonts w:eastAsia="仿宋_GB2312;仿宋"/>
                <w:sz w:val="28"/>
                <w:szCs w:val="28"/>
              </w:rPr>
              <w:t>安全事</w:t>
            </w:r>
          </w:p>
          <w:p>
            <w:pPr>
              <w:pStyle w:val="Normal"/>
              <w:shd w:fill="FFFFFF" w:val="clear"/>
              <w:spacing w:lineRule="auto" w:line="360"/>
              <w:ind w:firstLine="137" w:left="42" w:right="42"/>
              <w:rPr>
                <w:rFonts w:eastAsia="仿宋_GB2312;仿宋"/>
                <w:sz w:val="28"/>
                <w:szCs w:val="28"/>
              </w:rPr>
            </w:pPr>
            <w:r>
              <w:rPr>
                <w:rFonts w:eastAsia="仿宋_GB2312;仿宋"/>
                <w:sz w:val="28"/>
                <w:szCs w:val="28"/>
              </w:rPr>
              <w:t>件</w:t>
            </w:r>
          </w:p>
        </w:tc>
        <w:tc>
          <w:tcPr>
            <w:tcW w:w="251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210"/>
              <w:rPr>
                <w:rFonts w:eastAsia="仿宋_GB2312;仿宋"/>
                <w:spacing w:val="8"/>
                <w:sz w:val="28"/>
                <w:szCs w:val="28"/>
              </w:rPr>
            </w:pPr>
            <w:r>
              <w:rPr>
                <w:rFonts w:eastAsia="仿宋_GB2312;仿宋"/>
                <w:spacing w:val="8"/>
                <w:sz w:val="28"/>
                <w:szCs w:val="28"/>
              </w:rPr>
              <w:t>违反劳动合同法、就业、健康或安全方面的法规或协议，个人工伤赔付或者因歧视及差别待遇事件导致的损失</w:t>
            </w:r>
          </w:p>
        </w:tc>
        <w:tc>
          <w:tcPr>
            <w:tcW w:w="118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劳资关系</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薪酬，福利，劳动合同终止后的安排</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3.1.1</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有组织的工会行动</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3.1.2</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其他</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3.1.3</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环境安全性</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一般性责任（滑倒和坠落等）</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3.2.1</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违反员工健康及安全规定</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3.2.2</w:t>
            </w:r>
          </w:p>
        </w:tc>
      </w:tr>
      <w:tr>
        <w:trPr>
          <w:trHeight w:val="510" w:hRule="atLeast"/>
        </w:trPr>
        <w:tc>
          <w:tcPr>
            <w:tcW w:w="762" w:type="dxa"/>
            <w:vMerge w:val="restart"/>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shd w:fill="FFFFFF" w:val="clear"/>
              <w:spacing w:lineRule="auto" w:line="360"/>
              <w:ind w:firstLine="137" w:left="42" w:right="42"/>
              <w:rPr>
                <w:rFonts w:eastAsia="仿宋_GB2312;仿宋"/>
                <w:sz w:val="28"/>
                <w:szCs w:val="28"/>
              </w:rPr>
            </w:pPr>
            <w:r>
              <w:rPr>
                <w:rFonts w:eastAsia="仿宋_GB2312;仿宋"/>
                <w:sz w:val="28"/>
                <w:szCs w:val="28"/>
              </w:rPr>
              <w:t>就业制</w:t>
            </w:r>
          </w:p>
          <w:p>
            <w:pPr>
              <w:pStyle w:val="Normal"/>
              <w:shd w:fill="FFFFFF" w:val="clear"/>
              <w:spacing w:lineRule="auto" w:line="360"/>
              <w:ind w:firstLine="137" w:left="42" w:right="42"/>
              <w:rPr>
                <w:rFonts w:eastAsia="仿宋_GB2312;仿宋"/>
                <w:sz w:val="28"/>
                <w:szCs w:val="28"/>
              </w:rPr>
            </w:pPr>
            <w:r>
              <w:rPr>
                <w:rFonts w:eastAsia="仿宋_GB2312;仿宋"/>
                <w:sz w:val="28"/>
                <w:szCs w:val="28"/>
              </w:rPr>
              <w:t>度和工</w:t>
            </w:r>
          </w:p>
          <w:p>
            <w:pPr>
              <w:pStyle w:val="Normal"/>
              <w:shd w:fill="FFFFFF" w:val="clear"/>
              <w:spacing w:lineRule="auto" w:line="360"/>
              <w:ind w:firstLine="137" w:left="42" w:right="42"/>
              <w:rPr>
                <w:rFonts w:eastAsia="仿宋_GB2312;仿宋"/>
                <w:sz w:val="28"/>
                <w:szCs w:val="28"/>
              </w:rPr>
            </w:pPr>
            <w:r>
              <w:rPr>
                <w:rFonts w:eastAsia="仿宋_GB2312;仿宋"/>
                <w:sz w:val="28"/>
                <w:szCs w:val="28"/>
              </w:rPr>
              <w:t>作场所</w:t>
            </w:r>
          </w:p>
          <w:p>
            <w:pPr>
              <w:pStyle w:val="Normal"/>
              <w:shd w:fill="FFFFFF" w:val="clear"/>
              <w:spacing w:lineRule="auto" w:line="360"/>
              <w:ind w:firstLine="137" w:left="42" w:right="42"/>
              <w:rPr>
                <w:rFonts w:eastAsia="仿宋_GB2312;仿宋"/>
                <w:sz w:val="28"/>
                <w:szCs w:val="28"/>
              </w:rPr>
            </w:pPr>
            <w:r>
              <w:rPr>
                <w:rFonts w:eastAsia="仿宋_GB2312;仿宋"/>
                <w:sz w:val="28"/>
                <w:szCs w:val="28"/>
              </w:rPr>
              <w:t>安全事</w:t>
            </w:r>
          </w:p>
          <w:p>
            <w:pPr>
              <w:pStyle w:val="Normal"/>
              <w:shd w:fill="FFFFFF" w:val="clear"/>
              <w:spacing w:lineRule="auto" w:line="360"/>
              <w:ind w:firstLine="137" w:left="42" w:right="42"/>
              <w:rPr>
                <w:rFonts w:eastAsia="仿宋_GB2312;仿宋"/>
                <w:sz w:val="28"/>
                <w:szCs w:val="28"/>
              </w:rPr>
            </w:pPr>
            <w:r>
              <w:rPr>
                <w:rFonts w:eastAsia="仿宋_GB2312;仿宋"/>
                <w:sz w:val="28"/>
                <w:szCs w:val="28"/>
              </w:rPr>
              <w:t>件</w:t>
            </w:r>
          </w:p>
        </w:tc>
        <w:tc>
          <w:tcPr>
            <w:tcW w:w="2513" w:type="dxa"/>
            <w:vMerge w:val="restart"/>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shd w:fill="FFFFFF" w:val="clear"/>
              <w:spacing w:lineRule="auto" w:line="360"/>
              <w:ind w:firstLine="200" w:left="210" w:right="210"/>
              <w:rPr>
                <w:rFonts w:eastAsia="仿宋_GB2312;仿宋"/>
                <w:spacing w:val="8"/>
                <w:sz w:val="28"/>
                <w:szCs w:val="28"/>
              </w:rPr>
            </w:pPr>
            <w:r>
              <w:rPr>
                <w:rFonts w:eastAsia="仿宋_GB2312;仿宋"/>
                <w:spacing w:val="8"/>
                <w:sz w:val="28"/>
                <w:szCs w:val="28"/>
              </w:rPr>
              <w:t>违反劳动合同法、就业、健康或安全方面的法规或协议，个人工伤赔付或者因歧视及差别待遇事件导致的损失</w:t>
            </w:r>
          </w:p>
        </w:tc>
        <w:tc>
          <w:tcPr>
            <w:tcW w:w="1188" w:type="dxa"/>
            <w:vMerge w:val="restart"/>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环境安全性</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劳方索偿</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3.2.3</w:t>
            </w:r>
          </w:p>
        </w:tc>
      </w:tr>
      <w:tr>
        <w:trPr>
          <w:trHeight w:val="652" w:hRule="atLeast"/>
        </w:trPr>
        <w:tc>
          <w:tcPr>
            <w:tcW w:w="762"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其他</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3.2.4</w:t>
            </w:r>
          </w:p>
        </w:tc>
      </w:tr>
      <w:tr>
        <w:trPr>
          <w:trHeight w:val="973" w:hRule="atLeast"/>
        </w:trPr>
        <w:tc>
          <w:tcPr>
            <w:tcW w:w="762"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歧视及差别</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待遇事件</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所有涉及歧视的事件</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3.3.1</w:t>
            </w:r>
          </w:p>
        </w:tc>
      </w:tr>
      <w:tr>
        <w:trPr>
          <w:trHeight w:val="510" w:hRule="atLeast"/>
        </w:trPr>
        <w:tc>
          <w:tcPr>
            <w:tcW w:w="76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客户、</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产品和</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业务活</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动事件</w:t>
            </w:r>
          </w:p>
        </w:tc>
        <w:tc>
          <w:tcPr>
            <w:tcW w:w="251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210"/>
              <w:rPr>
                <w:rFonts w:eastAsia="仿宋_GB2312;仿宋"/>
                <w:spacing w:val="8"/>
                <w:sz w:val="28"/>
                <w:szCs w:val="28"/>
              </w:rPr>
            </w:pPr>
            <w:r>
              <w:rPr>
                <w:rFonts w:eastAsia="仿宋_GB2312;仿宋"/>
                <w:spacing w:val="8"/>
                <w:sz w:val="28"/>
                <w:szCs w:val="28"/>
              </w:rPr>
              <w:t>因疏忽未对特定客户履行份内义务（如诚信责任和适当性要求）或产品性质或设计缺陷导致的损失</w:t>
            </w:r>
          </w:p>
        </w:tc>
        <w:tc>
          <w:tcPr>
            <w:tcW w:w="118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549" w:left="42" w:right="42"/>
              <w:rPr>
                <w:rFonts w:eastAsia="仿宋_GB2312;仿宋"/>
                <w:spacing w:val="-60"/>
                <w:sz w:val="28"/>
                <w:szCs w:val="28"/>
              </w:rPr>
            </w:pPr>
            <w:r>
              <w:rPr>
                <w:rFonts w:eastAsia="仿宋_GB2312;仿宋"/>
                <w:sz w:val="28"/>
                <w:szCs w:val="28"/>
              </w:rPr>
              <w:t>适当</w:t>
            </w:r>
            <w:r>
              <w:rPr>
                <w:rFonts w:eastAsia="仿宋_GB2312;仿宋"/>
                <w:spacing w:val="40"/>
                <w:sz w:val="28"/>
                <w:szCs w:val="28"/>
              </w:rPr>
              <w:t>性</w:t>
            </w:r>
            <w:r>
              <w:rPr>
                <w:rFonts w:eastAsia="仿宋_GB2312;仿宋"/>
                <w:spacing w:val="20"/>
                <w:sz w:val="28"/>
                <w:szCs w:val="28"/>
              </w:rPr>
              <w:t>，</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披露和诚</w:t>
            </w:r>
          </w:p>
          <w:p>
            <w:pPr>
              <w:pStyle w:val="Normal"/>
              <w:shd w:fill="FFFFFF" w:val="clear"/>
              <w:spacing w:lineRule="auto" w:line="360"/>
              <w:ind w:firstLine="549" w:left="42" w:right="42"/>
              <w:rPr>
                <w:rFonts w:eastAsia="仿宋_GB2312;仿宋"/>
                <w:sz w:val="28"/>
                <w:szCs w:val="28"/>
              </w:rPr>
            </w:pPr>
            <w:r>
              <w:rPr>
                <w:rFonts w:eastAsia="仿宋_GB2312;仿宋"/>
                <w:sz w:val="28"/>
                <w:szCs w:val="28"/>
              </w:rPr>
              <w:t>信责任</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sz w:val="28"/>
                <w:szCs w:val="28"/>
              </w:rPr>
            </w:pPr>
            <w:r>
              <w:rPr>
                <w:rFonts w:eastAsia="仿宋_GB2312;仿宋"/>
                <w:sz w:val="28"/>
                <w:szCs w:val="28"/>
              </w:rPr>
              <w:t>违背诚信责任</w:t>
            </w:r>
            <w:r>
              <w:rPr>
                <w:rFonts w:eastAsia="仿宋_GB2312;仿宋"/>
                <w:sz w:val="28"/>
                <w:szCs w:val="28"/>
              </w:rPr>
              <w:t>/</w:t>
            </w:r>
            <w:r>
              <w:rPr>
                <w:rFonts w:eastAsia="仿宋_GB2312;仿宋"/>
                <w:sz w:val="28"/>
                <w:szCs w:val="28"/>
              </w:rPr>
              <w:t>违反规章</w:t>
            </w:r>
            <w:r>
              <w:rPr>
                <w:rFonts w:eastAsia="Times New Roman"/>
                <w:sz w:val="28"/>
                <w:szCs w:val="28"/>
              </w:rPr>
              <w:t xml:space="preserve"> </w:t>
            </w:r>
            <w:r>
              <w:rPr>
                <w:rFonts w:eastAsia="仿宋_GB2312;仿宋"/>
                <w:sz w:val="28"/>
                <w:szCs w:val="28"/>
              </w:rPr>
              <w:t>制度</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4.1.1</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适当性</w:t>
            </w:r>
            <w:r>
              <w:rPr>
                <w:rFonts w:eastAsia="仿宋_GB2312;仿宋"/>
                <w:sz w:val="28"/>
                <w:szCs w:val="28"/>
              </w:rPr>
              <w:t>/</w:t>
            </w:r>
            <w:r>
              <w:rPr>
                <w:rFonts w:eastAsia="仿宋_GB2312;仿宋"/>
                <w:sz w:val="28"/>
                <w:szCs w:val="28"/>
              </w:rPr>
              <w:t>披露问题（了解你的客户等）</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4.1.2</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未尽向零售客户的信息披露义务</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4.1.3</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泄露隐私</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4.1.4</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强制推销</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4.1.5</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为多收手续费反复操作客户账户</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4.1.6</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保密信息使用不当</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4.1.7</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贷款人责任</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4.1.8</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其他</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4.1.9</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不良的业务</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或市场行为</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垄断</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4.2.1</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不良交易</w:t>
            </w:r>
            <w:r>
              <w:rPr>
                <w:rFonts w:eastAsia="仿宋_GB2312;仿宋"/>
                <w:sz w:val="28"/>
                <w:szCs w:val="28"/>
              </w:rPr>
              <w:t>/</w:t>
            </w:r>
            <w:r>
              <w:rPr>
                <w:rFonts w:eastAsia="仿宋_GB2312;仿宋"/>
                <w:sz w:val="28"/>
                <w:szCs w:val="28"/>
              </w:rPr>
              <w:t>市场行为</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4.2.2</w:t>
            </w:r>
          </w:p>
        </w:tc>
      </w:tr>
      <w:tr>
        <w:trPr>
          <w:trHeight w:val="510" w:hRule="atLeast"/>
        </w:trPr>
        <w:tc>
          <w:tcPr>
            <w:tcW w:w="762" w:type="dxa"/>
            <w:vMerge w:val="restart"/>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客户、</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产品和</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业务活</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动事件</w:t>
            </w:r>
          </w:p>
        </w:tc>
        <w:tc>
          <w:tcPr>
            <w:tcW w:w="2513" w:type="dxa"/>
            <w:vMerge w:val="restart"/>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shd w:fill="FFFFFF" w:val="clear"/>
              <w:spacing w:lineRule="auto" w:line="360"/>
              <w:ind w:firstLine="200" w:left="210" w:right="210"/>
              <w:rPr>
                <w:rFonts w:eastAsia="仿宋_GB2312;仿宋"/>
                <w:spacing w:val="8"/>
                <w:sz w:val="28"/>
                <w:szCs w:val="28"/>
              </w:rPr>
            </w:pPr>
            <w:r>
              <w:rPr>
                <w:rFonts w:eastAsia="仿宋_GB2312;仿宋"/>
                <w:spacing w:val="8"/>
                <w:sz w:val="28"/>
                <w:szCs w:val="28"/>
              </w:rPr>
              <w:t>因疏忽未对特定客户履行份内义务（如诚信责任和适当性要求）或产品性质或设计缺陷导致的损失</w:t>
            </w:r>
          </w:p>
        </w:tc>
        <w:tc>
          <w:tcPr>
            <w:tcW w:w="1188" w:type="dxa"/>
            <w:vMerge w:val="restart"/>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不良的业务</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或市场行为</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操纵市场</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4.2.3</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内幕交易（用本行的账户）</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4.2.4</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未经有效批准的业务活动</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4.2.5</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洗钱</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4.2.6</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其他</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4.2.7</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产品瑕疵</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产品缺陷（未经许可等）</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4.3.1</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模型错误</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4.3.2</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其他</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4.3.3</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412" w:left="42" w:right="42"/>
              <w:rPr/>
            </w:pPr>
            <w:r>
              <w:rPr>
                <w:rFonts w:eastAsia="仿宋_GB2312;仿宋"/>
                <w:sz w:val="28"/>
                <w:szCs w:val="28"/>
              </w:rPr>
              <w:t>客户选</w:t>
            </w:r>
            <w:r>
              <w:rPr>
                <w:rFonts w:eastAsia="仿宋_GB2312;仿宋"/>
                <w:spacing w:val="40"/>
                <w:sz w:val="28"/>
                <w:szCs w:val="28"/>
              </w:rPr>
              <w:t>择</w:t>
            </w:r>
            <w:r>
              <w:rPr>
                <w:rFonts w:eastAsia="仿宋_GB2312;仿宋"/>
                <w:sz w:val="28"/>
                <w:szCs w:val="28"/>
              </w:rPr>
              <w:t>，</w:t>
            </w:r>
          </w:p>
          <w:p>
            <w:pPr>
              <w:pStyle w:val="Normal"/>
              <w:shd w:fill="FFFFFF" w:val="clear"/>
              <w:spacing w:lineRule="auto" w:line="360"/>
              <w:ind w:firstLine="412" w:left="42" w:right="42"/>
              <w:rPr>
                <w:rFonts w:eastAsia="仿宋_GB2312;仿宋"/>
                <w:sz w:val="28"/>
                <w:szCs w:val="28"/>
              </w:rPr>
            </w:pPr>
            <w:r>
              <w:rPr>
                <w:rFonts w:eastAsia="仿宋_GB2312;仿宋"/>
                <w:sz w:val="28"/>
                <w:szCs w:val="28"/>
              </w:rPr>
              <w:t>业务推介和</w:t>
            </w:r>
          </w:p>
          <w:p>
            <w:pPr>
              <w:pStyle w:val="Normal"/>
              <w:shd w:fill="FFFFFF" w:val="clear"/>
              <w:spacing w:lineRule="auto" w:line="360"/>
              <w:ind w:firstLine="412" w:left="42" w:right="42"/>
              <w:rPr>
                <w:rFonts w:eastAsia="仿宋_GB2312;仿宋"/>
                <w:sz w:val="28"/>
                <w:szCs w:val="28"/>
              </w:rPr>
            </w:pPr>
            <w:r>
              <w:rPr>
                <w:rFonts w:eastAsia="仿宋_GB2312;仿宋"/>
                <w:sz w:val="28"/>
                <w:szCs w:val="28"/>
              </w:rPr>
              <w:t>风险暴露</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未按规定审查客户信用</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4.4.1</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对客户超风险限额</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4.4.2</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其他</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4.4.3</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咨询业务</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咨询业务产生的纠纷</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4.5.1</w:t>
            </w:r>
          </w:p>
        </w:tc>
      </w:tr>
      <w:tr>
        <w:trPr>
          <w:trHeight w:val="510" w:hRule="atLeast"/>
        </w:trPr>
        <w:tc>
          <w:tcPr>
            <w:tcW w:w="76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137" w:left="42" w:right="42"/>
              <w:rPr>
                <w:rFonts w:eastAsia="仿宋_GB2312;仿宋"/>
                <w:sz w:val="28"/>
                <w:szCs w:val="28"/>
              </w:rPr>
            </w:pPr>
            <w:r>
              <w:rPr>
                <w:rFonts w:eastAsia="仿宋_GB2312;仿宋"/>
                <w:sz w:val="28"/>
                <w:szCs w:val="28"/>
              </w:rPr>
              <w:t>实物资</w:t>
            </w:r>
          </w:p>
          <w:p>
            <w:pPr>
              <w:pStyle w:val="Normal"/>
              <w:shd w:fill="FFFFFF" w:val="clear"/>
              <w:spacing w:lineRule="auto" w:line="360"/>
              <w:ind w:firstLine="137" w:left="42" w:right="42"/>
              <w:rPr>
                <w:rFonts w:eastAsia="仿宋_GB2312;仿宋"/>
                <w:sz w:val="28"/>
                <w:szCs w:val="28"/>
              </w:rPr>
            </w:pPr>
            <w:r>
              <w:rPr>
                <w:rFonts w:eastAsia="仿宋_GB2312;仿宋"/>
                <w:sz w:val="28"/>
                <w:szCs w:val="28"/>
              </w:rPr>
              <w:t>产的损</w:t>
            </w:r>
          </w:p>
          <w:p>
            <w:pPr>
              <w:pStyle w:val="Normal"/>
              <w:shd w:fill="FFFFFF" w:val="clear"/>
              <w:spacing w:lineRule="auto" w:line="360"/>
              <w:ind w:firstLine="137" w:left="42" w:right="42"/>
              <w:rPr>
                <w:rFonts w:eastAsia="仿宋_GB2312;仿宋"/>
                <w:sz w:val="28"/>
                <w:szCs w:val="28"/>
              </w:rPr>
            </w:pPr>
            <w:r>
              <w:rPr>
                <w:rFonts w:eastAsia="仿宋_GB2312;仿宋"/>
                <w:sz w:val="28"/>
                <w:szCs w:val="28"/>
              </w:rPr>
              <w:t>坏</w:t>
            </w:r>
          </w:p>
        </w:tc>
        <w:tc>
          <w:tcPr>
            <w:tcW w:w="251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210"/>
              <w:rPr>
                <w:rFonts w:eastAsia="仿宋_GB2312;仿宋"/>
                <w:spacing w:val="8"/>
                <w:sz w:val="28"/>
                <w:szCs w:val="28"/>
              </w:rPr>
            </w:pPr>
            <w:r>
              <w:rPr>
                <w:rFonts w:eastAsia="仿宋_GB2312;仿宋"/>
                <w:spacing w:val="8"/>
                <w:sz w:val="28"/>
                <w:szCs w:val="28"/>
              </w:rPr>
              <w:t>实体资产因自然灾害或其他事件丢失或毁坏导致的损失</w:t>
            </w:r>
          </w:p>
        </w:tc>
        <w:tc>
          <w:tcPr>
            <w:tcW w:w="118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灾害和</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其他事件</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自然灾害损失</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5.1.1</w:t>
            </w:r>
          </w:p>
        </w:tc>
      </w:tr>
      <w:tr>
        <w:trPr>
          <w:trHeight w:val="1182"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外力（恐怖袭击、故意破坏）</w:t>
            </w:r>
          </w:p>
          <w:p>
            <w:pPr>
              <w:pStyle w:val="Normal"/>
              <w:shd w:fill="FFFFFF" w:val="clear"/>
              <w:spacing w:lineRule="auto" w:line="360"/>
              <w:ind w:firstLine="200" w:left="210" w:right="42"/>
              <w:rPr>
                <w:rFonts w:eastAsia="仿宋_GB2312;仿宋"/>
                <w:sz w:val="28"/>
                <w:szCs w:val="28"/>
              </w:rPr>
            </w:pPr>
            <w:r>
              <w:rPr>
                <w:rFonts w:eastAsia="仿宋_GB2312;仿宋"/>
                <w:sz w:val="28"/>
                <w:szCs w:val="28"/>
              </w:rPr>
              <w:t>造成的人员伤亡和损失</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5.1.2</w:t>
            </w:r>
          </w:p>
        </w:tc>
      </w:tr>
      <w:tr>
        <w:trPr>
          <w:trHeight w:val="510" w:hRule="atLeast"/>
        </w:trPr>
        <w:tc>
          <w:tcPr>
            <w:tcW w:w="76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137" w:left="42" w:right="42"/>
              <w:rPr>
                <w:rFonts w:eastAsia="仿宋_GB2312;仿宋"/>
                <w:sz w:val="28"/>
                <w:szCs w:val="28"/>
              </w:rPr>
            </w:pPr>
            <w:r>
              <w:rPr>
                <w:rFonts w:eastAsia="仿宋_GB2312;仿宋"/>
                <w:sz w:val="28"/>
                <w:szCs w:val="28"/>
              </w:rPr>
              <w:t>信息科</w:t>
            </w:r>
          </w:p>
          <w:p>
            <w:pPr>
              <w:pStyle w:val="Normal"/>
              <w:shd w:fill="FFFFFF" w:val="clear"/>
              <w:spacing w:lineRule="auto" w:line="360"/>
              <w:ind w:firstLine="137" w:left="42" w:right="42"/>
              <w:rPr>
                <w:rFonts w:eastAsia="仿宋_GB2312;仿宋"/>
                <w:sz w:val="28"/>
                <w:szCs w:val="28"/>
              </w:rPr>
            </w:pPr>
            <w:r>
              <w:rPr>
                <w:rFonts w:eastAsia="仿宋_GB2312;仿宋"/>
                <w:sz w:val="28"/>
                <w:szCs w:val="28"/>
              </w:rPr>
              <w:t>技系统</w:t>
            </w:r>
          </w:p>
          <w:p>
            <w:pPr>
              <w:pStyle w:val="Normal"/>
              <w:shd w:fill="FFFFFF" w:val="clear"/>
              <w:spacing w:lineRule="auto" w:line="360"/>
              <w:ind w:firstLine="137" w:left="42" w:right="42"/>
              <w:rPr>
                <w:rFonts w:eastAsia="仿宋_GB2312;仿宋"/>
                <w:sz w:val="28"/>
                <w:szCs w:val="28"/>
              </w:rPr>
            </w:pPr>
            <w:r>
              <w:rPr>
                <w:rFonts w:eastAsia="仿宋_GB2312;仿宋"/>
                <w:sz w:val="28"/>
                <w:szCs w:val="28"/>
              </w:rPr>
              <w:t>事件</w:t>
            </w:r>
          </w:p>
        </w:tc>
        <w:tc>
          <w:tcPr>
            <w:tcW w:w="251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210"/>
              <w:rPr>
                <w:rFonts w:eastAsia="仿宋_GB2312;仿宋"/>
                <w:spacing w:val="8"/>
                <w:sz w:val="28"/>
                <w:szCs w:val="28"/>
              </w:rPr>
            </w:pPr>
            <w:r>
              <w:rPr>
                <w:rFonts w:eastAsia="仿宋_GB2312;仿宋"/>
                <w:spacing w:val="8"/>
                <w:sz w:val="28"/>
                <w:szCs w:val="28"/>
              </w:rPr>
              <w:t>业务中断或系统失灵导致的损失</w:t>
            </w:r>
          </w:p>
        </w:tc>
        <w:tc>
          <w:tcPr>
            <w:tcW w:w="118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信息系统</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硬件</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6.1.1</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软件</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6.1.2</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网络与通信线路</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6.1.3</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动力输送损耗</w:t>
            </w:r>
            <w:r>
              <w:rPr>
                <w:rFonts w:eastAsia="仿宋_GB2312;仿宋"/>
                <w:sz w:val="28"/>
                <w:szCs w:val="28"/>
              </w:rPr>
              <w:t>/</w:t>
            </w:r>
            <w:r>
              <w:rPr>
                <w:rFonts w:eastAsia="仿宋_GB2312;仿宋"/>
                <w:sz w:val="28"/>
                <w:szCs w:val="28"/>
              </w:rPr>
              <w:t>中断</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6.1.4</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其他</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6.1.5</w:t>
            </w:r>
          </w:p>
        </w:tc>
      </w:tr>
      <w:tr>
        <w:trPr>
          <w:trHeight w:val="510" w:hRule="atLeast"/>
        </w:trPr>
        <w:tc>
          <w:tcPr>
            <w:tcW w:w="76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执行、</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交割和</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流程管</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理事件</w:t>
            </w:r>
          </w:p>
        </w:tc>
        <w:tc>
          <w:tcPr>
            <w:tcW w:w="251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210"/>
              <w:rPr>
                <w:rFonts w:eastAsia="仿宋_GB2312;仿宋"/>
                <w:spacing w:val="8"/>
                <w:sz w:val="28"/>
                <w:szCs w:val="28"/>
              </w:rPr>
            </w:pPr>
            <w:r>
              <w:rPr>
                <w:rFonts w:eastAsia="仿宋_GB2312;仿宋"/>
                <w:spacing w:val="8"/>
                <w:sz w:val="28"/>
                <w:szCs w:val="28"/>
              </w:rPr>
              <w:t>交易处理或流程管理失败和因交易对手方及外部销售商关系导致的损失</w:t>
            </w:r>
          </w:p>
        </w:tc>
        <w:tc>
          <w:tcPr>
            <w:tcW w:w="118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交易认定，</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执行和维护</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错误传达信息</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7.1.1</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数据录入、维护或登载错误</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7.1.2</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超过最后期限或未履行义务</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7.1.3</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模型</w:t>
            </w:r>
            <w:r>
              <w:rPr>
                <w:rFonts w:eastAsia="仿宋_GB2312;仿宋"/>
                <w:sz w:val="28"/>
                <w:szCs w:val="28"/>
              </w:rPr>
              <w:t>/</w:t>
            </w:r>
            <w:r>
              <w:rPr>
                <w:rFonts w:eastAsia="仿宋_GB2312;仿宋"/>
                <w:sz w:val="28"/>
                <w:szCs w:val="28"/>
              </w:rPr>
              <w:t>系统误操作</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7.1.4</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账务处理错误</w:t>
            </w:r>
            <w:r>
              <w:rPr>
                <w:rFonts w:eastAsia="仿宋_GB2312;仿宋"/>
                <w:sz w:val="28"/>
                <w:szCs w:val="28"/>
              </w:rPr>
              <w:t>/</w:t>
            </w:r>
            <w:r>
              <w:rPr>
                <w:rFonts w:eastAsia="仿宋_GB2312;仿宋"/>
                <w:sz w:val="28"/>
                <w:szCs w:val="28"/>
              </w:rPr>
              <w:t>交易归属错误</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7.1.5</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其他任务履行失误</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7.1.6</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交割失误</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7.1.7</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担保品管理失效</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7.1.8</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交易相关数据维护</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7.1.9</w:t>
            </w:r>
          </w:p>
        </w:tc>
      </w:tr>
      <w:tr>
        <w:trPr>
          <w:trHeight w:val="510" w:hRule="atLeast"/>
        </w:trPr>
        <w:tc>
          <w:tcPr>
            <w:tcW w:w="7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8"/>
                <w:sz w:val="28"/>
                <w:szCs w:val="28"/>
              </w:rPr>
            </w:pPr>
            <w:r>
              <w:rPr>
                <w:rFonts w:eastAsia="仿宋_GB2312;仿宋"/>
                <w:spacing w:val="8"/>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其他</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7.1.10</w:t>
            </w:r>
          </w:p>
        </w:tc>
      </w:tr>
      <w:tr>
        <w:trPr>
          <w:trHeight w:val="595" w:hRule="atLeast"/>
        </w:trPr>
        <w:tc>
          <w:tcPr>
            <w:tcW w:w="762" w:type="dxa"/>
            <w:vMerge w:val="restart"/>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执行、</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交割和</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流程管</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理事件</w:t>
            </w:r>
          </w:p>
        </w:tc>
        <w:tc>
          <w:tcPr>
            <w:tcW w:w="2513" w:type="dxa"/>
            <w:vMerge w:val="restart"/>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shd w:fill="FFFFFF" w:val="clear"/>
              <w:spacing w:lineRule="auto" w:line="360"/>
              <w:ind w:firstLine="200" w:left="210" w:right="210"/>
              <w:rPr>
                <w:rFonts w:eastAsia="仿宋_GB2312;仿宋"/>
                <w:sz w:val="28"/>
                <w:szCs w:val="28"/>
              </w:rPr>
            </w:pPr>
            <w:r>
              <w:rPr>
                <w:rFonts w:eastAsia="仿宋_GB2312;仿宋"/>
                <w:spacing w:val="8"/>
                <w:sz w:val="28"/>
                <w:szCs w:val="28"/>
              </w:rPr>
              <w:t>交易处理或流程管理失败和因交易对手方及外部销售商关系导致的损失</w:t>
            </w:r>
          </w:p>
        </w:tc>
        <w:tc>
          <w:tcPr>
            <w:tcW w:w="118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监控和报告</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未履行强制报告职责</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7.2.1</w:t>
            </w:r>
          </w:p>
        </w:tc>
      </w:tr>
      <w:tr>
        <w:trPr>
          <w:trHeight w:val="595" w:hRule="atLeast"/>
        </w:trPr>
        <w:tc>
          <w:tcPr>
            <w:tcW w:w="762"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外部报告不准确导致损失</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7.2.2</w:t>
            </w:r>
          </w:p>
        </w:tc>
      </w:tr>
      <w:tr>
        <w:trPr>
          <w:trHeight w:val="595" w:hRule="atLeast"/>
        </w:trPr>
        <w:tc>
          <w:tcPr>
            <w:tcW w:w="762"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其他</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7.2.3</w:t>
            </w:r>
          </w:p>
        </w:tc>
      </w:tr>
      <w:tr>
        <w:trPr>
          <w:trHeight w:val="595" w:hRule="atLeast"/>
        </w:trPr>
        <w:tc>
          <w:tcPr>
            <w:tcW w:w="762"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118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招揽客户</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和文件记录</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客户许可</w:t>
            </w:r>
            <w:r>
              <w:rPr>
                <w:rFonts w:eastAsia="仿宋_GB2312;仿宋"/>
                <w:sz w:val="28"/>
                <w:szCs w:val="28"/>
              </w:rPr>
              <w:t>/</w:t>
            </w:r>
            <w:r>
              <w:rPr>
                <w:rFonts w:eastAsia="仿宋_GB2312;仿宋"/>
                <w:sz w:val="28"/>
                <w:szCs w:val="28"/>
              </w:rPr>
              <w:t>免则声明缺失</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7.3.1</w:t>
            </w:r>
          </w:p>
        </w:tc>
      </w:tr>
      <w:tr>
        <w:trPr>
          <w:trHeight w:val="595" w:hRule="atLeast"/>
        </w:trPr>
        <w:tc>
          <w:tcPr>
            <w:tcW w:w="762"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法律文件缺失</w:t>
            </w:r>
            <w:r>
              <w:rPr>
                <w:rFonts w:eastAsia="仿宋_GB2312;仿宋"/>
                <w:sz w:val="28"/>
                <w:szCs w:val="28"/>
              </w:rPr>
              <w:t>/</w:t>
            </w:r>
            <w:r>
              <w:rPr>
                <w:rFonts w:eastAsia="仿宋_GB2312;仿宋"/>
                <w:sz w:val="28"/>
                <w:szCs w:val="28"/>
              </w:rPr>
              <w:t>不完备</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7.3.2</w:t>
            </w:r>
          </w:p>
        </w:tc>
      </w:tr>
      <w:tr>
        <w:trPr>
          <w:trHeight w:val="595" w:hRule="atLeast"/>
        </w:trPr>
        <w:tc>
          <w:tcPr>
            <w:tcW w:w="762"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其他</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7.3.3</w:t>
            </w:r>
          </w:p>
        </w:tc>
      </w:tr>
      <w:tr>
        <w:trPr>
          <w:trHeight w:val="595" w:hRule="atLeast"/>
        </w:trPr>
        <w:tc>
          <w:tcPr>
            <w:tcW w:w="762"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118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个人</w:t>
            </w:r>
            <w:r>
              <w:rPr>
                <w:rFonts w:eastAsia="仿宋_GB2312;仿宋"/>
                <w:sz w:val="28"/>
                <w:szCs w:val="28"/>
              </w:rPr>
              <w:t>/</w:t>
            </w:r>
            <w:r>
              <w:rPr>
                <w:rFonts w:eastAsia="仿宋_GB2312;仿宋"/>
                <w:sz w:val="28"/>
                <w:szCs w:val="28"/>
              </w:rPr>
              <w:t>企业</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客户账户管理</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未经批准登录账户</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7.4.1</w:t>
            </w:r>
          </w:p>
        </w:tc>
      </w:tr>
      <w:tr>
        <w:trPr>
          <w:trHeight w:val="595" w:hRule="atLeast"/>
        </w:trPr>
        <w:tc>
          <w:tcPr>
            <w:tcW w:w="762"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客户信息记录错误导致损失</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7.4.2</w:t>
            </w:r>
          </w:p>
        </w:tc>
      </w:tr>
      <w:tr>
        <w:trPr>
          <w:trHeight w:val="595" w:hRule="atLeast"/>
        </w:trPr>
        <w:tc>
          <w:tcPr>
            <w:tcW w:w="762"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因疏忽导致客户资产损坏</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7.4.3</w:t>
            </w:r>
          </w:p>
        </w:tc>
      </w:tr>
      <w:tr>
        <w:trPr>
          <w:trHeight w:val="595" w:hRule="atLeast"/>
        </w:trPr>
        <w:tc>
          <w:tcPr>
            <w:tcW w:w="762"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其他</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7.4.4</w:t>
            </w:r>
          </w:p>
        </w:tc>
      </w:tr>
      <w:tr>
        <w:trPr>
          <w:trHeight w:val="595" w:hRule="atLeast"/>
        </w:trPr>
        <w:tc>
          <w:tcPr>
            <w:tcW w:w="762"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118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交易对手方</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与同业交易处理不当</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7.5.1</w:t>
            </w:r>
          </w:p>
        </w:tc>
      </w:tr>
      <w:tr>
        <w:trPr>
          <w:trHeight w:val="595" w:hRule="atLeast"/>
        </w:trPr>
        <w:tc>
          <w:tcPr>
            <w:tcW w:w="762"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与同业交易对手方的争议</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7.5.2</w:t>
            </w:r>
          </w:p>
        </w:tc>
      </w:tr>
      <w:tr>
        <w:trPr>
          <w:trHeight w:val="595" w:hRule="atLeast"/>
        </w:trPr>
        <w:tc>
          <w:tcPr>
            <w:tcW w:w="762"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其他</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7.5.3</w:t>
            </w:r>
          </w:p>
        </w:tc>
      </w:tr>
      <w:tr>
        <w:trPr>
          <w:trHeight w:val="624" w:hRule="atLeast"/>
        </w:trPr>
        <w:tc>
          <w:tcPr>
            <w:tcW w:w="762" w:type="dxa"/>
            <w:vMerge w:val="restart"/>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执行、</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交割和</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流程管</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理事件</w:t>
            </w:r>
          </w:p>
        </w:tc>
        <w:tc>
          <w:tcPr>
            <w:tcW w:w="2513" w:type="dxa"/>
            <w:vMerge w:val="restart"/>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shd w:fill="FFFFFF" w:val="clear"/>
              <w:spacing w:lineRule="auto" w:line="360"/>
              <w:ind w:firstLine="200" w:left="210" w:right="210"/>
              <w:rPr>
                <w:rFonts w:eastAsia="仿宋_GB2312;仿宋"/>
                <w:sz w:val="28"/>
                <w:szCs w:val="28"/>
              </w:rPr>
            </w:pPr>
            <w:r>
              <w:rPr>
                <w:rFonts w:eastAsia="仿宋_GB2312;仿宋"/>
                <w:spacing w:val="8"/>
                <w:sz w:val="28"/>
                <w:szCs w:val="28"/>
              </w:rPr>
              <w:t>交易处理或流程管理失败和因交易对手方及外部销售商关系导致的损失</w:t>
            </w:r>
          </w:p>
        </w:tc>
        <w:tc>
          <w:tcPr>
            <w:tcW w:w="118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外部销售商</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和供应商</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外包</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7.6.1</w:t>
            </w:r>
          </w:p>
        </w:tc>
      </w:tr>
      <w:tr>
        <w:trPr>
          <w:trHeight w:val="624" w:hRule="atLeast"/>
        </w:trPr>
        <w:tc>
          <w:tcPr>
            <w:tcW w:w="762"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与外部销售商的纠纷</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7.6.2</w:t>
            </w:r>
          </w:p>
        </w:tc>
      </w:tr>
      <w:tr>
        <w:trPr>
          <w:trHeight w:val="624" w:hRule="atLeast"/>
        </w:trPr>
        <w:tc>
          <w:tcPr>
            <w:tcW w:w="762"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2513" w:type="dxa"/>
            <w:vMerge w:val="continue"/>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11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z w:val="28"/>
                <w:szCs w:val="28"/>
              </w:rPr>
            </w:pPr>
            <w:r>
              <w:rPr>
                <w:rFonts w:eastAsia="仿宋_GB2312;仿宋"/>
                <w:sz w:val="28"/>
                <w:szCs w:val="28"/>
              </w:rPr>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210" w:right="42"/>
              <w:rPr>
                <w:rFonts w:eastAsia="仿宋_GB2312;仿宋"/>
                <w:sz w:val="28"/>
                <w:szCs w:val="28"/>
              </w:rPr>
            </w:pPr>
            <w:r>
              <w:rPr>
                <w:rFonts w:eastAsia="仿宋_GB2312;仿宋"/>
                <w:sz w:val="28"/>
                <w:szCs w:val="28"/>
              </w:rPr>
              <w:t>其他</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7.6.3</w:t>
            </w:r>
          </w:p>
        </w:tc>
      </w:tr>
    </w:tbl>
    <w:p>
      <w:pPr>
        <w:pStyle w:val="Normal"/>
        <w:shd w:fill="FFFFFF" w:val="clear"/>
        <w:overflowPunct w:val="false"/>
        <w:spacing w:lineRule="auto" w:line="360"/>
        <w:ind w:firstLine="200" w:right="0"/>
        <w:rPr>
          <w:rFonts w:eastAsia="仿宋_GB2312;仿宋"/>
          <w:sz w:val="28"/>
          <w:szCs w:val="28"/>
        </w:rPr>
      </w:pPr>
      <w:r>
        <w:rPr>
          <w:rFonts w:eastAsia="仿宋_GB2312;仿宋"/>
          <w:sz w:val="28"/>
          <w:szCs w:val="28"/>
        </w:rPr>
      </w:r>
      <w:r>
        <w:br w:type="page"/>
      </w:r>
    </w:p>
    <w:p>
      <w:pPr>
        <w:pStyle w:val="Normal"/>
        <w:widowControl/>
        <w:spacing w:lineRule="auto" w:line="360"/>
        <w:ind w:firstLine="200" w:right="0"/>
        <w:jc w:val="left"/>
        <w:rPr>
          <w:rFonts w:eastAsia="仿宋_GB2312;仿宋"/>
          <w:sz w:val="28"/>
          <w:szCs w:val="28"/>
        </w:rPr>
      </w:pPr>
      <w:r>
        <w:rPr>
          <w:rFonts w:eastAsia="仿宋_GB2312;仿宋"/>
          <w:sz w:val="28"/>
          <w:szCs w:val="28"/>
        </w:rPr>
      </w:r>
    </w:p>
    <w:p>
      <w:pPr>
        <w:pStyle w:val="Normal"/>
        <w:shd w:fill="FFFFFF" w:val="clear"/>
        <w:overflowPunct w:val="false"/>
        <w:spacing w:lineRule="auto" w:line="360"/>
        <w:ind w:firstLine="200" w:right="0"/>
        <w:rPr>
          <w:rFonts w:eastAsia="仿宋_GB2312;仿宋"/>
          <w:sz w:val="28"/>
          <w:szCs w:val="28"/>
        </w:rPr>
      </w:pPr>
      <w:r>
        <w:rPr>
          <w:rFonts w:eastAsia="仿宋_GB2312;仿宋"/>
          <w:sz w:val="28"/>
          <w:szCs w:val="28"/>
        </w:rPr>
        <w:t>附件</w:t>
      </w:r>
      <w:r>
        <w:rPr>
          <w:rFonts w:eastAsia="仿宋_GB2312;仿宋"/>
          <w:sz w:val="28"/>
          <w:szCs w:val="28"/>
        </w:rPr>
        <w:t>2</w:t>
      </w:r>
      <w:r>
        <w:rPr>
          <w:rFonts w:eastAsia="仿宋_GB2312;仿宋"/>
          <w:sz w:val="28"/>
          <w:szCs w:val="28"/>
        </w:rPr>
        <w:t>：</w:t>
      </w:r>
    </w:p>
    <w:p>
      <w:pPr>
        <w:pStyle w:val="Normal"/>
        <w:shd w:fill="FFFFFF" w:val="clear"/>
        <w:overflowPunct w:val="false"/>
        <w:spacing w:lineRule="auto" w:line="360"/>
        <w:ind w:firstLine="200" w:right="0"/>
        <w:jc w:val="center"/>
        <w:rPr/>
      </w:pPr>
      <w:r>
        <w:rPr>
          <w:rFonts w:eastAsia="仿宋_GB2312;仿宋"/>
          <w:sz w:val="28"/>
          <w:szCs w:val="28"/>
        </w:rPr>
        <w:t>操作风险业务条线归类目录</w:t>
      </w:r>
    </w:p>
    <w:tbl>
      <w:tblPr>
        <w:tblW w:w="8935" w:type="dxa"/>
        <w:jc w:val="center"/>
        <w:tblInd w:w="0" w:type="dxa"/>
        <w:tblLayout w:type="fixed"/>
        <w:tblCellMar>
          <w:top w:w="0" w:type="dxa"/>
          <w:left w:w="108" w:type="dxa"/>
          <w:bottom w:w="0" w:type="dxa"/>
          <w:right w:w="108" w:type="dxa"/>
        </w:tblCellMar>
      </w:tblPr>
      <w:tblGrid>
        <w:gridCol w:w="1769"/>
        <w:gridCol w:w="2071"/>
        <w:gridCol w:w="5095"/>
      </w:tblGrid>
      <w:tr>
        <w:trPr>
          <w:tblHeader w:val="true"/>
          <w:trHeight w:val="696" w:hRule="atLeast"/>
        </w:trPr>
        <w:tc>
          <w:tcPr>
            <w:tcW w:w="176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1</w:t>
            </w:r>
            <w:r>
              <w:rPr>
                <w:rFonts w:eastAsia="仿宋_GB2312;仿宋"/>
                <w:sz w:val="28"/>
                <w:szCs w:val="28"/>
              </w:rPr>
              <w:t>级目录</w:t>
            </w:r>
          </w:p>
        </w:tc>
        <w:tc>
          <w:tcPr>
            <w:tcW w:w="2071"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2</w:t>
            </w:r>
            <w:r>
              <w:rPr>
                <w:rFonts w:eastAsia="仿宋_GB2312;仿宋"/>
                <w:sz w:val="28"/>
                <w:szCs w:val="28"/>
              </w:rPr>
              <w:t>级目录</w:t>
            </w:r>
          </w:p>
        </w:tc>
        <w:tc>
          <w:tcPr>
            <w:tcW w:w="5095"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560" w:left="42" w:right="42"/>
              <w:jc w:val="center"/>
              <w:rPr>
                <w:rFonts w:eastAsia="仿宋_GB2312;仿宋"/>
                <w:sz w:val="28"/>
                <w:szCs w:val="28"/>
              </w:rPr>
            </w:pPr>
            <w:r>
              <w:rPr>
                <w:rFonts w:eastAsia="仿宋_GB2312;仿宋"/>
                <w:sz w:val="28"/>
                <w:szCs w:val="28"/>
              </w:rPr>
              <w:t>业务种类示例</w:t>
            </w:r>
          </w:p>
        </w:tc>
      </w:tr>
      <w:tr>
        <w:trPr>
          <w:trHeight w:val="1134" w:hRule="atLeast"/>
        </w:trPr>
        <w:tc>
          <w:tcPr>
            <w:tcW w:w="1769" w:type="dxa"/>
            <w:vMerge w:val="restart"/>
            <w:tcBorders>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公司金融</w:t>
            </w:r>
          </w:p>
        </w:tc>
        <w:tc>
          <w:tcPr>
            <w:tcW w:w="2071"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公司和</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机构融资</w:t>
            </w:r>
          </w:p>
        </w:tc>
        <w:tc>
          <w:tcPr>
            <w:tcW w:w="5095" w:type="dxa"/>
            <w:vMerge w:val="restart"/>
            <w:tcBorders>
              <w:bottom w:val="single" w:sz="4" w:space="0" w:color="000000"/>
              <w:right w:val="single" w:sz="4" w:space="0" w:color="000000"/>
            </w:tcBorders>
            <w:vAlign w:val="center"/>
          </w:tcPr>
          <w:p>
            <w:pPr>
              <w:pStyle w:val="Normal"/>
              <w:shd w:fill="FFFFFF" w:val="clear"/>
              <w:spacing w:lineRule="auto" w:line="360"/>
              <w:ind w:firstLine="200" w:left="42" w:right="42"/>
              <w:rPr>
                <w:rFonts w:eastAsia="仿宋_GB2312;仿宋"/>
                <w:spacing w:val="-4"/>
                <w:sz w:val="28"/>
                <w:szCs w:val="28"/>
              </w:rPr>
            </w:pPr>
            <w:r>
              <w:rPr>
                <w:rFonts w:eastAsia="仿宋_GB2312;仿宋"/>
                <w:spacing w:val="-4"/>
                <w:sz w:val="28"/>
                <w:szCs w:val="28"/>
              </w:rPr>
              <w:t>并购重组服务、包销、承销、上市服务、退市服务、证券化，研究和信息服务，债务融资，股权融资，银团贷款安排服务，公开发行新股服务、配股及定向增发服务、咨询见证、债务重组服务、财务顾问与咨询，其他公司金融服务等。</w:t>
            </w:r>
          </w:p>
        </w:tc>
      </w:tr>
      <w:tr>
        <w:trPr>
          <w:trHeight w:val="1134" w:hRule="atLeast"/>
        </w:trPr>
        <w:tc>
          <w:tcPr>
            <w:tcW w:w="1769" w:type="dxa"/>
            <w:vMerge w:val="continue"/>
            <w:tcBorders>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center"/>
              <w:rPr>
                <w:rFonts w:eastAsia="仿宋_GB2312;仿宋"/>
                <w:spacing w:val="-4"/>
                <w:sz w:val="28"/>
                <w:szCs w:val="28"/>
              </w:rPr>
            </w:pPr>
            <w:r>
              <w:rPr>
                <w:rFonts w:eastAsia="仿宋_GB2312;仿宋"/>
                <w:spacing w:val="-4"/>
                <w:sz w:val="28"/>
                <w:szCs w:val="28"/>
              </w:rPr>
            </w:r>
          </w:p>
        </w:tc>
        <w:tc>
          <w:tcPr>
            <w:tcW w:w="2071"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政府融资</w:t>
            </w:r>
          </w:p>
        </w:tc>
        <w:tc>
          <w:tcPr>
            <w:tcW w:w="5095" w:type="dxa"/>
            <w:vMerge w:val="continue"/>
            <w:tcBorders>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4"/>
                <w:sz w:val="28"/>
                <w:szCs w:val="28"/>
              </w:rPr>
            </w:pPr>
            <w:r>
              <w:rPr>
                <w:rFonts w:eastAsia="仿宋_GB2312;仿宋"/>
                <w:spacing w:val="-4"/>
                <w:sz w:val="28"/>
                <w:szCs w:val="28"/>
              </w:rPr>
            </w:r>
          </w:p>
        </w:tc>
      </w:tr>
      <w:tr>
        <w:trPr>
          <w:trHeight w:val="1134" w:hRule="atLeast"/>
        </w:trPr>
        <w:tc>
          <w:tcPr>
            <w:tcW w:w="1769" w:type="dxa"/>
            <w:vMerge w:val="continue"/>
            <w:tcBorders>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center"/>
              <w:rPr>
                <w:rFonts w:eastAsia="仿宋_GB2312;仿宋"/>
                <w:spacing w:val="-4"/>
                <w:sz w:val="28"/>
                <w:szCs w:val="28"/>
              </w:rPr>
            </w:pPr>
            <w:r>
              <w:rPr>
                <w:rFonts w:eastAsia="仿宋_GB2312;仿宋"/>
                <w:spacing w:val="-4"/>
                <w:sz w:val="28"/>
                <w:szCs w:val="28"/>
              </w:rPr>
            </w:r>
          </w:p>
        </w:tc>
        <w:tc>
          <w:tcPr>
            <w:tcW w:w="2071"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投资银行</w:t>
            </w:r>
          </w:p>
        </w:tc>
        <w:tc>
          <w:tcPr>
            <w:tcW w:w="5095" w:type="dxa"/>
            <w:vMerge w:val="continue"/>
            <w:tcBorders>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4"/>
                <w:sz w:val="28"/>
                <w:szCs w:val="28"/>
              </w:rPr>
            </w:pPr>
            <w:r>
              <w:rPr>
                <w:rFonts w:eastAsia="仿宋_GB2312;仿宋"/>
                <w:spacing w:val="-4"/>
                <w:sz w:val="28"/>
                <w:szCs w:val="28"/>
              </w:rPr>
            </w:r>
          </w:p>
        </w:tc>
      </w:tr>
      <w:tr>
        <w:trPr>
          <w:trHeight w:val="1134" w:hRule="atLeast"/>
        </w:trPr>
        <w:tc>
          <w:tcPr>
            <w:tcW w:w="1769" w:type="dxa"/>
            <w:vMerge w:val="continue"/>
            <w:tcBorders>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center"/>
              <w:rPr>
                <w:rFonts w:eastAsia="仿宋_GB2312;仿宋"/>
                <w:spacing w:val="-4"/>
                <w:sz w:val="28"/>
                <w:szCs w:val="28"/>
              </w:rPr>
            </w:pPr>
            <w:r>
              <w:rPr>
                <w:rFonts w:eastAsia="仿宋_GB2312;仿宋"/>
                <w:spacing w:val="-4"/>
                <w:sz w:val="28"/>
                <w:szCs w:val="28"/>
              </w:rPr>
            </w:r>
          </w:p>
        </w:tc>
        <w:tc>
          <w:tcPr>
            <w:tcW w:w="2071"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咨询服务</w:t>
            </w:r>
          </w:p>
        </w:tc>
        <w:tc>
          <w:tcPr>
            <w:tcW w:w="5095" w:type="dxa"/>
            <w:vMerge w:val="continue"/>
            <w:tcBorders>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4"/>
                <w:sz w:val="28"/>
                <w:szCs w:val="28"/>
              </w:rPr>
            </w:pPr>
            <w:r>
              <w:rPr>
                <w:rFonts w:eastAsia="仿宋_GB2312;仿宋"/>
                <w:spacing w:val="-4"/>
                <w:sz w:val="28"/>
                <w:szCs w:val="28"/>
              </w:rPr>
            </w:r>
          </w:p>
        </w:tc>
      </w:tr>
      <w:tr>
        <w:trPr>
          <w:trHeight w:val="1134" w:hRule="atLeast"/>
        </w:trPr>
        <w:tc>
          <w:tcPr>
            <w:tcW w:w="1769" w:type="dxa"/>
            <w:vMerge w:val="restart"/>
            <w:tcBorders>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交易和</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销售</w:t>
            </w:r>
          </w:p>
        </w:tc>
        <w:tc>
          <w:tcPr>
            <w:tcW w:w="2071"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销售</w:t>
            </w:r>
          </w:p>
        </w:tc>
        <w:tc>
          <w:tcPr>
            <w:tcW w:w="5095" w:type="dxa"/>
            <w:vMerge w:val="restart"/>
            <w:tcBorders>
              <w:bottom w:val="single" w:sz="4" w:space="0" w:color="000000"/>
              <w:right w:val="single" w:sz="4" w:space="0" w:color="000000"/>
            </w:tcBorders>
            <w:vAlign w:val="center"/>
          </w:tcPr>
          <w:p>
            <w:pPr>
              <w:pStyle w:val="Normal"/>
              <w:shd w:fill="FFFFFF" w:val="clear"/>
              <w:spacing w:lineRule="auto" w:line="360"/>
              <w:ind w:firstLine="200" w:left="42" w:right="42"/>
              <w:rPr>
                <w:rFonts w:eastAsia="仿宋_GB2312;仿宋"/>
                <w:spacing w:val="-4"/>
                <w:sz w:val="28"/>
                <w:szCs w:val="28"/>
              </w:rPr>
            </w:pPr>
            <w:r>
              <w:rPr>
                <w:rFonts w:eastAsia="仿宋_GB2312;仿宋"/>
                <w:spacing w:val="-4"/>
                <w:sz w:val="28"/>
                <w:szCs w:val="28"/>
              </w:rPr>
              <w:t>交易账户人民币理财产品、外币理财产品、在银行间债券市场做市、自营贵金属买卖业务、自营衍生金融工具买卖业务、外汇买卖业务、存放同业、证券回购、资金拆借、外资金融机构客户融资、贵金属租赁业务、资产支持证券、远期利率合约、货币利率掉期、利率期权、远期汇率合约、利率掉期、掉期期权、外汇期权、远期结售汇、债券投资、现金及银行存款、中央银行往来、系统内往来、其他资金管理等。</w:t>
            </w:r>
          </w:p>
        </w:tc>
      </w:tr>
      <w:tr>
        <w:trPr>
          <w:trHeight w:val="1134" w:hRule="atLeast"/>
        </w:trPr>
        <w:tc>
          <w:tcPr>
            <w:tcW w:w="1769" w:type="dxa"/>
            <w:vMerge w:val="continue"/>
            <w:tcBorders>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center"/>
              <w:rPr>
                <w:rFonts w:eastAsia="仿宋_GB2312;仿宋"/>
                <w:spacing w:val="-4"/>
                <w:sz w:val="28"/>
                <w:szCs w:val="28"/>
              </w:rPr>
            </w:pPr>
            <w:r>
              <w:rPr>
                <w:rFonts w:eastAsia="仿宋_GB2312;仿宋"/>
                <w:spacing w:val="-4"/>
                <w:sz w:val="28"/>
                <w:szCs w:val="28"/>
              </w:rPr>
            </w:r>
          </w:p>
        </w:tc>
        <w:tc>
          <w:tcPr>
            <w:tcW w:w="2071"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做市商交易</w:t>
            </w:r>
          </w:p>
        </w:tc>
        <w:tc>
          <w:tcPr>
            <w:tcW w:w="5095" w:type="dxa"/>
            <w:vMerge w:val="continue"/>
            <w:tcBorders>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4"/>
                <w:sz w:val="28"/>
                <w:szCs w:val="28"/>
              </w:rPr>
            </w:pPr>
            <w:r>
              <w:rPr>
                <w:rFonts w:eastAsia="仿宋_GB2312;仿宋"/>
                <w:spacing w:val="-4"/>
                <w:sz w:val="28"/>
                <w:szCs w:val="28"/>
              </w:rPr>
            </w:r>
          </w:p>
        </w:tc>
      </w:tr>
      <w:tr>
        <w:trPr>
          <w:trHeight w:val="1134" w:hRule="atLeast"/>
        </w:trPr>
        <w:tc>
          <w:tcPr>
            <w:tcW w:w="1769" w:type="dxa"/>
            <w:vMerge w:val="continue"/>
            <w:tcBorders>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center"/>
              <w:rPr>
                <w:rFonts w:eastAsia="仿宋_GB2312;仿宋"/>
                <w:spacing w:val="-4"/>
                <w:sz w:val="28"/>
                <w:szCs w:val="28"/>
              </w:rPr>
            </w:pPr>
            <w:r>
              <w:rPr>
                <w:rFonts w:eastAsia="仿宋_GB2312;仿宋"/>
                <w:spacing w:val="-4"/>
                <w:sz w:val="28"/>
                <w:szCs w:val="28"/>
              </w:rPr>
            </w:r>
          </w:p>
        </w:tc>
        <w:tc>
          <w:tcPr>
            <w:tcW w:w="2071"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自营业务</w:t>
            </w:r>
          </w:p>
        </w:tc>
        <w:tc>
          <w:tcPr>
            <w:tcW w:w="5095" w:type="dxa"/>
            <w:vMerge w:val="continue"/>
            <w:tcBorders>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4"/>
                <w:sz w:val="28"/>
                <w:szCs w:val="28"/>
              </w:rPr>
            </w:pPr>
            <w:r>
              <w:rPr>
                <w:rFonts w:eastAsia="仿宋_GB2312;仿宋"/>
                <w:spacing w:val="-4"/>
                <w:sz w:val="28"/>
                <w:szCs w:val="28"/>
              </w:rPr>
            </w:r>
          </w:p>
        </w:tc>
      </w:tr>
      <w:tr>
        <w:trPr>
          <w:trHeight w:val="1134" w:hRule="atLeast"/>
        </w:trPr>
        <w:tc>
          <w:tcPr>
            <w:tcW w:w="1769" w:type="dxa"/>
            <w:vMerge w:val="continue"/>
            <w:tcBorders>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center"/>
              <w:rPr>
                <w:rFonts w:eastAsia="仿宋_GB2312;仿宋"/>
                <w:spacing w:val="-4"/>
                <w:sz w:val="28"/>
                <w:szCs w:val="28"/>
              </w:rPr>
            </w:pPr>
            <w:r>
              <w:rPr>
                <w:rFonts w:eastAsia="仿宋_GB2312;仿宋"/>
                <w:spacing w:val="-4"/>
                <w:sz w:val="28"/>
                <w:szCs w:val="28"/>
              </w:rPr>
            </w:r>
          </w:p>
        </w:tc>
        <w:tc>
          <w:tcPr>
            <w:tcW w:w="2071"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资金管理</w:t>
            </w:r>
          </w:p>
        </w:tc>
        <w:tc>
          <w:tcPr>
            <w:tcW w:w="5095" w:type="dxa"/>
            <w:vMerge w:val="continue"/>
            <w:tcBorders>
              <w:bottom w:val="single" w:sz="4" w:space="0" w:color="000000"/>
              <w:right w:val="single" w:sz="4" w:space="0" w:color="000000"/>
            </w:tcBorders>
            <w:vAlign w:val="center"/>
          </w:tcPr>
          <w:p>
            <w:pPr>
              <w:pStyle w:val="Normal"/>
              <w:widowControl/>
              <w:snapToGrid w:val="false"/>
              <w:spacing w:lineRule="auto" w:line="360"/>
              <w:ind w:firstLine="200" w:right="0"/>
              <w:jc w:val="left"/>
              <w:rPr>
                <w:rFonts w:eastAsia="仿宋_GB2312;仿宋"/>
                <w:spacing w:val="-4"/>
                <w:sz w:val="28"/>
                <w:szCs w:val="28"/>
              </w:rPr>
            </w:pPr>
            <w:r>
              <w:rPr>
                <w:rFonts w:eastAsia="仿宋_GB2312;仿宋"/>
                <w:spacing w:val="-4"/>
                <w:sz w:val="28"/>
                <w:szCs w:val="28"/>
              </w:rPr>
            </w:r>
          </w:p>
        </w:tc>
      </w:tr>
      <w:tr>
        <w:trPr>
          <w:trHeight w:val="1342" w:hRule="atLeast"/>
        </w:trPr>
        <w:tc>
          <w:tcPr>
            <w:tcW w:w="1769" w:type="dxa"/>
            <w:tcBorders>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零售银行</w:t>
            </w:r>
          </w:p>
        </w:tc>
        <w:tc>
          <w:tcPr>
            <w:tcW w:w="2071"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零售业务</w:t>
            </w:r>
          </w:p>
        </w:tc>
        <w:tc>
          <w:tcPr>
            <w:tcW w:w="5095"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rPr>
                <w:rFonts w:eastAsia="仿宋_GB2312;仿宋"/>
                <w:spacing w:val="-4"/>
                <w:sz w:val="28"/>
                <w:szCs w:val="28"/>
              </w:rPr>
            </w:pPr>
            <w:r>
              <w:rPr>
                <w:rFonts w:eastAsia="仿宋_GB2312;仿宋"/>
                <w:spacing w:val="-4"/>
                <w:sz w:val="28"/>
                <w:szCs w:val="28"/>
              </w:rPr>
              <w:t>零售贷款、零售存款、个人收入证明、个人结售汇、旅行支票、其他零售服务。</w:t>
            </w:r>
          </w:p>
        </w:tc>
      </w:tr>
      <w:tr>
        <w:trPr>
          <w:trHeight w:val="1417" w:hRule="atLeast"/>
        </w:trPr>
        <w:tc>
          <w:tcPr>
            <w:tcW w:w="1769" w:type="dxa"/>
            <w:vMerge w:val="restart"/>
            <w:tcBorders>
              <w:left w:val="single" w:sz="4" w:space="0" w:color="000000"/>
              <w:right w:val="single" w:sz="4" w:space="0" w:color="000000"/>
            </w:tcBorders>
            <w:vAlign w:val="center"/>
          </w:tcPr>
          <w:p>
            <w:pPr>
              <w:pStyle w:val="Normal"/>
              <w:widowControl/>
              <w:spacing w:lineRule="auto" w:line="360"/>
              <w:ind w:firstLine="200" w:right="0"/>
              <w:jc w:val="center"/>
              <w:rPr>
                <w:rFonts w:eastAsia="仿宋_GB2312;仿宋"/>
                <w:sz w:val="28"/>
                <w:szCs w:val="28"/>
              </w:rPr>
            </w:pPr>
            <w:r>
              <w:rPr>
                <w:rFonts w:eastAsia="仿宋_GB2312;仿宋"/>
                <w:sz w:val="28"/>
                <w:szCs w:val="28"/>
              </w:rPr>
              <w:t>零售银行</w:t>
            </w:r>
          </w:p>
        </w:tc>
        <w:tc>
          <w:tcPr>
            <w:tcW w:w="2071"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私人银行</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业务</w:t>
            </w:r>
          </w:p>
        </w:tc>
        <w:tc>
          <w:tcPr>
            <w:tcW w:w="5095"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rPr>
                <w:rFonts w:eastAsia="仿宋_GB2312;仿宋"/>
                <w:spacing w:val="-4"/>
                <w:sz w:val="28"/>
                <w:szCs w:val="28"/>
              </w:rPr>
            </w:pPr>
            <w:r>
              <w:rPr>
                <w:rFonts w:eastAsia="仿宋_GB2312;仿宋"/>
                <w:spacing w:val="-4"/>
                <w:sz w:val="28"/>
                <w:szCs w:val="28"/>
              </w:rPr>
              <w:t>高端贷款、高端客户存款收费、高端客户理财、投资咨询、其他私人银行服务。</w:t>
            </w:r>
          </w:p>
        </w:tc>
      </w:tr>
      <w:tr>
        <w:trPr>
          <w:trHeight w:val="1123" w:hRule="atLeast"/>
        </w:trPr>
        <w:tc>
          <w:tcPr>
            <w:tcW w:w="1769" w:type="dxa"/>
            <w:vMerge w:val="continue"/>
            <w:tcBorders>
              <w:left w:val="single" w:sz="4" w:space="0" w:color="000000"/>
              <w:right w:val="single" w:sz="4" w:space="0" w:color="000000"/>
            </w:tcBorders>
            <w:vAlign w:val="center"/>
          </w:tcPr>
          <w:p>
            <w:pPr>
              <w:pStyle w:val="Normal"/>
              <w:widowControl/>
              <w:snapToGrid w:val="false"/>
              <w:spacing w:lineRule="auto" w:line="360"/>
              <w:ind w:firstLine="200" w:right="0"/>
              <w:jc w:val="center"/>
              <w:rPr>
                <w:rFonts w:eastAsia="仿宋_GB2312;仿宋"/>
                <w:spacing w:val="-4"/>
                <w:sz w:val="28"/>
                <w:szCs w:val="28"/>
              </w:rPr>
            </w:pPr>
            <w:r>
              <w:rPr>
                <w:rFonts w:eastAsia="仿宋_GB2312;仿宋"/>
                <w:spacing w:val="-4"/>
                <w:sz w:val="28"/>
                <w:szCs w:val="28"/>
              </w:rPr>
            </w:r>
          </w:p>
        </w:tc>
        <w:tc>
          <w:tcPr>
            <w:tcW w:w="2071"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银行卡业务</w:t>
            </w:r>
          </w:p>
        </w:tc>
        <w:tc>
          <w:tcPr>
            <w:tcW w:w="5095"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rPr>
                <w:rFonts w:eastAsia="仿宋_GB2312;仿宋"/>
                <w:spacing w:val="-4"/>
                <w:sz w:val="28"/>
                <w:szCs w:val="28"/>
              </w:rPr>
            </w:pPr>
            <w:r>
              <w:rPr>
                <w:rFonts w:eastAsia="仿宋_GB2312;仿宋"/>
                <w:spacing w:val="-4"/>
                <w:sz w:val="28"/>
                <w:szCs w:val="28"/>
              </w:rPr>
              <w:t>信用卡、借记卡、准贷记卡、收单、其他银行卡服务。</w:t>
            </w:r>
          </w:p>
        </w:tc>
      </w:tr>
      <w:tr>
        <w:trPr>
          <w:trHeight w:val="2960" w:hRule="atLeast"/>
        </w:trPr>
        <w:tc>
          <w:tcPr>
            <w:tcW w:w="176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商业银行</w:t>
            </w:r>
          </w:p>
        </w:tc>
        <w:tc>
          <w:tcPr>
            <w:tcW w:w="2071"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商业银行</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业务</w:t>
            </w:r>
          </w:p>
        </w:tc>
        <w:tc>
          <w:tcPr>
            <w:tcW w:w="5095"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rPr>
                <w:rFonts w:eastAsia="仿宋_GB2312;仿宋"/>
                <w:spacing w:val="-4"/>
                <w:sz w:val="28"/>
                <w:szCs w:val="28"/>
              </w:rPr>
            </w:pPr>
            <w:r>
              <w:rPr>
                <w:rFonts w:eastAsia="仿宋_GB2312;仿宋"/>
                <w:spacing w:val="-4"/>
                <w:sz w:val="28"/>
                <w:szCs w:val="28"/>
              </w:rPr>
              <w:t>单位贷款、单位存款、项目融资、贴现、信贷资产买断卖断、担保、保函、承兑、委托贷款、进出口贸易融资、不动产服务、保理、租赁、单位存款证明、转贷款服务、担保</w:t>
            </w:r>
            <w:r>
              <w:rPr>
                <w:rFonts w:eastAsia="仿宋_GB2312;仿宋"/>
                <w:spacing w:val="-4"/>
                <w:sz w:val="28"/>
                <w:szCs w:val="28"/>
              </w:rPr>
              <w:t>/</w:t>
            </w:r>
            <w:r>
              <w:rPr>
                <w:rFonts w:eastAsia="仿宋_GB2312;仿宋"/>
                <w:spacing w:val="-4"/>
                <w:sz w:val="28"/>
                <w:szCs w:val="28"/>
              </w:rPr>
              <w:t>承诺类、信用证、银行信贷证明、债券投资（银行账户）、其他商业银行业务。</w:t>
            </w:r>
          </w:p>
        </w:tc>
      </w:tr>
      <w:tr>
        <w:trPr>
          <w:trHeight w:val="4099" w:hRule="atLeast"/>
        </w:trPr>
        <w:tc>
          <w:tcPr>
            <w:tcW w:w="176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支付和</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结算</w:t>
            </w:r>
            <w:r>
              <w:rPr>
                <w:rFonts w:eastAsia="仿宋_GB2312;仿宋"/>
                <w:sz w:val="28"/>
                <w:szCs w:val="28"/>
                <w:vertAlign w:val="superscript"/>
              </w:rPr>
              <w:t>〔注〕</w:t>
            </w:r>
          </w:p>
        </w:tc>
        <w:tc>
          <w:tcPr>
            <w:tcW w:w="2071"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客户</w:t>
            </w:r>
          </w:p>
        </w:tc>
        <w:tc>
          <w:tcPr>
            <w:tcW w:w="5095"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rPr>
                <w:rFonts w:eastAsia="仿宋_GB2312;仿宋"/>
                <w:spacing w:val="-4"/>
                <w:sz w:val="28"/>
                <w:szCs w:val="28"/>
              </w:rPr>
            </w:pPr>
            <w:r>
              <w:rPr>
                <w:rFonts w:eastAsia="仿宋_GB2312;仿宋"/>
                <w:spacing w:val="-4"/>
                <w:sz w:val="28"/>
                <w:szCs w:val="28"/>
              </w:rPr>
              <w:t>债券结算代理、代理外资金融机构外汇清算、代理政策性银行贷款资金结算、银证转账、代理其他商业银行办理银行汇票、代理外资金融机构人民币清算、支票、企业电子银行、商业汇票、结售汇、证券资金清算、彩票资金结算、黄金交易资金清算、期货交易资金清算、个人电子汇款，银行汇票、本票、汇兑、托收承付、托收交易、其他支付结算业务。</w:t>
            </w:r>
          </w:p>
        </w:tc>
      </w:tr>
      <w:tr>
        <w:trPr>
          <w:trHeight w:val="1979" w:hRule="atLeast"/>
        </w:trPr>
        <w:tc>
          <w:tcPr>
            <w:tcW w:w="1769" w:type="dxa"/>
            <w:tcBorders>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代理服务</w:t>
            </w:r>
          </w:p>
        </w:tc>
        <w:tc>
          <w:tcPr>
            <w:tcW w:w="2071"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托管</w:t>
            </w:r>
          </w:p>
        </w:tc>
        <w:tc>
          <w:tcPr>
            <w:tcW w:w="5095"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rPr>
                <w:rFonts w:eastAsia="仿宋_GB2312;仿宋"/>
                <w:spacing w:val="-4"/>
                <w:sz w:val="28"/>
                <w:szCs w:val="28"/>
              </w:rPr>
            </w:pPr>
            <w:r>
              <w:rPr>
                <w:rFonts w:eastAsia="仿宋_GB2312;仿宋"/>
                <w:spacing w:val="-4"/>
                <w:sz w:val="28"/>
                <w:szCs w:val="28"/>
              </w:rPr>
              <w:t>证券投资基金托管、</w:t>
            </w:r>
            <w:r>
              <w:rPr>
                <w:rFonts w:eastAsia="仿宋_GB2312;仿宋"/>
                <w:spacing w:val="-4"/>
                <w:sz w:val="28"/>
                <w:szCs w:val="28"/>
              </w:rPr>
              <w:t>QFII</w:t>
            </w:r>
            <w:r>
              <w:rPr>
                <w:rFonts w:eastAsia="仿宋_GB2312;仿宋"/>
                <w:spacing w:val="-4"/>
                <w:sz w:val="28"/>
                <w:szCs w:val="28"/>
              </w:rPr>
              <w:t>托管、</w:t>
            </w:r>
            <w:r>
              <w:rPr>
                <w:rFonts w:eastAsia="仿宋_GB2312;仿宋"/>
                <w:spacing w:val="-4"/>
                <w:sz w:val="28"/>
                <w:szCs w:val="28"/>
              </w:rPr>
              <w:t>QDII</w:t>
            </w:r>
            <w:r>
              <w:rPr>
                <w:rFonts w:eastAsia="仿宋_GB2312;仿宋"/>
                <w:spacing w:val="-4"/>
                <w:sz w:val="28"/>
                <w:szCs w:val="28"/>
              </w:rPr>
              <w:t>托管、企业年金托管、其他各项资产托管、交易资金第三方账户托管、代保管、保管箱业务、其他相关业务。</w:t>
            </w:r>
          </w:p>
        </w:tc>
      </w:tr>
      <w:tr>
        <w:trPr>
          <w:trHeight w:val="3118" w:hRule="atLeast"/>
        </w:trPr>
        <w:tc>
          <w:tcPr>
            <w:tcW w:w="1769" w:type="dxa"/>
            <w:vMerge w:val="restart"/>
            <w:tcBorders>
              <w:left w:val="single" w:sz="4" w:space="0" w:color="000000"/>
              <w:right w:val="single" w:sz="4" w:space="0" w:color="000000"/>
            </w:tcBorders>
            <w:vAlign w:val="center"/>
          </w:tcPr>
          <w:p>
            <w:pPr>
              <w:pStyle w:val="Normal"/>
              <w:widowControl/>
              <w:spacing w:lineRule="auto" w:line="360"/>
              <w:ind w:firstLine="200" w:right="0"/>
              <w:jc w:val="center"/>
              <w:rPr>
                <w:rFonts w:eastAsia="仿宋_GB2312;仿宋"/>
                <w:sz w:val="28"/>
                <w:szCs w:val="28"/>
              </w:rPr>
            </w:pPr>
            <w:r>
              <w:rPr>
                <w:rFonts w:eastAsia="仿宋_GB2312;仿宋"/>
                <w:sz w:val="28"/>
                <w:szCs w:val="28"/>
              </w:rPr>
              <w:t>代理服务</w:t>
            </w:r>
          </w:p>
        </w:tc>
        <w:tc>
          <w:tcPr>
            <w:tcW w:w="2071"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公司代理</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服务</w:t>
            </w:r>
          </w:p>
        </w:tc>
        <w:tc>
          <w:tcPr>
            <w:tcW w:w="5095"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rPr>
                <w:rFonts w:eastAsia="仿宋_GB2312;仿宋"/>
                <w:spacing w:val="-4"/>
                <w:sz w:val="28"/>
                <w:szCs w:val="28"/>
              </w:rPr>
            </w:pPr>
            <w:r>
              <w:rPr>
                <w:rFonts w:eastAsia="仿宋_GB2312;仿宋"/>
                <w:spacing w:val="-4"/>
                <w:sz w:val="28"/>
                <w:szCs w:val="28"/>
              </w:rPr>
              <w:t>代收代扣业务、代理政策性银行贷款、代理财政授权支付、对公理财业务、代客外汇买卖、代客衍生金融工具业务、代理证券业务、代理买卖贵金属业务、代理保险业务、代收税款、代发工资、代理企业年金业务、其他对公代理业务。</w:t>
            </w:r>
          </w:p>
        </w:tc>
      </w:tr>
      <w:tr>
        <w:trPr>
          <w:trHeight w:val="990" w:hRule="atLeast"/>
        </w:trPr>
        <w:tc>
          <w:tcPr>
            <w:tcW w:w="1769" w:type="dxa"/>
            <w:vMerge w:val="continue"/>
            <w:tcBorders>
              <w:left w:val="single" w:sz="4" w:space="0" w:color="000000"/>
              <w:right w:val="single" w:sz="4" w:space="0" w:color="000000"/>
            </w:tcBorders>
            <w:vAlign w:val="center"/>
          </w:tcPr>
          <w:p>
            <w:pPr>
              <w:pStyle w:val="Normal"/>
              <w:widowControl/>
              <w:snapToGrid w:val="false"/>
              <w:spacing w:lineRule="auto" w:line="360"/>
              <w:ind w:firstLine="200" w:right="0"/>
              <w:jc w:val="center"/>
              <w:rPr>
                <w:rFonts w:eastAsia="仿宋_GB2312;仿宋"/>
                <w:spacing w:val="-4"/>
                <w:sz w:val="28"/>
                <w:szCs w:val="28"/>
              </w:rPr>
            </w:pPr>
            <w:r>
              <w:rPr>
                <w:rFonts w:eastAsia="仿宋_GB2312;仿宋"/>
                <w:spacing w:val="-4"/>
                <w:sz w:val="28"/>
                <w:szCs w:val="28"/>
              </w:rPr>
            </w:r>
          </w:p>
        </w:tc>
        <w:tc>
          <w:tcPr>
            <w:tcW w:w="2071"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公司受托</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业务</w:t>
            </w:r>
          </w:p>
        </w:tc>
        <w:tc>
          <w:tcPr>
            <w:tcW w:w="5095"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rPr>
                <w:rFonts w:eastAsia="仿宋_GB2312;仿宋"/>
                <w:spacing w:val="-4"/>
                <w:sz w:val="28"/>
                <w:szCs w:val="28"/>
              </w:rPr>
            </w:pPr>
            <w:r>
              <w:rPr>
                <w:rFonts w:eastAsia="仿宋_GB2312;仿宋"/>
                <w:spacing w:val="-4"/>
                <w:sz w:val="28"/>
                <w:szCs w:val="28"/>
              </w:rPr>
              <w:t>企业年金受托人业务、其他受托代理业务。</w:t>
            </w:r>
          </w:p>
        </w:tc>
      </w:tr>
      <w:tr>
        <w:trPr>
          <w:trHeight w:val="1531" w:hRule="atLeast"/>
        </w:trPr>
        <w:tc>
          <w:tcPr>
            <w:tcW w:w="1769" w:type="dxa"/>
            <w:vMerge w:val="restart"/>
            <w:tcBorders>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资产管理</w:t>
            </w:r>
          </w:p>
        </w:tc>
        <w:tc>
          <w:tcPr>
            <w:tcW w:w="2071"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全权委托</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的资金管理</w:t>
            </w:r>
          </w:p>
        </w:tc>
        <w:tc>
          <w:tcPr>
            <w:tcW w:w="5095"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rPr>
                <w:rFonts w:eastAsia="仿宋_GB2312;仿宋"/>
                <w:spacing w:val="-4"/>
                <w:sz w:val="28"/>
                <w:szCs w:val="28"/>
              </w:rPr>
            </w:pPr>
            <w:r>
              <w:rPr>
                <w:rFonts w:eastAsia="仿宋_GB2312;仿宋"/>
                <w:spacing w:val="-4"/>
                <w:sz w:val="28"/>
                <w:szCs w:val="28"/>
              </w:rPr>
              <w:t>投资基金管理、委托资产管理、私募股权基金、其他全权委托的资金管理。</w:t>
            </w:r>
          </w:p>
        </w:tc>
      </w:tr>
      <w:tr>
        <w:trPr>
          <w:trHeight w:val="1540" w:hRule="atLeast"/>
        </w:trPr>
        <w:tc>
          <w:tcPr>
            <w:tcW w:w="1769" w:type="dxa"/>
            <w:vMerge w:val="continue"/>
            <w:tcBorders>
              <w:left w:val="single" w:sz="4" w:space="0" w:color="000000"/>
              <w:bottom w:val="single" w:sz="4" w:space="0" w:color="000000"/>
              <w:right w:val="single" w:sz="4" w:space="0" w:color="000000"/>
            </w:tcBorders>
            <w:vAlign w:val="center"/>
          </w:tcPr>
          <w:p>
            <w:pPr>
              <w:pStyle w:val="Normal"/>
              <w:widowControl/>
              <w:snapToGrid w:val="false"/>
              <w:spacing w:lineRule="auto" w:line="360"/>
              <w:ind w:firstLine="200" w:right="0"/>
              <w:jc w:val="center"/>
              <w:rPr>
                <w:rFonts w:eastAsia="仿宋_GB2312;仿宋"/>
                <w:spacing w:val="-4"/>
                <w:sz w:val="28"/>
                <w:szCs w:val="28"/>
              </w:rPr>
            </w:pPr>
            <w:r>
              <w:rPr>
                <w:rFonts w:eastAsia="仿宋_GB2312;仿宋"/>
                <w:spacing w:val="-4"/>
                <w:sz w:val="28"/>
                <w:szCs w:val="28"/>
              </w:rPr>
            </w:r>
          </w:p>
        </w:tc>
        <w:tc>
          <w:tcPr>
            <w:tcW w:w="2071"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非全权委托</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的资金管理</w:t>
            </w:r>
          </w:p>
        </w:tc>
        <w:tc>
          <w:tcPr>
            <w:tcW w:w="5095"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rPr>
                <w:rFonts w:eastAsia="仿宋_GB2312;仿宋"/>
                <w:spacing w:val="-4"/>
                <w:sz w:val="28"/>
                <w:szCs w:val="28"/>
              </w:rPr>
            </w:pPr>
            <w:r>
              <w:rPr>
                <w:rFonts w:eastAsia="仿宋_GB2312;仿宋"/>
                <w:spacing w:val="-4"/>
                <w:sz w:val="28"/>
                <w:szCs w:val="28"/>
              </w:rPr>
              <w:t>投资基金管理、委托资产管理、企业年金管理、其他全权委托的资金管理。</w:t>
            </w:r>
          </w:p>
        </w:tc>
      </w:tr>
      <w:tr>
        <w:trPr>
          <w:trHeight w:val="1971" w:hRule="atLeast"/>
        </w:trPr>
        <w:tc>
          <w:tcPr>
            <w:tcW w:w="176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零售经纪</w:t>
            </w:r>
          </w:p>
        </w:tc>
        <w:tc>
          <w:tcPr>
            <w:tcW w:w="2071"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零售经纪</w:t>
            </w:r>
          </w:p>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业务</w:t>
            </w:r>
          </w:p>
        </w:tc>
        <w:tc>
          <w:tcPr>
            <w:tcW w:w="5095"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rPr>
                <w:rFonts w:eastAsia="仿宋_GB2312;仿宋"/>
                <w:spacing w:val="-4"/>
                <w:sz w:val="28"/>
                <w:szCs w:val="28"/>
              </w:rPr>
            </w:pPr>
            <w:r>
              <w:rPr>
                <w:rFonts w:eastAsia="仿宋_GB2312;仿宋"/>
                <w:spacing w:val="-4"/>
                <w:sz w:val="28"/>
                <w:szCs w:val="28"/>
              </w:rPr>
              <w:t>执行指令服务、代销基金、代理保险、个人理财、代理投资、代理储蓄国债、代理个人黄金业务、代理外汇买卖、其他零售经纪业务</w:t>
            </w:r>
          </w:p>
        </w:tc>
      </w:tr>
      <w:tr>
        <w:trPr>
          <w:trHeight w:val="1292" w:hRule="atLeast"/>
        </w:trPr>
        <w:tc>
          <w:tcPr>
            <w:tcW w:w="1769"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其他业务</w:t>
            </w:r>
          </w:p>
        </w:tc>
        <w:tc>
          <w:tcPr>
            <w:tcW w:w="2071"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jc w:val="center"/>
              <w:rPr>
                <w:rFonts w:eastAsia="仿宋_GB2312;仿宋"/>
                <w:sz w:val="28"/>
                <w:szCs w:val="28"/>
              </w:rPr>
            </w:pPr>
            <w:r>
              <w:rPr>
                <w:rFonts w:eastAsia="仿宋_GB2312;仿宋"/>
                <w:sz w:val="28"/>
                <w:szCs w:val="28"/>
              </w:rPr>
              <w:t>其他业务</w:t>
            </w:r>
          </w:p>
        </w:tc>
        <w:tc>
          <w:tcPr>
            <w:tcW w:w="5095" w:type="dxa"/>
            <w:tcBorders>
              <w:top w:val="single" w:sz="4" w:space="0" w:color="000000"/>
              <w:bottom w:val="single" w:sz="4" w:space="0" w:color="000000"/>
              <w:right w:val="single" w:sz="4" w:space="0" w:color="000000"/>
            </w:tcBorders>
            <w:vAlign w:val="center"/>
          </w:tcPr>
          <w:p>
            <w:pPr>
              <w:pStyle w:val="Normal"/>
              <w:shd w:fill="FFFFFF" w:val="clear"/>
              <w:spacing w:lineRule="auto" w:line="360"/>
              <w:ind w:firstLine="200" w:left="42" w:right="42"/>
              <w:rPr/>
            </w:pPr>
            <w:r>
              <w:rPr>
                <w:rFonts w:eastAsia="仿宋_GB2312;仿宋"/>
                <w:spacing w:val="-4"/>
                <w:sz w:val="28"/>
                <w:szCs w:val="28"/>
              </w:rPr>
              <w:t>无法归入以上八个业务条线的业务种类。</w:t>
            </w:r>
          </w:p>
        </w:tc>
      </w:tr>
    </w:tbl>
    <w:p>
      <w:pPr>
        <w:pStyle w:val="Normal"/>
        <w:spacing w:lineRule="auto" w:line="360"/>
        <w:ind w:firstLine="200" w:right="0"/>
        <w:rPr>
          <w:rFonts w:eastAsia="仿宋_GB2312;仿宋"/>
          <w:sz w:val="28"/>
          <w:szCs w:val="28"/>
        </w:rPr>
      </w:pPr>
      <w:r>
        <w:rPr>
          <w:rFonts w:eastAsia="仿宋_GB2312;仿宋"/>
          <w:sz w:val="28"/>
          <w:szCs w:val="28"/>
        </w:rPr>
      </w:r>
    </w:p>
    <w:p>
      <w:pPr>
        <w:pStyle w:val="Normal"/>
        <w:spacing w:lineRule="auto" w:line="360"/>
        <w:ind w:firstLine="200" w:right="0"/>
        <w:rPr>
          <w:rFonts w:eastAsia="仿宋_GB2312;仿宋"/>
          <w:bCs/>
          <w:sz w:val="28"/>
          <w:szCs w:val="28"/>
        </w:rPr>
      </w:pPr>
      <w:r>
        <w:rPr>
          <w:rFonts w:eastAsia="仿宋_GB2312;仿宋"/>
          <w:sz w:val="28"/>
          <w:szCs w:val="28"/>
        </w:rPr>
        <w:t>注：为本行自身业务提供支付结算服务时产生的操作风险损失，归入行内接受支付结算服务的业务条线。</w:t>
      </w:r>
    </w:p>
    <w:p>
      <w:pPr>
        <w:pStyle w:val="Normal"/>
        <w:spacing w:lineRule="auto" w:line="360"/>
        <w:rPr>
          <w:rFonts w:eastAsia="仿宋_GB2312;仿宋"/>
          <w:bCs/>
          <w:sz w:val="28"/>
          <w:szCs w:val="28"/>
        </w:rPr>
      </w:pPr>
      <w:r>
        <w:rPr>
          <w:rFonts w:eastAsia="仿宋_GB2312;仿宋"/>
          <w:bCs/>
          <w:sz w:val="28"/>
          <w:szCs w:val="28"/>
        </w:rPr>
      </w:r>
    </w:p>
    <w:sectPr>
      <w:headerReference w:type="default" r:id="rId4"/>
      <w:footerReference w:type="default" r:id="rId5"/>
      <w:type w:val="nextPage"/>
      <w:pgSz w:w="11906" w:h="16838"/>
      <w:pgMar w:left="1644" w:right="1644" w:gutter="0" w:header="851" w:top="1440" w:footer="1701" w:bottom="175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0"/>
    <w:family w:val="swiss"/>
    <w:pitch w:val="variable"/>
  </w:font>
  <w:font w:name="Calibri">
    <w:charset w:val="00"/>
    <w:family w:val="swiss"/>
    <w:pitch w:val="variable"/>
  </w:font>
  <w:font w:name="宋体">
    <w:altName w:val="SimSun"/>
    <w:charset w:val="86"/>
    <w:family w:val="auto"/>
    <w:pitch w:val="variable"/>
  </w:font>
  <w:font w:name="仿宋_GB2312">
    <w:altName w:val="仿宋"/>
    <w:charset w:val="86"/>
    <w:family w:val="modern"/>
    <w:pitch w:val="default"/>
  </w:font>
  <w:font w:name="Cambria">
    <w:charset w:val="00"/>
    <w:family w:val="roman"/>
    <w:pitch w:val="variable"/>
  </w:font>
  <w:font w:name="Tahoma">
    <w:charset w:val="00"/>
    <w:family w:val="swiss"/>
    <w:pitch w:val="variable"/>
  </w:font>
  <w:font w:name="华文中宋">
    <w:charset w:val="86"/>
    <w:family w:val="auto"/>
    <w:pitch w:val="variable"/>
  </w:font>
  <w:font w:name="Book Antiqu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japaneseLegal"/>
      <w:suff w:val="space"/>
      <w:lvlText w:val="第%1章"/>
      <w:lvlJc w:val="left"/>
      <w:pPr>
        <w:tabs>
          <w:tab w:val="num" w:pos="0"/>
        </w:tabs>
        <w:ind w:left="425" w:hanging="425"/>
      </w:pPr>
      <w:rPr>
        <w:rFonts w:cs="Times New Roman"/>
      </w:rPr>
    </w:lvl>
    <w:lvl w:ilvl="1">
      <w:start w:val="1"/>
      <w:numFmt w:val="decimal"/>
      <w:suff w:val="space"/>
      <w:lvlText w:val="1.%2"/>
      <w:lvlJc w:val="left"/>
      <w:pPr>
        <w:tabs>
          <w:tab w:val="num" w:pos="0"/>
        </w:tabs>
        <w:ind w:left="425" w:hanging="425"/>
      </w:pPr>
      <w:rPr>
        <w:rFonts w:cs="Times New Roman"/>
      </w:rPr>
    </w:lvl>
    <w:lvl w:ilvl="2">
      <w:start w:val="1"/>
      <w:numFmt w:val="decimal"/>
      <w:suff w:val="space"/>
      <w:lvlText w:val="1.%2.%3"/>
      <w:lvlJc w:val="left"/>
      <w:pPr>
        <w:tabs>
          <w:tab w:val="num" w:pos="0"/>
        </w:tabs>
        <w:ind w:left="1418" w:hanging="567"/>
      </w:pPr>
      <w:rPr>
        <w:rFonts w:cs="Times New Roman"/>
      </w:rPr>
    </w:lvl>
    <w:lvl w:ilvl="3">
      <w:start w:val="1"/>
      <w:numFmt w:val="decimal"/>
      <w:suff w:val="space"/>
      <w:lvlText w:val="1.%2.%3.%4"/>
      <w:lvlJc w:val="left"/>
      <w:pPr>
        <w:tabs>
          <w:tab w:val="num" w:pos="0"/>
        </w:tabs>
        <w:ind w:left="425" w:hanging="425"/>
      </w:pPr>
      <w:rPr>
        <w:rFonts w:cs="Times New Roman"/>
      </w:rPr>
    </w:lvl>
    <w:lvl w:ilvl="4">
      <w:start w:val="1"/>
      <w:numFmt w:val="decimal"/>
      <w:suff w:val="space"/>
      <w:lvlText w:val="1.%2.%3.%4.%5"/>
      <w:lvlJc w:val="left"/>
      <w:pPr>
        <w:tabs>
          <w:tab w:val="num" w:pos="0"/>
        </w:tabs>
        <w:ind w:left="0" w:firstLine="851"/>
      </w:pPr>
      <w:rPr>
        <w:rFonts w:cs="Times New Roman"/>
      </w:rPr>
    </w:lvl>
    <w:lvl w:ilvl="5">
      <w:start w:val="1"/>
      <w:numFmt w:val="decimal"/>
      <w:lvlText w:val="%1.%2.%3.%4.%5.%6"/>
      <w:lvlJc w:val="left"/>
      <w:pPr>
        <w:tabs>
          <w:tab w:val="num" w:pos="0"/>
        </w:tabs>
        <w:ind w:left="3260" w:hanging="1134"/>
      </w:pPr>
      <w:rPr>
        <w:rFonts w:cs="Times New Roman"/>
      </w:rPr>
    </w:lvl>
    <w:lvl w:ilvl="6">
      <w:start w:val="1"/>
      <w:numFmt w:val="decimal"/>
      <w:lvlText w:val="%1.%2.%3.%4.%5.%6.%7"/>
      <w:lvlJc w:val="left"/>
      <w:pPr>
        <w:tabs>
          <w:tab w:val="num" w:pos="0"/>
        </w:tabs>
        <w:ind w:left="3827" w:hanging="1276"/>
      </w:pPr>
      <w:rPr>
        <w:rFonts w:cs="Times New Roman"/>
      </w:rPr>
    </w:lvl>
    <w:lvl w:ilvl="7">
      <w:start w:val="1"/>
      <w:numFmt w:val="decimal"/>
      <w:lvlText w:val="%1.%2.%3.%4.%5.%6.%7.%8"/>
      <w:lvlJc w:val="left"/>
      <w:pPr>
        <w:tabs>
          <w:tab w:val="num" w:pos="0"/>
        </w:tabs>
        <w:ind w:left="4394" w:hanging="1418"/>
      </w:pPr>
      <w:rPr>
        <w:rFonts w:cs="Times New Roman"/>
      </w:rPr>
    </w:lvl>
    <w:lvl w:ilvl="8">
      <w:start w:val="1"/>
      <w:numFmt w:val="decimal"/>
      <w:lvlText w:val="%1.%2.%3.%4.%5.%6.%7.%8.%9"/>
      <w:lvlJc w:val="left"/>
      <w:pPr>
        <w:tabs>
          <w:tab w:val="num" w:pos="0"/>
        </w:tabs>
        <w:ind w:left="5102" w:hanging="1700"/>
      </w:pPr>
      <w:rPr>
        <w:rFonts w:cs="Times New Roman"/>
      </w:rPr>
    </w:lvl>
  </w:abstractNum>
  <w:num w:numId="1">
    <w:abstractNumId w:val="1"/>
  </w:num>
  <w:num w:numId="2">
    <w:abstractNumId w:val="2"/>
  </w:num>
</w:numbering>
</file>

<file path=word/settings.xml><?xml version="1.0" encoding="utf-8"?>
<w:settings xmlns:w="http://schemas.openxmlformats.org/wordprocessingml/2006/main">
  <w:zoom w:percent="14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360"/>
      <w:outlineLvl w:val="0"/>
    </w:pPr>
    <w:rPr>
      <w:rFonts w:eastAsia="仿宋_GB2312;仿宋"/>
      <w:b/>
      <w:bCs/>
      <w:kern w:val="2"/>
      <w:sz w:val="30"/>
      <w:szCs w:val="44"/>
    </w:rPr>
  </w:style>
  <w:style w:type="paragraph" w:styleId="Heading2">
    <w:name w:val="Heading 2"/>
    <w:basedOn w:val="Normal"/>
    <w:next w:val="Normal"/>
    <w:qFormat/>
    <w:pPr>
      <w:keepNext w:val="true"/>
      <w:keepLines/>
      <w:numPr>
        <w:ilvl w:val="1"/>
        <w:numId w:val="1"/>
      </w:numPr>
      <w:spacing w:lineRule="exact" w:line="560"/>
      <w:ind w:firstLine="422" w:left="0" w:right="0"/>
      <w:jc w:val="center"/>
      <w:outlineLvl w:val="1"/>
    </w:pPr>
    <w:rPr>
      <w:rFonts w:ascii="Calibri Light" w:hAnsi="Calibri Light" w:eastAsia="仿宋_GB2312;仿宋" w:cs="Calibri Light"/>
      <w:b/>
      <w:bCs/>
      <w:szCs w:val="32"/>
    </w:rPr>
  </w:style>
  <w:style w:type="paragraph" w:styleId="Heading3">
    <w:name w:val="Heading 3"/>
    <w:basedOn w:val="Normal"/>
    <w:next w:val="Normal"/>
    <w:qFormat/>
    <w:pPr>
      <w:keepNext w:val="true"/>
      <w:keepLines/>
      <w:numPr>
        <w:ilvl w:val="2"/>
        <w:numId w:val="1"/>
      </w:numPr>
      <w:spacing w:lineRule="auto" w:line="412"/>
      <w:ind w:hanging="567" w:left="1418" w:right="0"/>
      <w:outlineLvl w:val="2"/>
    </w:pPr>
    <w:rPr>
      <w:rFonts w:ascii="Calibri" w:hAnsi="Calibri" w:eastAsia="黑体;SimHei" w:cs="Calibri"/>
      <w:bCs/>
      <w:sz w:val="20"/>
      <w:szCs w:val="32"/>
    </w:rPr>
  </w:style>
  <w:style w:type="paragraph" w:styleId="Heading4">
    <w:name w:val="Heading 4"/>
    <w:basedOn w:val="Normal"/>
    <w:next w:val="Style8"/>
    <w:qFormat/>
    <w:pPr>
      <w:keepNext w:val="true"/>
      <w:keepLines/>
      <w:numPr>
        <w:ilvl w:val="3"/>
        <w:numId w:val="1"/>
      </w:numPr>
      <w:tabs>
        <w:tab w:val="clear" w:pos="420"/>
        <w:tab w:val="left" w:pos="1584" w:leader="none"/>
      </w:tabs>
      <w:spacing w:lineRule="auto" w:line="360" w:before="280" w:after="290"/>
      <w:ind w:hanging="864" w:left="1584" w:right="0"/>
      <w:outlineLvl w:val="3"/>
    </w:pPr>
    <w:rPr>
      <w:rFonts w:ascii="宋体;SimSun" w:hAnsi="宋体;SimSun" w:cs="宋体;SimSun"/>
      <w:color w:val="666666"/>
      <w:sz w:val="24"/>
    </w:rPr>
  </w:style>
  <w:style w:type="paragraph" w:styleId="Heading5">
    <w:name w:val="Heading 5"/>
    <w:basedOn w:val="Normal"/>
    <w:next w:val="Style8"/>
    <w:qFormat/>
    <w:pPr>
      <w:keepNext w:val="true"/>
      <w:keepLines/>
      <w:numPr>
        <w:ilvl w:val="4"/>
        <w:numId w:val="1"/>
      </w:numPr>
      <w:tabs>
        <w:tab w:val="clear" w:pos="420"/>
        <w:tab w:val="left" w:pos="1008" w:leader="none"/>
      </w:tabs>
      <w:spacing w:lineRule="auto" w:line="374" w:before="280" w:after="290"/>
      <w:ind w:hanging="1008" w:left="1008" w:right="0"/>
      <w:outlineLvl w:val="4"/>
    </w:pPr>
    <w:rPr>
      <w:rFonts w:ascii="宋体;SimSun" w:hAnsi="宋体;SimSun" w:cs="宋体;SimSun"/>
      <w:color w:val="666666"/>
      <w:sz w:val="20"/>
      <w:szCs w:val="20"/>
    </w:rPr>
  </w:style>
  <w:style w:type="paragraph" w:styleId="Heading6">
    <w:name w:val="Heading 6"/>
    <w:basedOn w:val="Normal"/>
    <w:next w:val="Style8"/>
    <w:qFormat/>
    <w:pPr>
      <w:keepNext w:val="true"/>
      <w:keepLines/>
      <w:numPr>
        <w:ilvl w:val="5"/>
        <w:numId w:val="1"/>
      </w:numPr>
      <w:tabs>
        <w:tab w:val="clear" w:pos="420"/>
        <w:tab w:val="left" w:pos="1152" w:leader="none"/>
      </w:tabs>
      <w:spacing w:lineRule="auto" w:line="319" w:before="240" w:after="64"/>
      <w:ind w:hanging="1152" w:left="1152" w:right="0"/>
      <w:outlineLvl w:val="5"/>
    </w:pPr>
    <w:rPr>
      <w:rFonts w:ascii="宋体;SimSun" w:hAnsi="宋体;SimSun" w:cs="宋体;SimSun"/>
      <w:color w:val="666666"/>
      <w:sz w:val="16"/>
      <w:szCs w:val="16"/>
    </w:rPr>
  </w:style>
  <w:style w:type="paragraph" w:styleId="Heading7">
    <w:name w:val="Heading 7"/>
    <w:basedOn w:val="Normal"/>
    <w:next w:val="Style8"/>
    <w:qFormat/>
    <w:pPr>
      <w:keepNext w:val="true"/>
      <w:keepLines/>
      <w:numPr>
        <w:ilvl w:val="6"/>
        <w:numId w:val="1"/>
      </w:numPr>
      <w:tabs>
        <w:tab w:val="clear" w:pos="420"/>
        <w:tab w:val="left" w:pos="1296" w:leader="none"/>
      </w:tabs>
      <w:spacing w:lineRule="auto" w:line="319" w:before="240" w:after="64"/>
      <w:ind w:hanging="1296" w:left="1296" w:right="0"/>
      <w:outlineLvl w:val="6"/>
    </w:pPr>
    <w:rPr>
      <w:rFonts w:ascii="宋体;SimSun" w:hAnsi="宋体;SimSun" w:cs="宋体;SimSun"/>
      <w:b/>
      <w:color w:val="000000"/>
      <w:sz w:val="24"/>
      <w:szCs w:val="21"/>
    </w:rPr>
  </w:style>
  <w:style w:type="paragraph" w:styleId="Heading8">
    <w:name w:val="Heading 8"/>
    <w:basedOn w:val="Normal"/>
    <w:next w:val="Style8"/>
    <w:qFormat/>
    <w:pPr>
      <w:keepNext w:val="true"/>
      <w:keepLines/>
      <w:numPr>
        <w:ilvl w:val="7"/>
        <w:numId w:val="1"/>
      </w:numPr>
      <w:tabs>
        <w:tab w:val="clear" w:pos="420"/>
        <w:tab w:val="left" w:pos="1440" w:leader="none"/>
      </w:tabs>
      <w:spacing w:lineRule="auto" w:line="319" w:before="240" w:after="64"/>
      <w:ind w:hanging="1440" w:left="1440" w:right="0"/>
      <w:outlineLvl w:val="7"/>
    </w:pPr>
    <w:rPr>
      <w:rFonts w:ascii="Arial" w:hAnsi="Arial" w:eastAsia="黑体;SimHei" w:cs="Arial"/>
      <w:color w:val="000000"/>
      <w:sz w:val="24"/>
      <w:szCs w:val="21"/>
    </w:rPr>
  </w:style>
  <w:style w:type="paragraph" w:styleId="Heading9">
    <w:name w:val="Heading 9"/>
    <w:basedOn w:val="Normal"/>
    <w:next w:val="Style8"/>
    <w:qFormat/>
    <w:pPr>
      <w:keepNext w:val="true"/>
      <w:keepLines/>
      <w:numPr>
        <w:ilvl w:val="8"/>
        <w:numId w:val="1"/>
      </w:numPr>
      <w:tabs>
        <w:tab w:val="clear" w:pos="420"/>
        <w:tab w:val="left" w:pos="1584" w:leader="none"/>
      </w:tabs>
      <w:spacing w:lineRule="auto" w:line="319" w:before="240" w:after="64"/>
      <w:ind w:hanging="1584" w:left="1584" w:right="0"/>
      <w:outlineLvl w:val="8"/>
    </w:pPr>
    <w:rPr>
      <w:rFonts w:ascii="Arial" w:hAnsi="Arial" w:eastAsia="黑体;SimHei" w:cs="Arial"/>
      <w:color w:val="000000"/>
      <w:szCs w:val="21"/>
    </w:rPr>
  </w:style>
  <w:style w:type="character" w:styleId="WW8Num1z0">
    <w:name w:val="WW8Num1z0"/>
    <w:qFormat/>
    <w:rPr>
      <w:rFonts w:cs="Times New Roman"/>
    </w:rPr>
  </w:style>
  <w:style w:type="character" w:styleId="Style5">
    <w:name w:val="默认段落字体"/>
    <w:qFormat/>
    <w:rPr/>
  </w:style>
  <w:style w:type="character" w:styleId="1Char">
    <w:name w:val="标题 1 Char"/>
    <w:qFormat/>
    <w:rPr>
      <w:rFonts w:eastAsia="仿宋_GB2312;仿宋"/>
      <w:b/>
      <w:bCs/>
      <w:kern w:val="2"/>
      <w:sz w:val="30"/>
      <w:szCs w:val="44"/>
    </w:rPr>
  </w:style>
  <w:style w:type="character" w:styleId="2Char">
    <w:name w:val="标题 2 Char"/>
    <w:qFormat/>
    <w:rPr>
      <w:rFonts w:ascii="Calibri Light" w:hAnsi="Calibri Light" w:eastAsia="仿宋_GB2312;仿宋" w:cs="Calibri Light"/>
      <w:b/>
      <w:bCs/>
      <w:kern w:val="2"/>
      <w:sz w:val="21"/>
      <w:szCs w:val="32"/>
    </w:rPr>
  </w:style>
  <w:style w:type="character" w:styleId="3Char">
    <w:name w:val="标题 3 Char"/>
    <w:qFormat/>
    <w:rPr>
      <w:rFonts w:ascii="Calibri" w:hAnsi="Calibri" w:eastAsia="黑体;SimHei" w:cs="Calibri"/>
      <w:bCs/>
      <w:kern w:val="2"/>
      <w:szCs w:val="32"/>
    </w:rPr>
  </w:style>
  <w:style w:type="character" w:styleId="Char">
    <w:name w:val="正文缩进 Char"/>
    <w:qFormat/>
    <w:rPr>
      <w:kern w:val="2"/>
    </w:rPr>
  </w:style>
  <w:style w:type="character" w:styleId="4Char">
    <w:name w:val="标题 4 Char"/>
    <w:qFormat/>
    <w:rPr>
      <w:rFonts w:ascii="宋体;SimSun" w:hAnsi="宋体;SimSun" w:cs="宋体;SimSun"/>
      <w:color w:val="666666"/>
      <w:kern w:val="2"/>
      <w:sz w:val="24"/>
      <w:szCs w:val="24"/>
    </w:rPr>
  </w:style>
  <w:style w:type="character" w:styleId="5Char">
    <w:name w:val="标题 5 Char"/>
    <w:qFormat/>
    <w:rPr>
      <w:rFonts w:ascii="宋体;SimSun" w:hAnsi="宋体;SimSun" w:cs="宋体;SimSun"/>
      <w:color w:val="666666"/>
      <w:kern w:val="2"/>
    </w:rPr>
  </w:style>
  <w:style w:type="character" w:styleId="6Char">
    <w:name w:val="标题 6 Char"/>
    <w:qFormat/>
    <w:rPr>
      <w:rFonts w:ascii="宋体;SimSun" w:hAnsi="宋体;SimSun" w:cs="宋体;SimSun"/>
      <w:color w:val="666666"/>
      <w:kern w:val="2"/>
      <w:sz w:val="16"/>
      <w:szCs w:val="16"/>
    </w:rPr>
  </w:style>
  <w:style w:type="character" w:styleId="7Char">
    <w:name w:val="标题 7 Char"/>
    <w:qFormat/>
    <w:rPr>
      <w:rFonts w:ascii="宋体;SimSun" w:hAnsi="宋体;SimSun" w:cs="宋体;SimSun"/>
      <w:b/>
      <w:color w:val="000000"/>
      <w:kern w:val="2"/>
      <w:sz w:val="24"/>
      <w:szCs w:val="21"/>
    </w:rPr>
  </w:style>
  <w:style w:type="character" w:styleId="8Char">
    <w:name w:val="标题 8 Char"/>
    <w:qFormat/>
    <w:rPr>
      <w:rFonts w:ascii="Arial" w:hAnsi="Arial" w:eastAsia="黑体;SimHei" w:cs="Arial"/>
      <w:color w:val="000000"/>
      <w:kern w:val="2"/>
      <w:sz w:val="24"/>
      <w:szCs w:val="21"/>
    </w:rPr>
  </w:style>
  <w:style w:type="character" w:styleId="9Char">
    <w:name w:val="标题 9 Char"/>
    <w:qFormat/>
    <w:rPr>
      <w:rFonts w:ascii="Arial" w:hAnsi="Arial" w:eastAsia="黑体;SimHei" w:cs="Arial"/>
      <w:color w:val="000000"/>
      <w:kern w:val="2"/>
      <w:sz w:val="21"/>
      <w:szCs w:val="21"/>
    </w:rPr>
  </w:style>
  <w:style w:type="character" w:styleId="PageNumber">
    <w:name w:val="Page Number"/>
    <w:basedOn w:val="Style5"/>
    <w:rPr/>
  </w:style>
  <w:style w:type="character" w:styleId="Char1">
    <w:name w:val="页脚 Char"/>
    <w:qFormat/>
    <w:rPr>
      <w:kern w:val="2"/>
      <w:sz w:val="18"/>
      <w:szCs w:val="18"/>
    </w:rPr>
  </w:style>
  <w:style w:type="character" w:styleId="Char11">
    <w:name w:val="正文文本 Char1"/>
    <w:qFormat/>
    <w:rPr>
      <w:kern w:val="2"/>
      <w:sz w:val="21"/>
      <w:szCs w:val="24"/>
    </w:rPr>
  </w:style>
  <w:style w:type="character" w:styleId="2Char1">
    <w:name w:val="正文文本 2 Char"/>
    <w:qFormat/>
    <w:rPr>
      <w:rFonts w:ascii="宋体;SimSun" w:hAnsi="宋体;SimSun" w:cs="宋体;SimSun"/>
      <w:color w:val="000000"/>
      <w:kern w:val="2"/>
      <w:sz w:val="24"/>
      <w:szCs w:val="24"/>
    </w:rPr>
  </w:style>
  <w:style w:type="character" w:styleId="Char2">
    <w:name w:val="页眉 Char"/>
    <w:qFormat/>
    <w:rPr>
      <w:kern w:val="2"/>
      <w:sz w:val="18"/>
      <w:szCs w:val="18"/>
    </w:rPr>
  </w:style>
  <w:style w:type="character" w:styleId="Char3">
    <w:name w:val="列出段落 Char"/>
    <w:qFormat/>
    <w:rPr>
      <w:kern w:val="2"/>
    </w:rPr>
  </w:style>
  <w:style w:type="character" w:styleId="Char4">
    <w:name w:val="正文文本缩进 Char"/>
    <w:qFormat/>
    <w:rPr>
      <w:kern w:val="2"/>
      <w:sz w:val="21"/>
      <w:szCs w:val="24"/>
    </w:rPr>
  </w:style>
  <w:style w:type="character" w:styleId="2Char2">
    <w:name w:val="正文文本缩进 2 Char"/>
    <w:qFormat/>
    <w:rPr>
      <w:rFonts w:ascii="仿宋_GB2312;仿宋" w:hAnsi="仿宋_GB2312;仿宋" w:eastAsia="仿宋_GB2312;仿宋"/>
      <w:sz w:val="30"/>
      <w:szCs w:val="32"/>
    </w:rPr>
  </w:style>
  <w:style w:type="character" w:styleId="2Char11">
    <w:name w:val="正文文本缩进 2 Char1"/>
    <w:qFormat/>
    <w:rPr>
      <w:kern w:val="2"/>
      <w:sz w:val="21"/>
      <w:szCs w:val="24"/>
    </w:rPr>
  </w:style>
  <w:style w:type="character" w:styleId="Char5">
    <w:name w:val="正文文本 Char"/>
    <w:qFormat/>
    <w:rPr>
      <w:kern w:val="2"/>
      <w:sz w:val="21"/>
      <w:szCs w:val="24"/>
    </w:rPr>
  </w:style>
  <w:style w:type="character" w:styleId="Emphasis">
    <w:name w:val="Emphasis"/>
    <w:qFormat/>
    <w:rPr>
      <w:i w:val="false"/>
      <w:iCs w:val="false"/>
      <w:color w:val="CC0000"/>
    </w:rPr>
  </w:style>
  <w:style w:type="character" w:styleId="Char6">
    <w:name w:val="正文首行缩进 Char"/>
    <w:qFormat/>
    <w:rPr/>
  </w:style>
  <w:style w:type="character" w:styleId="Char12">
    <w:name w:val="正文首行缩进 Char1"/>
    <w:basedOn w:val="Char11"/>
    <w:qFormat/>
    <w:rPr/>
  </w:style>
  <w:style w:type="character" w:styleId="Char21">
    <w:name w:val="批注框文本 Char2"/>
    <w:qFormat/>
    <w:rPr>
      <w:kern w:val="2"/>
      <w:sz w:val="18"/>
      <w:szCs w:val="18"/>
    </w:rPr>
  </w:style>
  <w:style w:type="character" w:styleId="Char7">
    <w:name w:val="文档结构图 Char"/>
    <w:qFormat/>
    <w:rPr>
      <w:sz w:val="21"/>
      <w:szCs w:val="24"/>
      <w:shd w:fill="000080" w:val="clear"/>
    </w:rPr>
  </w:style>
  <w:style w:type="character" w:styleId="Char13">
    <w:name w:val="文档结构图 Char1"/>
    <w:qFormat/>
    <w:rPr>
      <w:rFonts w:ascii="宋体;SimSun" w:hAnsi="宋体;SimSun"/>
      <w:kern w:val="2"/>
      <w:sz w:val="18"/>
      <w:szCs w:val="18"/>
    </w:rPr>
  </w:style>
  <w:style w:type="character" w:styleId="Char8">
    <w:name w:val="批注框文本 Char"/>
    <w:qFormat/>
    <w:rPr>
      <w:rFonts w:ascii="宋体;SimSun" w:hAnsi="宋体;SimSun" w:cs="宋体;SimSun"/>
      <w:sz w:val="18"/>
      <w:szCs w:val="18"/>
    </w:rPr>
  </w:style>
  <w:style w:type="character" w:styleId="Char14">
    <w:name w:val="批注框文本 Char1"/>
    <w:qFormat/>
    <w:rPr>
      <w:kern w:val="2"/>
      <w:sz w:val="18"/>
      <w:szCs w:val="18"/>
    </w:rPr>
  </w:style>
  <w:style w:type="character" w:styleId="Hyperlink">
    <w:name w:val="Hyperlink"/>
    <w:rPr>
      <w:color w:val="0563C1"/>
      <w:u w:val="single"/>
    </w:rPr>
  </w:style>
  <w:style w:type="character" w:styleId="Char9">
    <w:name w:val="纯文本 Char"/>
    <w:qFormat/>
    <w:rPr>
      <w:rFonts w:ascii="仿宋_GB2312;仿宋" w:hAnsi="仿宋_GB2312;仿宋" w:eastAsia="仿宋_GB2312;仿宋" w:cs="Courier New"/>
      <w:kern w:val="2"/>
      <w:sz w:val="30"/>
      <w:szCs w:val="30"/>
    </w:rPr>
  </w:style>
  <w:style w:type="character" w:styleId="3Char1">
    <w:name w:val="正文文本缩进 3 Char"/>
    <w:qFormat/>
    <w:rPr>
      <w:rFonts w:ascii="仿宋_GB2312;仿宋" w:hAnsi="仿宋_GB2312;仿宋" w:eastAsia="仿宋_GB2312;仿宋" w:cs="宋体;SimSun"/>
      <w:kern w:val="2"/>
      <w:sz w:val="30"/>
      <w:szCs w:val="24"/>
    </w:rPr>
  </w:style>
  <w:style w:type="character" w:styleId="Char10">
    <w:name w:val="批注文字 Char"/>
    <w:qFormat/>
    <w:rPr>
      <w:sz w:val="21"/>
      <w:szCs w:val="24"/>
    </w:rPr>
  </w:style>
  <w:style w:type="character" w:styleId="Char15">
    <w:name w:val="批注文字 Char1"/>
    <w:qFormat/>
    <w:rPr>
      <w:kern w:val="2"/>
      <w:sz w:val="21"/>
      <w:szCs w:val="24"/>
    </w:rPr>
  </w:style>
  <w:style w:type="character" w:styleId="Char16">
    <w:name w:val="批注主题 Char"/>
    <w:qFormat/>
    <w:rPr>
      <w:b/>
      <w:bCs/>
      <w:sz w:val="24"/>
      <w:szCs w:val="24"/>
    </w:rPr>
  </w:style>
  <w:style w:type="character" w:styleId="Char17">
    <w:name w:val="批注主题 Char1"/>
    <w:qFormat/>
    <w:rPr>
      <w:b/>
      <w:bCs/>
      <w:kern w:val="2"/>
      <w:sz w:val="21"/>
      <w:szCs w:val="24"/>
    </w:rPr>
  </w:style>
  <w:style w:type="character" w:styleId="Char18">
    <w:name w:val="日期 Char"/>
    <w:qFormat/>
    <w:rPr>
      <w:sz w:val="21"/>
      <w:szCs w:val="24"/>
    </w:rPr>
  </w:style>
  <w:style w:type="character" w:styleId="Char19">
    <w:name w:val="日期 Char1"/>
    <w:qFormat/>
    <w:rPr>
      <w:kern w:val="2"/>
      <w:sz w:val="21"/>
      <w:szCs w:val="24"/>
    </w:rPr>
  </w:style>
  <w:style w:type="character" w:styleId="Strong">
    <w:name w:val="Strong"/>
    <w:qFormat/>
    <w:rPr>
      <w:b/>
      <w:bCs/>
    </w:rPr>
  </w:style>
  <w:style w:type="character" w:styleId="3Char11">
    <w:name w:val="正文文本 3 Char1"/>
    <w:qFormat/>
    <w:rPr>
      <w:rFonts w:ascii="仿宋_GB2312;仿宋" w:hAnsi="仿宋_GB2312;仿宋" w:eastAsia="仿宋_GB2312;仿宋"/>
      <w:b/>
      <w:kern w:val="2"/>
      <w:sz w:val="32"/>
    </w:rPr>
  </w:style>
  <w:style w:type="character" w:styleId="3Char2">
    <w:name w:val="正文文本 3 Char"/>
    <w:qFormat/>
    <w:rPr>
      <w:kern w:val="2"/>
      <w:sz w:val="16"/>
      <w:szCs w:val="16"/>
    </w:rPr>
  </w:style>
  <w:style w:type="character" w:styleId="Style6">
    <w:name w:val="正文文本 字符"/>
    <w:qFormat/>
    <w:rPr>
      <w:kern w:val="2"/>
      <w:sz w:val="21"/>
      <w:szCs w:val="24"/>
    </w:rPr>
  </w:style>
  <w:style w:type="character" w:styleId="2Char3">
    <w:name w:val="正文首行缩进 2 Char"/>
    <w:qFormat/>
    <w:rPr>
      <w:rFonts w:eastAsia="仿宋_GB2312;仿宋"/>
      <w:color w:val="000000"/>
      <w:kern w:val="2"/>
      <w:sz w:val="32"/>
      <w:szCs w:val="24"/>
    </w:rPr>
  </w:style>
  <w:style w:type="character" w:styleId="Char20">
    <w:name w:val="标题 Char"/>
    <w:qFormat/>
    <w:rPr>
      <w:rFonts w:ascii="Cambria" w:hAnsi="Cambria" w:cs="Cambria"/>
      <w:bCs/>
      <w:kern w:val="2"/>
      <w:sz w:val="36"/>
      <w:szCs w:val="32"/>
    </w:rPr>
  </w:style>
  <w:style w:type="character" w:styleId="Style7">
    <w:name w:val="批注引用"/>
    <w:qFormat/>
    <w:rPr>
      <w:rFonts w:cs="Times New Roman"/>
      <w:sz w:val="21"/>
      <w:szCs w:val="21"/>
    </w:rPr>
  </w:style>
  <w:style w:type="character" w:styleId="Char22">
    <w:name w:val="副标题 Char"/>
    <w:qFormat/>
    <w:rPr>
      <w:rFonts w:ascii="Cambria" w:hAnsi="Cambria" w:cs="Cambria"/>
      <w:b/>
      <w:bCs/>
      <w:kern w:val="2"/>
      <w:sz w:val="32"/>
      <w:szCs w:val="32"/>
    </w:rPr>
  </w:style>
  <w:style w:type="character" w:styleId="15">
    <w:name w:val="15"/>
    <w:qFormat/>
    <w:rPr>
      <w:rFonts w:ascii="Times New Roman" w:hAnsi="Times New Roman" w:cs="Times New Roman"/>
      <w:b/>
      <w:bCs/>
      <w:sz w:val="20"/>
      <w:szCs w:val="20"/>
    </w:rPr>
  </w:style>
  <w:style w:type="character" w:styleId="16">
    <w:name w:val="16"/>
    <w:qFormat/>
    <w:rPr>
      <w:rFonts w:ascii="Times New Roman" w:hAnsi="Times New Roman" w:cs="Times New Roman"/>
      <w:color w:val="0000FF"/>
      <w:sz w:val="20"/>
      <w:szCs w:val="20"/>
      <w:u w:val="single"/>
    </w:rPr>
  </w:style>
  <w:style w:type="paragraph" w:styleId="Heading">
    <w:name w:val="Heading"/>
    <w:basedOn w:val="Normal"/>
    <w:next w:val="Normal"/>
    <w:qFormat/>
    <w:pPr>
      <w:jc w:val="center"/>
      <w:outlineLvl w:val="0"/>
    </w:pPr>
    <w:rPr>
      <w:rFonts w:ascii="Cambria" w:hAnsi="Cambria" w:cs="Cambria"/>
      <w:bCs/>
      <w:sz w:val="36"/>
      <w:szCs w:val="32"/>
    </w:rPr>
  </w:style>
  <w:style w:type="paragraph" w:styleId="BodyText">
    <w:name w:val="Body Text"/>
    <w:basedOn w:val="Normal"/>
    <w:pPr>
      <w:jc w:val="left"/>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8">
    <w:name w:val="正文缩进"/>
    <w:basedOn w:val="Normal"/>
    <w:qFormat/>
    <w:pPr>
      <w:ind w:firstLine="420" w:left="0" w:right="0"/>
    </w:pPr>
    <w:rPr>
      <w:sz w:val="20"/>
      <w:szCs w:val="20"/>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2">
    <w:name w:val="正文文本 2"/>
    <w:basedOn w:val="Normal"/>
    <w:qFormat/>
    <w:pPr>
      <w:tabs>
        <w:tab w:val="clear" w:pos="420"/>
        <w:tab w:val="center" w:pos="4393" w:leader="none"/>
      </w:tabs>
      <w:snapToGrid w:val="false"/>
      <w:spacing w:lineRule="exact" w:line="500"/>
      <w:jc w:val="right"/>
    </w:pPr>
    <w:rPr>
      <w:rFonts w:ascii="宋体;SimSun" w:hAnsi="宋体;SimSun" w:cs="宋体;SimSun"/>
      <w:color w:val="000000"/>
      <w:sz w:val="24"/>
    </w:rPr>
  </w:style>
  <w:style w:type="paragraph" w:styleId="CharCharChar1CharCharCharCharCharCharCharCharCharCharCharCharCharCharCharCharCharChar">
    <w:name w:val="Char Char Char1 Char Char Char Char Char Char Char Char Char Char Char Char Char Char Char Char Char Char"/>
    <w:basedOn w:val="Normal"/>
    <w:qFormat/>
    <w:pPr/>
    <w:rPr>
      <w:rFonts w:ascii="Tahoma" w:hAnsi="Tahoma" w:cs="Tahoma"/>
      <w:sz w:val="24"/>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lang w:val="zh-CN"/>
    </w:rPr>
  </w:style>
  <w:style w:type="paragraph" w:styleId="2212">
    <w:name w:val="样式 样式 标题2 + 首行缩进:  2 字符1 + 首行缩进:  2 字符"/>
    <w:basedOn w:val="Normal"/>
    <w:qFormat/>
    <w:pPr>
      <w:keepNext w:val="true"/>
      <w:keepLines/>
      <w:spacing w:lineRule="exact" w:line="520" w:before="260" w:after="260"/>
      <w:ind w:firstLine="579" w:left="0" w:right="0"/>
      <w:outlineLvl w:val="1"/>
    </w:pPr>
    <w:rPr>
      <w:rFonts w:ascii="仿宋_GB2312;仿宋" w:hAnsi="仿宋_GB2312;仿宋" w:eastAsia="仿宋_GB2312;仿宋" w:cs="宋体;SimSun"/>
      <w:b/>
      <w:bCs/>
      <w:sz w:val="30"/>
      <w:szCs w:val="20"/>
    </w:rPr>
  </w:style>
  <w:style w:type="paragraph" w:styleId="Style9">
    <w:name w:val="普通(网站)"/>
    <w:basedOn w:val="Normal"/>
    <w:qFormat/>
    <w:pPr>
      <w:spacing w:before="280" w:after="280"/>
      <w:jc w:val="left"/>
    </w:pPr>
    <w:rPr>
      <w:kern w:val="0"/>
      <w:sz w:val="24"/>
      <w:szCs w:val="20"/>
    </w:rPr>
  </w:style>
  <w:style w:type="paragraph" w:styleId="Style10">
    <w:name w:val="列出段落"/>
    <w:basedOn w:val="Normal"/>
    <w:qFormat/>
    <w:pPr>
      <w:ind w:firstLine="420" w:left="0" w:right="0"/>
    </w:pPr>
    <w:rPr>
      <w:sz w:val="20"/>
      <w:szCs w:val="20"/>
    </w:rPr>
  </w:style>
  <w:style w:type="paragraph" w:styleId="BodyTextIndent">
    <w:name w:val="Body Text Indent"/>
    <w:basedOn w:val="Normal"/>
    <w:pPr>
      <w:spacing w:before="0" w:after="120"/>
      <w:ind w:hanging="0" w:left="420" w:right="0"/>
    </w:pPr>
    <w:rPr/>
  </w:style>
  <w:style w:type="paragraph" w:styleId="P0">
    <w:name w:val="p0"/>
    <w:basedOn w:val="Normal"/>
    <w:qFormat/>
    <w:pPr>
      <w:widowControl/>
    </w:pPr>
    <w:rPr>
      <w:kern w:val="0"/>
      <w:szCs w:val="21"/>
    </w:rPr>
  </w:style>
  <w:style w:type="paragraph" w:styleId="21">
    <w:name w:val="正文文本缩进 2"/>
    <w:basedOn w:val="Normal"/>
    <w:qFormat/>
    <w:pPr>
      <w:spacing w:lineRule="exact" w:line="540"/>
      <w:ind w:firstLine="600" w:left="0" w:right="0"/>
    </w:pPr>
    <w:rPr>
      <w:rFonts w:ascii="仿宋_GB2312;仿宋" w:hAnsi="仿宋_GB2312;仿宋" w:eastAsia="仿宋_GB2312;仿宋"/>
      <w:kern w:val="0"/>
      <w:sz w:val="30"/>
      <w:szCs w:val="32"/>
    </w:rPr>
  </w:style>
  <w:style w:type="paragraph" w:styleId="Style11">
    <w:name w:val="正文首行缩进"/>
    <w:basedOn w:val="BodyText"/>
    <w:qFormat/>
    <w:pPr>
      <w:spacing w:before="0" w:after="120"/>
      <w:ind w:firstLine="420" w:left="0" w:right="0"/>
      <w:jc w:val="both"/>
    </w:pPr>
    <w:rPr>
      <w:kern w:val="0"/>
      <w:sz w:val="20"/>
      <w:szCs w:val="20"/>
    </w:rPr>
  </w:style>
  <w:style w:type="paragraph" w:styleId="Style12">
    <w:name w:val="文档结构图"/>
    <w:basedOn w:val="Normal"/>
    <w:qFormat/>
    <w:pPr>
      <w:shd w:fill="000080" w:val="clear"/>
    </w:pPr>
    <w:rPr>
      <w:kern w:val="0"/>
    </w:rPr>
  </w:style>
  <w:style w:type="paragraph" w:styleId="Style13">
    <w:name w:val="批注框文本"/>
    <w:basedOn w:val="Normal"/>
    <w:qFormat/>
    <w:pPr/>
    <w:rPr>
      <w:rFonts w:ascii="宋体;SimSun" w:hAnsi="宋体;SimSun" w:cs="宋体;SimSun"/>
      <w:kern w:val="0"/>
      <w:sz w:val="18"/>
      <w:szCs w:val="18"/>
    </w:rPr>
  </w:style>
  <w:style w:type="paragraph" w:styleId="Style14">
    <w:name w:val="大标题（中）"/>
    <w:basedOn w:val="Normal"/>
    <w:qFormat/>
    <w:pPr>
      <w:spacing w:before="156" w:after="156"/>
      <w:jc w:val="center"/>
    </w:pPr>
    <w:rPr>
      <w:rFonts w:ascii="华文中宋" w:hAnsi="华文中宋" w:eastAsia="黑体;SimHei" w:cs="宋体;SimSun"/>
      <w:b/>
      <w:sz w:val="32"/>
      <w:szCs w:val="36"/>
    </w:rPr>
  </w:style>
  <w:style w:type="paragraph" w:styleId="Style15">
    <w:name w:val="小标题"/>
    <w:basedOn w:val="Style14"/>
    <w:qFormat/>
    <w:pPr>
      <w:spacing w:before="312" w:after="156"/>
    </w:pPr>
    <w:rPr>
      <w:rFonts w:eastAsia="楷体_GB2312"/>
    </w:rPr>
  </w:style>
  <w:style w:type="paragraph" w:styleId="ParaCharCharCharChar">
    <w:name w:val="默认段落字体 Para Char Char Char Char"/>
    <w:basedOn w:val="Normal"/>
    <w:qFormat/>
    <w:pPr/>
    <w:rPr/>
  </w:style>
  <w:style w:type="paragraph" w:styleId="CharCharCharCharCharCharCharCharCharCharCharCharCharCharCharCharCharCharChar">
    <w:name w:val="Char Char Char Char Char Char Char Char Char Char Char Char Char Char Char Char Char Char Char"/>
    <w:basedOn w:val="Normal"/>
    <w:qFormat/>
    <w:pPr/>
    <w:rPr/>
  </w:style>
  <w:style w:type="paragraph" w:styleId="YDJ">
    <w:name w:val="YDJ（一）（二）（三）"/>
    <w:basedOn w:val="Normal"/>
    <w:qFormat/>
    <w:pPr>
      <w:spacing w:lineRule="exact" w:line="500"/>
      <w:ind w:firstLine="200" w:left="0" w:right="0"/>
      <w:outlineLvl w:val="4"/>
    </w:pPr>
    <w:rPr>
      <w:rFonts w:ascii="仿宋_GB2312;仿宋" w:hAnsi="仿宋_GB2312;仿宋" w:eastAsia="仿宋_GB2312;仿宋" w:cs="Calibri"/>
      <w:sz w:val="30"/>
      <w:szCs w:val="22"/>
    </w:rPr>
  </w:style>
  <w:style w:type="paragraph" w:styleId="YDJ1">
    <w:name w:val="YDJ正文"/>
    <w:basedOn w:val="Normal"/>
    <w:qFormat/>
    <w:pPr>
      <w:spacing w:lineRule="exact" w:line="500"/>
      <w:ind w:firstLine="200" w:left="0" w:right="0"/>
    </w:pPr>
    <w:rPr>
      <w:rFonts w:ascii="仿宋_GB2312;仿宋" w:hAnsi="仿宋_GB2312;仿宋" w:eastAsia="仿宋_GB2312;仿宋" w:cs="Calibri"/>
      <w:sz w:val="30"/>
      <w:szCs w:val="22"/>
    </w:rPr>
  </w:style>
  <w:style w:type="paragraph" w:styleId="TOC">
    <w:name w:val="TOC 标题"/>
    <w:basedOn w:val="Heading1"/>
    <w:next w:val="Normal"/>
    <w:qFormat/>
    <w:pPr>
      <w:widowControl/>
      <w:numPr>
        <w:ilvl w:val="0"/>
        <w:numId w:val="0"/>
      </w:numPr>
      <w:spacing w:lineRule="auto" w:line="256" w:before="240" w:after="0"/>
      <w:jc w:val="left"/>
      <w:outlineLvl w:val="9"/>
    </w:pPr>
    <w:rPr>
      <w:rFonts w:ascii="Calibri Light" w:hAnsi="Calibri Light" w:eastAsia="宋体;SimSun" w:cs="Times New Roman"/>
      <w:b w:val="false"/>
      <w:bCs w:val="false"/>
      <w:color w:val="2E74B5"/>
      <w:kern w:val="0"/>
      <w:sz w:val="32"/>
      <w:szCs w:val="32"/>
    </w:rPr>
  </w:style>
  <w:style w:type="paragraph" w:styleId="TOC1">
    <w:name w:val="TOC 1"/>
    <w:basedOn w:val="Normal"/>
    <w:next w:val="Normal"/>
    <w:pPr/>
    <w:rPr>
      <w:sz w:val="20"/>
      <w:szCs w:val="20"/>
    </w:rPr>
  </w:style>
  <w:style w:type="paragraph" w:styleId="TOC2">
    <w:name w:val="TOC 2"/>
    <w:basedOn w:val="Normal"/>
    <w:next w:val="Normal"/>
    <w:pPr>
      <w:ind w:hanging="0" w:left="420" w:right="0"/>
    </w:pPr>
    <w:rPr>
      <w:sz w:val="20"/>
      <w:szCs w:val="20"/>
    </w:rPr>
  </w:style>
  <w:style w:type="paragraph" w:styleId="Style16">
    <w:name w:val="纯文本"/>
    <w:basedOn w:val="Normal"/>
    <w:qFormat/>
    <w:pPr/>
    <w:rPr>
      <w:rFonts w:ascii="仿宋_GB2312;仿宋" w:hAnsi="仿宋_GB2312;仿宋" w:eastAsia="仿宋_GB2312;仿宋" w:cs="Courier New"/>
      <w:sz w:val="30"/>
      <w:szCs w:val="30"/>
    </w:rPr>
  </w:style>
  <w:style w:type="paragraph" w:styleId="3">
    <w:name w:val="正文文本缩进 3"/>
    <w:basedOn w:val="Normal"/>
    <w:qFormat/>
    <w:pPr>
      <w:ind w:firstLine="600" w:left="0" w:right="0"/>
    </w:pPr>
    <w:rPr>
      <w:rFonts w:ascii="仿宋_GB2312;仿宋" w:hAnsi="仿宋_GB2312;仿宋" w:eastAsia="仿宋_GB2312;仿宋" w:cs="宋体;SimSun"/>
      <w:sz w:val="30"/>
    </w:rPr>
  </w:style>
  <w:style w:type="paragraph" w:styleId="Style17">
    <w:name w:val="批注文字"/>
    <w:basedOn w:val="Normal"/>
    <w:qFormat/>
    <w:pPr>
      <w:jc w:val="left"/>
    </w:pPr>
    <w:rPr>
      <w:kern w:val="0"/>
    </w:rPr>
  </w:style>
  <w:style w:type="paragraph" w:styleId="Style18">
    <w:name w:val="批注主题"/>
    <w:basedOn w:val="Style17"/>
    <w:next w:val="Style17"/>
    <w:qFormat/>
    <w:pPr/>
    <w:rPr>
      <w:b/>
      <w:bCs/>
      <w:sz w:val="24"/>
    </w:rPr>
  </w:style>
  <w:style w:type="paragraph" w:styleId="Style19">
    <w:name w:val="日期"/>
    <w:basedOn w:val="Normal"/>
    <w:next w:val="Normal"/>
    <w:qFormat/>
    <w:pPr>
      <w:ind w:hanging="0" w:left="100" w:right="0"/>
    </w:pPr>
    <w:rPr>
      <w:kern w:val="0"/>
    </w:rPr>
  </w:style>
  <w:style w:type="paragraph" w:styleId="31">
    <w:name w:val="正文文本 3"/>
    <w:basedOn w:val="Normal"/>
    <w:qFormat/>
    <w:pPr>
      <w:tabs>
        <w:tab w:val="clear" w:pos="420"/>
        <w:tab w:val="right" w:pos="8505" w:leader="none"/>
      </w:tabs>
    </w:pPr>
    <w:rPr>
      <w:rFonts w:ascii="仿宋_GB2312;仿宋" w:hAnsi="仿宋_GB2312;仿宋" w:eastAsia="仿宋_GB2312;仿宋"/>
      <w:b/>
      <w:sz w:val="32"/>
      <w:szCs w:val="20"/>
    </w:rPr>
  </w:style>
  <w:style w:type="paragraph" w:styleId="Default">
    <w:name w:val="Default"/>
    <w:qFormat/>
    <w:pPr>
      <w:widowControl w:val="false"/>
      <w:autoSpaceDE w:val="false"/>
      <w:bidi w:val="0"/>
    </w:pPr>
    <w:rPr>
      <w:rFonts w:ascii="Calibri" w:hAnsi="Calibri" w:eastAsia="宋体;SimSun" w:cs="Calibri"/>
      <w:color w:val="000000"/>
      <w:sz w:val="24"/>
      <w:szCs w:val="24"/>
      <w:lang w:val="en-US" w:eastAsia="zh-CN" w:bidi="ar-SA"/>
    </w:rPr>
  </w:style>
  <w:style w:type="paragraph" w:styleId="22">
    <w:name w:val="正文首行缩进 2"/>
    <w:basedOn w:val="Normal"/>
    <w:qFormat/>
    <w:pPr>
      <w:snapToGrid w:val="false"/>
      <w:spacing w:lineRule="auto" w:line="336"/>
      <w:ind w:firstLine="200" w:left="0" w:right="0"/>
    </w:pPr>
    <w:rPr>
      <w:rFonts w:eastAsia="仿宋_GB2312;仿宋"/>
      <w:color w:val="000000"/>
      <w:kern w:val="0"/>
      <w:sz w:val="32"/>
      <w:szCs w:val="20"/>
    </w:rPr>
  </w:style>
  <w:style w:type="paragraph" w:styleId="TOC3">
    <w:name w:val="TOC 3"/>
    <w:basedOn w:val="Normal"/>
    <w:next w:val="Normal"/>
    <w:pPr>
      <w:ind w:hanging="0" w:left="480" w:right="0"/>
      <w:jc w:val="left"/>
    </w:pPr>
    <w:rPr>
      <w:i/>
      <w:iCs/>
      <w:sz w:val="24"/>
    </w:rPr>
  </w:style>
  <w:style w:type="paragraph" w:styleId="1">
    <w:name w:val="列出段落1"/>
    <w:basedOn w:val="Normal"/>
    <w:qFormat/>
    <w:pPr>
      <w:ind w:firstLine="420" w:left="0" w:right="0"/>
    </w:pPr>
    <w:rPr>
      <w:rFonts w:ascii="Calibri" w:hAnsi="Calibri" w:cs="Calibri"/>
      <w:szCs w:val="22"/>
    </w:rPr>
  </w:style>
  <w:style w:type="paragraph" w:styleId="5">
    <w:name w:val="样式5"/>
    <w:basedOn w:val="Heading4"/>
    <w:qFormat/>
    <w:pPr>
      <w:keepNext w:val="false"/>
      <w:keepLines w:val="false"/>
      <w:numPr>
        <w:ilvl w:val="0"/>
        <w:numId w:val="0"/>
      </w:numPr>
      <w:tabs>
        <w:tab w:val="clear" w:pos="1584"/>
        <w:tab w:val="left" w:pos="0" w:leader="none"/>
      </w:tabs>
      <w:spacing w:lineRule="auto" w:line="240" w:before="0" w:after="0"/>
      <w:ind w:hanging="0" w:left="0" w:right="0"/>
      <w:outlineLvl w:val="9"/>
    </w:pPr>
    <w:rPr>
      <w:rFonts w:ascii="仿宋_GB2312;仿宋" w:hAnsi="仿宋_GB2312;仿宋" w:eastAsia="仿宋_GB2312;仿宋" w:cs="Helvetica"/>
      <w:color w:val="000000"/>
      <w:kern w:val="0"/>
      <w:sz w:val="28"/>
      <w:szCs w:val="20"/>
    </w:rPr>
  </w:style>
  <w:style w:type="paragraph" w:styleId="11">
    <w:name w:val="普通(网站)1"/>
    <w:basedOn w:val="Normal"/>
    <w:qFormat/>
    <w:pPr>
      <w:widowControl/>
      <w:jc w:val="left"/>
    </w:pPr>
    <w:rPr>
      <w:rFonts w:ascii="宋体;SimSun" w:hAnsi="宋体;SimSun"/>
    </w:rPr>
  </w:style>
  <w:style w:type="paragraph" w:styleId="CM3">
    <w:name w:val="CM3"/>
    <w:basedOn w:val="Default"/>
    <w:next w:val="Default"/>
    <w:qFormat/>
    <w:pPr>
      <w:spacing w:lineRule="atLeast" w:line="520"/>
    </w:pPr>
    <w:rPr>
      <w:rFonts w:ascii="华文中宋" w:hAnsi="华文中宋" w:eastAsia="华文中宋" w:cs="Times New Roman"/>
      <w:color w:val="000000"/>
    </w:rPr>
  </w:style>
  <w:style w:type="paragraph" w:styleId="CM5">
    <w:name w:val="CM5"/>
    <w:basedOn w:val="Default"/>
    <w:next w:val="Default"/>
    <w:qFormat/>
    <w:pPr>
      <w:spacing w:lineRule="atLeast" w:line="520"/>
    </w:pPr>
    <w:rPr>
      <w:rFonts w:ascii="华文中宋" w:hAnsi="华文中宋" w:eastAsia="华文中宋" w:cs="Times New Roman"/>
      <w:color w:val="000000"/>
    </w:rPr>
  </w:style>
  <w:style w:type="paragraph" w:styleId="CM6">
    <w:name w:val="CM6"/>
    <w:basedOn w:val="Default"/>
    <w:next w:val="Default"/>
    <w:qFormat/>
    <w:pPr>
      <w:spacing w:lineRule="atLeast" w:line="520"/>
    </w:pPr>
    <w:rPr>
      <w:rFonts w:ascii="华文中宋" w:hAnsi="华文中宋" w:eastAsia="华文中宋" w:cs="Times New Roman"/>
      <w:color w:val="000000"/>
    </w:rPr>
  </w:style>
  <w:style w:type="paragraph" w:styleId="CM8">
    <w:name w:val="CM8"/>
    <w:basedOn w:val="Default"/>
    <w:next w:val="Default"/>
    <w:qFormat/>
    <w:pPr/>
    <w:rPr>
      <w:rFonts w:ascii="华文中宋" w:hAnsi="华文中宋" w:eastAsia="华文中宋" w:cs="Times New Roman"/>
      <w:color w:val="000000"/>
    </w:rPr>
  </w:style>
  <w:style w:type="paragraph" w:styleId="Style20">
    <w:name w:val="段"/>
    <w:qFormat/>
    <w:pPr>
      <w:widowControl/>
      <w:autoSpaceDE w:val="false"/>
      <w:bidi w:val="0"/>
      <w:ind w:firstLine="200" w:left="0" w:right="0"/>
      <w:jc w:val="both"/>
    </w:pPr>
    <w:rPr>
      <w:rFonts w:ascii="宋体;SimSun" w:hAnsi="宋体;SimSun" w:eastAsia="宋体;SimSun" w:cs="Times New Roman"/>
      <w:color w:val="auto"/>
      <w:sz w:val="21"/>
      <w:szCs w:val="20"/>
      <w:lang w:val="en-US" w:eastAsia="zh-CN" w:bidi="ar-SA"/>
    </w:rPr>
  </w:style>
  <w:style w:type="paragraph" w:styleId="Style21">
    <w:name w:val="二级条标题"/>
    <w:basedOn w:val="Normal"/>
    <w:next w:val="Style20"/>
    <w:qFormat/>
    <w:pPr>
      <w:widowControl/>
      <w:numPr>
        <w:ilvl w:val="0"/>
        <w:numId w:val="2"/>
      </w:numPr>
      <w:tabs>
        <w:tab w:val="clear" w:pos="420"/>
        <w:tab w:val="left" w:pos="0" w:leader="none"/>
      </w:tabs>
      <w:jc w:val="left"/>
      <w:outlineLvl w:val="3"/>
    </w:pPr>
    <w:rPr>
      <w:rFonts w:eastAsia="黑体;SimHei"/>
      <w:b/>
      <w:kern w:val="0"/>
      <w:sz w:val="24"/>
    </w:rPr>
  </w:style>
  <w:style w:type="paragraph" w:styleId="Style22">
    <w:name w:val="三级条标题"/>
    <w:basedOn w:val="Style21"/>
    <w:next w:val="Style20"/>
    <w:qFormat/>
    <w:pPr>
      <w:numPr>
        <w:ilvl w:val="0"/>
        <w:numId w:val="2"/>
      </w:numPr>
      <w:outlineLvl w:val="4"/>
    </w:pPr>
    <w:rPr/>
  </w:style>
  <w:style w:type="paragraph" w:styleId="Char23">
    <w:name w:val="Char"/>
    <w:basedOn w:val="Normal"/>
    <w:qFormat/>
    <w:pPr>
      <w:spacing w:lineRule="auto" w:line="360" w:before="156" w:after="0"/>
    </w:pPr>
    <w:rPr/>
  </w:style>
  <w:style w:type="paragraph" w:styleId="Style23">
    <w:name w:val="_Style 2"/>
    <w:basedOn w:val="Normal"/>
    <w:qFormat/>
    <w:pPr>
      <w:ind w:firstLine="420" w:left="0" w:right="0"/>
    </w:pPr>
    <w:rPr>
      <w:rFonts w:ascii="Calibri" w:hAnsi="Calibri" w:cs="Calibri"/>
      <w:szCs w:val="22"/>
    </w:rPr>
  </w:style>
  <w:style w:type="paragraph" w:styleId="P16">
    <w:name w:val="p16"/>
    <w:basedOn w:val="Normal"/>
    <w:qFormat/>
    <w:pPr>
      <w:widowControl/>
      <w:ind w:firstLine="420" w:left="0" w:right="0"/>
    </w:pPr>
    <w:rPr>
      <w:rFonts w:ascii="仿宋_GB2312;仿宋" w:hAnsi="仿宋_GB2312;仿宋" w:eastAsia="仿宋_GB2312;仿宋" w:cs="宋体;SimSun"/>
      <w:kern w:val="0"/>
      <w:sz w:val="32"/>
      <w:szCs w:val="32"/>
    </w:rPr>
  </w:style>
  <w:style w:type="paragraph" w:styleId="Subtitle">
    <w:name w:val="Subtitle"/>
    <w:basedOn w:val="Normal"/>
    <w:next w:val="Normal"/>
    <w:qFormat/>
    <w:pPr>
      <w:spacing w:lineRule="auto" w:line="312" w:before="240" w:after="60"/>
      <w:jc w:val="center"/>
      <w:outlineLvl w:val="1"/>
    </w:pPr>
    <w:rPr>
      <w:rFonts w:ascii="Cambria" w:hAnsi="Cambria" w:cs="Cambria"/>
      <w:b/>
      <w:bCs/>
      <w:kern w:val="2"/>
      <w:sz w:val="32"/>
      <w:szCs w:val="32"/>
    </w:rPr>
  </w:style>
  <w:style w:type="paragraph" w:styleId="P17">
    <w:name w:val="p17"/>
    <w:basedOn w:val="Normal"/>
    <w:qFormat/>
    <w:pPr>
      <w:widowControl/>
      <w:spacing w:before="100" w:after="100"/>
      <w:jc w:val="left"/>
    </w:pPr>
    <w:rPr>
      <w:rFonts w:ascii="宋体;SimSun" w:hAnsi="宋体;SimSun" w:cs="宋体;SimSun"/>
      <w:kern w:val="0"/>
      <w:sz w:val="24"/>
    </w:rPr>
  </w:style>
  <w:style w:type="paragraph" w:styleId="Style24">
    <w:name w:val="文本块"/>
    <w:basedOn w:val="Normal"/>
    <w:qFormat/>
    <w:pPr>
      <w:spacing w:lineRule="auto" w:line="360"/>
      <w:ind w:firstLine="28" w:left="171" w:right="-147"/>
    </w:pPr>
    <w:rPr>
      <w:rFonts w:ascii="宋体;SimSun" w:hAnsi="宋体;SimSun"/>
    </w:rPr>
  </w:style>
  <w:style w:type="paragraph" w:styleId="TOC4">
    <w:name w:val="TOC 4"/>
    <w:basedOn w:val="Normal"/>
    <w:next w:val="Normal"/>
    <w:pPr>
      <w:ind w:hanging="0" w:left="1260" w:right="0"/>
    </w:pPr>
    <w:rPr>
      <w:rFonts w:ascii="Calibri" w:hAnsi="Calibri" w:eastAsia="宋体;SimSun" w:cs="Times New Roman"/>
      <w:szCs w:val="22"/>
    </w:rPr>
  </w:style>
  <w:style w:type="paragraph" w:styleId="TOC5">
    <w:name w:val="TOC 5"/>
    <w:basedOn w:val="Normal"/>
    <w:next w:val="Normal"/>
    <w:pPr>
      <w:ind w:hanging="0" w:left="1680" w:right="0"/>
    </w:pPr>
    <w:rPr>
      <w:rFonts w:ascii="Calibri" w:hAnsi="Calibri" w:eastAsia="宋体;SimSun" w:cs="Times New Roman"/>
      <w:szCs w:val="22"/>
    </w:rPr>
  </w:style>
  <w:style w:type="paragraph" w:styleId="TOC6">
    <w:name w:val="TOC 6"/>
    <w:basedOn w:val="Normal"/>
    <w:next w:val="Normal"/>
    <w:pPr>
      <w:ind w:hanging="0" w:left="2100" w:right="0"/>
    </w:pPr>
    <w:rPr>
      <w:rFonts w:ascii="Calibri" w:hAnsi="Calibri" w:eastAsia="宋体;SimSun" w:cs="Times New Roman"/>
      <w:szCs w:val="22"/>
    </w:rPr>
  </w:style>
  <w:style w:type="paragraph" w:styleId="TOC7">
    <w:name w:val="TOC 7"/>
    <w:basedOn w:val="Normal"/>
    <w:next w:val="Normal"/>
    <w:pPr>
      <w:ind w:hanging="0" w:left="2520" w:right="0"/>
    </w:pPr>
    <w:rPr>
      <w:rFonts w:ascii="Calibri" w:hAnsi="Calibri" w:eastAsia="宋体;SimSun" w:cs="Times New Roman"/>
      <w:szCs w:val="22"/>
    </w:rPr>
  </w:style>
  <w:style w:type="paragraph" w:styleId="TOC8">
    <w:name w:val="TOC 8"/>
    <w:basedOn w:val="Normal"/>
    <w:next w:val="Normal"/>
    <w:pPr>
      <w:ind w:hanging="0" w:left="2940" w:right="0"/>
    </w:pPr>
    <w:rPr>
      <w:rFonts w:ascii="Calibri" w:hAnsi="Calibri" w:eastAsia="宋体;SimSun" w:cs="Times New Roman"/>
      <w:szCs w:val="22"/>
    </w:rPr>
  </w:style>
  <w:style w:type="paragraph" w:styleId="TOC9">
    <w:name w:val="TOC 9"/>
    <w:basedOn w:val="Normal"/>
    <w:next w:val="Normal"/>
    <w:pPr>
      <w:ind w:hanging="0" w:left="3360" w:right="0"/>
    </w:pPr>
    <w:rPr>
      <w:rFonts w:ascii="Calibri" w:hAnsi="Calibri" w:eastAsia="宋体;SimSun" w:cs="Times New Roman"/>
      <w:szCs w:val="22"/>
    </w:rPr>
  </w:style>
  <w:style w:type="paragraph" w:styleId="23">
    <w:name w:val="列出段落2"/>
    <w:basedOn w:val="Normal"/>
    <w:qFormat/>
    <w:pPr>
      <w:ind w:firstLine="420" w:left="0" w:right="0"/>
    </w:pPr>
    <w:rPr>
      <w:rFonts w:ascii="Calibri" w:hAnsi="Calibri" w:cs="Calibri"/>
      <w:szCs w:val="22"/>
    </w:rPr>
  </w:style>
  <w:style w:type="paragraph" w:styleId="Bullet">
    <w:name w:val="bullet"/>
    <w:basedOn w:val="Normal"/>
    <w:qFormat/>
    <w:pPr>
      <w:widowControl/>
      <w:ind w:hanging="360" w:left="360" w:right="0"/>
      <w:jc w:val="left"/>
    </w:pPr>
    <w:rPr>
      <w:rFonts w:ascii="Book Antiqua" w:hAnsi="Book Antiqua" w:eastAsia="Times New Roman" w:cs="Book Antiqua"/>
      <w:kern w:val="0"/>
      <w:sz w:val="24"/>
      <w:szCs w:val="20"/>
    </w:rPr>
  </w:style>
  <w:style w:type="paragraph" w:styleId="Style25">
    <w:name w:val="一级标题"/>
    <w:basedOn w:val="Heading"/>
    <w:qFormat/>
    <w:pPr>
      <w:widowControl/>
      <w:spacing w:lineRule="auto" w:line="360" w:before="4680" w:after="0"/>
    </w:pPr>
    <w:rPr>
      <w:rFonts w:eastAsia="仿宋_GB2312;仿宋"/>
      <w:b/>
      <w:sz w:val="84"/>
      <w:szCs w:val="24"/>
    </w:rPr>
  </w:style>
  <w:style w:type="paragraph" w:styleId="Style26">
    <w:name w:val="文本内容"/>
    <w:basedOn w:val="BodyTextIndent"/>
    <w:qFormat/>
    <w:pPr>
      <w:spacing w:lineRule="exact" w:line="520" w:before="0" w:after="0"/>
      <w:ind w:firstLine="200" w:left="0" w:right="0"/>
    </w:pPr>
    <w:rPr>
      <w:rFonts w:ascii="仿宋_GB2312;仿宋" w:hAnsi="仿宋_GB2312;仿宋" w:eastAsia="仿宋_GB2312;仿宋" w:cs="黑体;SimHei"/>
      <w:bCs/>
      <w:kern w:val="0"/>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aike.baidu.com/view/2670.htm" TargetMode="External"/><Relationship Id="rId3" Type="http://schemas.openxmlformats.org/officeDocument/2006/relationships/hyperlink" Target="http://baike.baidu.com/view/2267627.ht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2020-01-09T22:51:00Z</dcterms:created>
  <dc:creator/>
  <dc:description/>
  <cp:keywords/>
  <dc:language>zh-CN</dc:language>
  <cp:lastModifiedBy/>
  <dcterms:modified xsi:type="dcterms:W3CDTF">2020-01-09T22:52:00Z</dcterms:modified>
  <cp:revision>1</cp:revision>
  <dc:subject/>
  <dc:title/>
</cp:coreProperties>
</file>