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9" w:right="0"/>
        <w:jc w:val="center"/>
        <w:rPr>
          <w:rFonts w:eastAsia="仿宋_GB2312;仿宋"/>
          <w:b/>
          <w:sz w:val="28"/>
          <w:szCs w:val="28"/>
        </w:rPr>
      </w:pPr>
      <w:r>
        <w:rPr>
          <w:rFonts w:eastAsia="仿宋_GB2312;仿宋"/>
          <w:b/>
          <w:sz w:val="28"/>
          <w:szCs w:val="28"/>
        </w:rPr>
      </w:r>
    </w:p>
    <w:p>
      <w:pPr>
        <w:pStyle w:val="Heading2"/>
        <w:spacing w:lineRule="auto" w:line="360"/>
        <w:ind w:firstLine="539" w:right="0"/>
        <w:rPr>
          <w:rFonts w:ascii="Times New Roman" w:hAnsi="Times New Roman" w:cs="Times New Roman"/>
          <w:sz w:val="28"/>
          <w:szCs w:val="28"/>
        </w:rPr>
      </w:pPr>
      <w:r>
        <w:rPr>
          <w:rFonts w:ascii="Times New Roman" w:hAnsi="Times New Roman" w:cs="Times New Roman"/>
          <w:sz w:val="28"/>
          <w:szCs w:val="28"/>
        </w:rPr>
        <w:t>抵</w:t>
      </w:r>
      <w:r>
        <w:rPr>
          <w:rFonts w:cs="Times New Roman" w:ascii="Times New Roman" w:hAnsi="Times New Roman"/>
          <w:sz w:val="28"/>
          <w:szCs w:val="28"/>
        </w:rPr>
        <w:t>(</w:t>
      </w:r>
      <w:r>
        <w:rPr>
          <w:rFonts w:ascii="Times New Roman" w:hAnsi="Times New Roman" w:cs="Times New Roman"/>
          <w:sz w:val="28"/>
          <w:szCs w:val="28"/>
        </w:rPr>
        <w:t>质</w:t>
      </w:r>
      <w:r>
        <w:rPr>
          <w:rFonts w:cs="Times New Roman" w:ascii="Times New Roman" w:hAnsi="Times New Roman"/>
          <w:sz w:val="28"/>
          <w:szCs w:val="28"/>
        </w:rPr>
        <w:t>)</w:t>
      </w:r>
      <w:r>
        <w:rPr>
          <w:rFonts w:ascii="Times New Roman" w:hAnsi="Times New Roman" w:cs="Times New Roman"/>
          <w:sz w:val="28"/>
          <w:szCs w:val="28"/>
        </w:rPr>
        <w:t>押权证集中管理办法</w:t>
      </w:r>
    </w:p>
    <w:p>
      <w:pPr>
        <w:pStyle w:val="Normal"/>
        <w:spacing w:lineRule="auto" w:line="360" w:before="156" w:after="0"/>
        <w:ind w:firstLine="539" w:right="0"/>
        <w:jc w:val="center"/>
        <w:rPr>
          <w:rFonts w:eastAsia="仿宋_GB2312;仿宋"/>
          <w:b/>
          <w:sz w:val="28"/>
          <w:szCs w:val="28"/>
        </w:rPr>
      </w:pPr>
      <w:r>
        <w:rPr>
          <w:rFonts w:eastAsia="仿宋_GB2312;仿宋"/>
          <w:b/>
          <w:sz w:val="28"/>
          <w:szCs w:val="28"/>
        </w:rPr>
        <w:t>第一章</w:t>
      </w:r>
      <w:r>
        <w:rPr>
          <w:rFonts w:eastAsia="Times New Roman"/>
          <w:b/>
          <w:sz w:val="28"/>
          <w:szCs w:val="28"/>
        </w:rPr>
        <w:t xml:space="preserve">  </w:t>
      </w:r>
      <w:r>
        <w:rPr>
          <w:rFonts w:eastAsia="仿宋_GB2312;仿宋"/>
          <w:b/>
          <w:sz w:val="28"/>
          <w:szCs w:val="28"/>
        </w:rPr>
        <w:t>总则</w:t>
      </w:r>
    </w:p>
    <w:p>
      <w:pPr>
        <w:pStyle w:val="Normal"/>
        <w:spacing w:lineRule="auto" w:line="360"/>
        <w:ind w:firstLine="537" w:right="0"/>
        <w:rPr>
          <w:rFonts w:eastAsia="仿宋_GB2312;仿宋"/>
          <w:sz w:val="28"/>
          <w:szCs w:val="28"/>
        </w:rPr>
      </w:pPr>
      <w:r>
        <w:rPr>
          <w:rFonts w:eastAsia="仿宋_GB2312;仿宋"/>
          <w:sz w:val="28"/>
          <w:szCs w:val="28"/>
        </w:rPr>
        <w:t>第一条</w:t>
      </w:r>
      <w:r>
        <w:rPr>
          <w:rFonts w:eastAsia="Times New Roman"/>
          <w:sz w:val="28"/>
          <w:szCs w:val="28"/>
        </w:rPr>
        <w:t xml:space="preserve">  </w:t>
      </w:r>
      <w:r>
        <w:rPr>
          <w:rFonts w:eastAsia="仿宋_GB2312;仿宋"/>
          <w:sz w:val="28"/>
          <w:szCs w:val="28"/>
        </w:rPr>
        <w:t>为加强和规范抵（质）押物权证的管理，保证抵（质）押物权证的安全性和完整性，依法维护银行债权，防范和化解信贷风险，特制定本办法。</w:t>
      </w:r>
    </w:p>
    <w:p>
      <w:pPr>
        <w:pStyle w:val="Normal"/>
        <w:spacing w:lineRule="auto" w:line="360"/>
        <w:ind w:firstLine="537" w:right="0"/>
        <w:rPr/>
      </w:pPr>
      <w:r>
        <w:rPr>
          <w:rFonts w:eastAsia="仿宋_GB2312;仿宋"/>
          <w:sz w:val="28"/>
          <w:szCs w:val="28"/>
        </w:rPr>
        <w:t>第二条</w:t>
      </w:r>
      <w:r>
        <w:rPr>
          <w:rFonts w:eastAsia="Times New Roman"/>
          <w:sz w:val="28"/>
          <w:szCs w:val="28"/>
        </w:rPr>
        <w:t xml:space="preserve">  </w:t>
      </w:r>
      <w:r>
        <w:rPr>
          <w:rFonts w:eastAsia="仿宋_GB2312;仿宋"/>
          <w:sz w:val="28"/>
          <w:szCs w:val="28"/>
        </w:rPr>
        <w:t>本办法明确了抵（质）押物权证的转入、转出、保管等内容和要求。</w:t>
      </w:r>
    </w:p>
    <w:p>
      <w:pPr>
        <w:pStyle w:val="Normal"/>
        <w:spacing w:lineRule="auto" w:line="360"/>
        <w:ind w:firstLine="537" w:right="0"/>
        <w:rPr>
          <w:rFonts w:eastAsia="仿宋_GB2312;仿宋"/>
          <w:sz w:val="28"/>
          <w:szCs w:val="28"/>
        </w:rPr>
      </w:pPr>
      <w:r>
        <w:rPr>
          <w:rFonts w:eastAsia="仿宋_GB2312;仿宋"/>
          <w:sz w:val="28"/>
          <w:szCs w:val="28"/>
        </w:rPr>
        <w:t>第三条</w:t>
      </w:r>
      <w:r>
        <w:rPr>
          <w:rFonts w:eastAsia="Times New Roman"/>
          <w:sz w:val="28"/>
          <w:szCs w:val="28"/>
        </w:rPr>
        <w:t xml:space="preserve">  </w:t>
      </w:r>
      <w:r>
        <w:rPr>
          <w:rFonts w:eastAsia="仿宋_GB2312;仿宋"/>
          <w:sz w:val="28"/>
          <w:szCs w:val="28"/>
        </w:rPr>
        <w:t>本办法中的抵（质）押物权证均指原件。</w:t>
      </w:r>
    </w:p>
    <w:p>
      <w:pPr>
        <w:pStyle w:val="Normal"/>
        <w:spacing w:lineRule="auto" w:line="360"/>
        <w:ind w:firstLine="537" w:right="0"/>
        <w:rPr/>
      </w:pPr>
      <w:r>
        <w:rPr>
          <w:rFonts w:eastAsia="仿宋_GB2312;仿宋"/>
          <w:sz w:val="28"/>
          <w:szCs w:val="28"/>
        </w:rPr>
        <w:t>第四条</w:t>
      </w:r>
      <w:r>
        <w:rPr>
          <w:rFonts w:eastAsia="Times New Roman"/>
          <w:sz w:val="28"/>
          <w:szCs w:val="28"/>
        </w:rPr>
        <w:t xml:space="preserve">  </w:t>
      </w:r>
      <w:r>
        <w:rPr>
          <w:rFonts w:eastAsia="仿宋_GB2312;仿宋"/>
          <w:sz w:val="28"/>
          <w:szCs w:val="28"/>
        </w:rPr>
        <w:t>抵（质）押物权证的范围：</w:t>
      </w:r>
    </w:p>
    <w:p>
      <w:pPr>
        <w:pStyle w:val="Normal"/>
        <w:spacing w:lineRule="auto" w:line="360"/>
        <w:ind w:firstLine="537" w:right="0"/>
        <w:rPr>
          <w:rFonts w:eastAsia="仿宋_GB2312;仿宋"/>
        </w:rPr>
      </w:pPr>
      <w:r>
        <w:rPr>
          <w:rFonts w:eastAsia="仿宋_GB2312;仿宋"/>
          <w:sz w:val="28"/>
          <w:szCs w:val="28"/>
        </w:rPr>
        <w:t>（一）不动产抵押权证。包括房屋和其他地上定着物、建造中的商品房、预售房屋等不动产所有权抵押相关权证。</w:t>
      </w:r>
      <w:r>
        <w:rPr>
          <w:rFonts w:eastAsia="Times New Roman"/>
          <w:sz w:val="28"/>
          <w:szCs w:val="28"/>
        </w:rPr>
        <w:t xml:space="preserve"> </w:t>
      </w:r>
    </w:p>
    <w:p>
      <w:pPr>
        <w:pStyle w:val="Normal"/>
        <w:spacing w:lineRule="auto" w:line="360"/>
        <w:ind w:firstLine="537" w:right="0"/>
        <w:rPr>
          <w:rFonts w:eastAsia="仿宋_GB2312;仿宋"/>
          <w:sz w:val="28"/>
          <w:szCs w:val="28"/>
        </w:rPr>
      </w:pPr>
      <w:r>
        <w:rPr>
          <w:rFonts w:eastAsia="仿宋_GB2312;仿宋"/>
          <w:sz w:val="28"/>
          <w:szCs w:val="28"/>
        </w:rPr>
        <w:t>（二）动产抵押权证。包括工程机械、航空器、船舶、车辆和依法可以抵押的其他财产等不动产所有权抵押相关权证。</w:t>
      </w:r>
    </w:p>
    <w:p>
      <w:pPr>
        <w:pStyle w:val="Normal"/>
        <w:spacing w:lineRule="auto" w:line="360"/>
        <w:ind w:firstLine="537" w:right="0"/>
        <w:rPr>
          <w:rFonts w:eastAsia="仿宋_GB2312;仿宋"/>
          <w:sz w:val="28"/>
          <w:szCs w:val="28"/>
        </w:rPr>
      </w:pPr>
      <w:r>
        <w:rPr>
          <w:rFonts w:eastAsia="仿宋_GB2312;仿宋"/>
          <w:sz w:val="28"/>
          <w:szCs w:val="28"/>
        </w:rPr>
        <w:t>（三）权利质押权证。汇票、本票、国债、金融债券、存款单、标准仓单、提单、依法可以质押的具有现金价值的人寿保险单、依法可以转让的商标专用权、专利权、著作权中的财产权、农村土地承包经营权、水面承包经营权、林权、应收账款债权、车辆合格证和依法可以质押的其他权利等权利质押相关权证。</w:t>
      </w:r>
    </w:p>
    <w:p>
      <w:pPr>
        <w:pStyle w:val="Normal"/>
        <w:spacing w:lineRule="auto" w:line="360" w:before="156" w:after="0"/>
        <w:ind w:firstLine="539" w:right="0"/>
        <w:jc w:val="center"/>
        <w:rPr>
          <w:b/>
          <w:sz w:val="28"/>
          <w:szCs w:val="28"/>
        </w:rPr>
      </w:pPr>
      <w:r>
        <w:rPr>
          <w:rFonts w:eastAsia="仿宋_GB2312;仿宋"/>
          <w:b/>
          <w:sz w:val="28"/>
          <w:szCs w:val="28"/>
        </w:rPr>
        <w:t>第二章</w:t>
      </w:r>
      <w:r>
        <w:rPr>
          <w:rFonts w:eastAsia="Times New Roman"/>
          <w:b/>
          <w:sz w:val="28"/>
          <w:szCs w:val="28"/>
        </w:rPr>
        <w:t xml:space="preserve">  </w:t>
      </w:r>
      <w:r>
        <w:rPr>
          <w:rFonts w:eastAsia="仿宋_GB2312;仿宋"/>
          <w:b/>
          <w:sz w:val="28"/>
          <w:szCs w:val="28"/>
        </w:rPr>
        <w:t>组织管理体系</w:t>
      </w:r>
    </w:p>
    <w:p>
      <w:pPr>
        <w:pStyle w:val="Normal"/>
        <w:spacing w:lineRule="auto" w:line="360"/>
        <w:ind w:firstLine="537" w:right="0"/>
        <w:rPr/>
      </w:pPr>
      <w:r>
        <w:rPr>
          <w:rFonts w:eastAsia="仿宋_GB2312;仿宋"/>
          <w:sz w:val="28"/>
          <w:szCs w:val="28"/>
        </w:rPr>
        <w:t>第</w:t>
      </w:r>
      <w:r>
        <w:rPr>
          <w:rFonts w:eastAsia="仿宋_GB2312;仿宋"/>
          <w:sz w:val="28"/>
          <w:szCs w:val="28"/>
        </w:rPr>
        <w:t>五</w:t>
      </w:r>
      <w:r>
        <w:rPr>
          <w:rFonts w:eastAsia="仿宋_GB2312;仿宋"/>
          <w:sz w:val="28"/>
          <w:szCs w:val="28"/>
        </w:rPr>
        <w:t>条</w:t>
      </w:r>
      <w:r>
        <w:rPr>
          <w:rFonts w:eastAsia="Times New Roman"/>
          <w:sz w:val="28"/>
          <w:szCs w:val="28"/>
        </w:rPr>
        <w:t xml:space="preserve">  </w:t>
      </w:r>
      <w:r>
        <w:rPr>
          <w:rFonts w:eastAsia="仿宋_GB2312;仿宋"/>
          <w:sz w:val="28"/>
          <w:szCs w:val="28"/>
        </w:rPr>
        <w:t>经办支行负责人对抵（质）押物权证的真实性负责。</w:t>
      </w:r>
    </w:p>
    <w:p>
      <w:pPr>
        <w:pStyle w:val="Normal"/>
        <w:spacing w:lineRule="auto" w:line="360"/>
        <w:ind w:firstLine="537" w:right="0"/>
        <w:rPr/>
      </w:pPr>
      <w:r>
        <w:rPr>
          <w:rFonts w:eastAsia="仿宋_GB2312;仿宋"/>
          <w:sz w:val="28"/>
          <w:szCs w:val="28"/>
        </w:rPr>
        <w:t>第</w:t>
      </w:r>
      <w:r>
        <w:rPr>
          <w:rFonts w:eastAsia="仿宋_GB2312;仿宋"/>
          <w:sz w:val="28"/>
          <w:szCs w:val="28"/>
        </w:rPr>
        <w:t>六</w:t>
      </w:r>
      <w:r>
        <w:rPr>
          <w:rFonts w:eastAsia="仿宋_GB2312;仿宋"/>
          <w:sz w:val="28"/>
          <w:szCs w:val="28"/>
        </w:rPr>
        <w:t>条</w:t>
      </w:r>
      <w:r>
        <w:rPr>
          <w:rFonts w:eastAsia="Times New Roman"/>
          <w:sz w:val="28"/>
          <w:szCs w:val="28"/>
        </w:rPr>
        <w:t xml:space="preserve">  </w:t>
      </w:r>
      <w:r>
        <w:rPr>
          <w:rFonts w:eastAsia="仿宋_GB2312;仿宋"/>
          <w:sz w:val="28"/>
          <w:szCs w:val="28"/>
        </w:rPr>
        <w:t>授信评审</w:t>
      </w:r>
      <w:r>
        <w:rPr>
          <w:rFonts w:eastAsia="仿宋_GB2312;仿宋"/>
          <w:sz w:val="28"/>
          <w:szCs w:val="28"/>
        </w:rPr>
        <w:t>部负责抵（质）押物权证的</w:t>
      </w:r>
      <w:r>
        <w:rPr>
          <w:rFonts w:eastAsia="仿宋_GB2312;仿宋"/>
          <w:sz w:val="28"/>
          <w:szCs w:val="28"/>
        </w:rPr>
        <w:t>统筹</w:t>
      </w:r>
      <w:r>
        <w:rPr>
          <w:rFonts w:eastAsia="仿宋_GB2312;仿宋"/>
          <w:sz w:val="28"/>
          <w:szCs w:val="28"/>
        </w:rPr>
        <w:t>管理</w:t>
      </w:r>
      <w:r>
        <w:rPr>
          <w:rFonts w:eastAsia="仿宋_GB2312;仿宋"/>
          <w:sz w:val="28"/>
          <w:szCs w:val="28"/>
        </w:rPr>
        <w:t>；总行档案室负责抵（质）押物权证的保管</w:t>
      </w:r>
      <w:r>
        <w:rPr>
          <w:rFonts w:eastAsia="仿宋_GB2312;仿宋"/>
          <w:sz w:val="28"/>
          <w:szCs w:val="28"/>
        </w:rPr>
        <w:t>。</w:t>
      </w:r>
    </w:p>
    <w:p>
      <w:pPr>
        <w:pStyle w:val="Normal"/>
        <w:spacing w:lineRule="auto" w:line="360"/>
        <w:ind w:firstLine="537" w:right="0"/>
        <w:rPr/>
      </w:pPr>
      <w:r>
        <w:rPr>
          <w:rFonts w:eastAsia="仿宋_GB2312;仿宋"/>
          <w:sz w:val="28"/>
          <w:szCs w:val="28"/>
        </w:rPr>
        <w:t>第</w:t>
      </w:r>
      <w:r>
        <w:rPr>
          <w:rFonts w:eastAsia="仿宋_GB2312;仿宋"/>
          <w:sz w:val="28"/>
          <w:szCs w:val="28"/>
        </w:rPr>
        <w:t>七</w:t>
      </w:r>
      <w:r>
        <w:rPr>
          <w:rFonts w:eastAsia="仿宋_GB2312;仿宋"/>
          <w:sz w:val="28"/>
          <w:szCs w:val="28"/>
        </w:rPr>
        <w:t>条</w:t>
      </w:r>
      <w:r>
        <w:rPr>
          <w:rFonts w:eastAsia="Times New Roman"/>
          <w:sz w:val="28"/>
          <w:szCs w:val="28"/>
        </w:rPr>
        <w:t xml:space="preserve">  </w:t>
      </w:r>
      <w:r>
        <w:rPr>
          <w:rFonts w:eastAsia="仿宋_GB2312;仿宋"/>
          <w:sz w:val="28"/>
          <w:szCs w:val="28"/>
        </w:rPr>
        <w:t>合规管理部负责抵（质）押物权证管理的合规检查。</w:t>
      </w:r>
    </w:p>
    <w:p>
      <w:pPr>
        <w:pStyle w:val="Normal"/>
        <w:spacing w:lineRule="auto" w:line="360"/>
        <w:ind w:firstLine="537" w:right="0"/>
        <w:rPr>
          <w:rFonts w:eastAsia="仿宋_GB2312;仿宋"/>
          <w:sz w:val="28"/>
          <w:szCs w:val="28"/>
        </w:rPr>
      </w:pPr>
      <w:r>
        <w:rPr>
          <w:rFonts w:eastAsia="仿宋_GB2312;仿宋"/>
          <w:sz w:val="28"/>
          <w:szCs w:val="28"/>
        </w:rPr>
        <w:t>第</w:t>
      </w:r>
      <w:r>
        <w:rPr>
          <w:rFonts w:eastAsia="仿宋_GB2312;仿宋"/>
          <w:sz w:val="28"/>
          <w:szCs w:val="28"/>
        </w:rPr>
        <w:t>八</w:t>
      </w:r>
      <w:r>
        <w:rPr>
          <w:rFonts w:eastAsia="仿宋_GB2312;仿宋"/>
          <w:sz w:val="28"/>
          <w:szCs w:val="28"/>
        </w:rPr>
        <w:t>条</w:t>
      </w:r>
      <w:r>
        <w:rPr>
          <w:rFonts w:eastAsia="Times New Roman"/>
          <w:sz w:val="28"/>
          <w:szCs w:val="28"/>
        </w:rPr>
        <w:t xml:space="preserve">  </w:t>
      </w:r>
      <w:r>
        <w:rPr>
          <w:rFonts w:eastAsia="仿宋_GB2312;仿宋"/>
          <w:sz w:val="28"/>
          <w:szCs w:val="28"/>
        </w:rPr>
        <w:t>审计部负责抵（质）押物权证管理的审计监督。</w:t>
      </w:r>
    </w:p>
    <w:p>
      <w:pPr>
        <w:pStyle w:val="Normal"/>
        <w:spacing w:lineRule="auto" w:line="360" w:before="156" w:after="0"/>
        <w:ind w:firstLine="539" w:right="0"/>
        <w:jc w:val="center"/>
        <w:rPr>
          <w:rFonts w:eastAsia="仿宋_GB2312;仿宋"/>
          <w:b/>
          <w:sz w:val="28"/>
          <w:szCs w:val="28"/>
        </w:rPr>
      </w:pPr>
      <w:r>
        <w:rPr>
          <w:rFonts w:eastAsia="仿宋_GB2312;仿宋"/>
          <w:b/>
          <w:sz w:val="28"/>
          <w:szCs w:val="28"/>
        </w:rPr>
        <w:t>第三章</w:t>
      </w:r>
      <w:r>
        <w:rPr>
          <w:rFonts w:eastAsia="Times New Roman"/>
          <w:b/>
          <w:sz w:val="28"/>
          <w:szCs w:val="28"/>
        </w:rPr>
        <w:t xml:space="preserve">  </w:t>
      </w:r>
      <w:r>
        <w:rPr>
          <w:rFonts w:eastAsia="仿宋_GB2312;仿宋"/>
          <w:b/>
          <w:sz w:val="28"/>
          <w:szCs w:val="28"/>
        </w:rPr>
        <w:t>抵（质）押物权证管理流程</w:t>
      </w:r>
    </w:p>
    <w:p>
      <w:pPr>
        <w:pStyle w:val="Normal"/>
        <w:spacing w:lineRule="auto" w:line="360"/>
        <w:ind w:firstLine="537" w:right="0"/>
        <w:rPr/>
      </w:pPr>
      <w:r>
        <w:rPr>
          <w:rFonts w:eastAsia="仿宋_GB2312;仿宋"/>
          <w:sz w:val="28"/>
          <w:szCs w:val="28"/>
        </w:rPr>
        <w:t>第九条</w:t>
      </w:r>
      <w:r>
        <w:rPr>
          <w:rFonts w:eastAsia="Times New Roman"/>
          <w:sz w:val="28"/>
          <w:szCs w:val="28"/>
        </w:rPr>
        <w:t xml:space="preserve">  </w:t>
      </w:r>
      <w:r>
        <w:rPr>
          <w:rFonts w:eastAsia="仿宋_GB2312;仿宋"/>
          <w:sz w:val="28"/>
          <w:szCs w:val="28"/>
        </w:rPr>
        <w:t>外部环节流程</w:t>
      </w:r>
    </w:p>
    <w:p>
      <w:pPr>
        <w:pStyle w:val="Normal"/>
        <w:spacing w:lineRule="auto" w:line="360"/>
        <w:ind w:firstLine="537" w:right="0"/>
        <w:rPr/>
      </w:pPr>
      <w:r>
        <w:rPr>
          <w:rFonts w:eastAsia="仿宋_GB2312;仿宋"/>
          <w:sz w:val="28"/>
          <w:szCs w:val="28"/>
        </w:rPr>
        <w:t>1.</w:t>
      </w:r>
      <w:r>
        <w:rPr>
          <w:rFonts w:eastAsia="仿宋_GB2312;仿宋"/>
          <w:sz w:val="28"/>
          <w:szCs w:val="28"/>
        </w:rPr>
        <w:t>实质审核。客户提出抵押申请后，中心或支行须明确客户经理现场了解拟抵押的产权属性、位置、现状、用途及权属证原件等，提出明确的审核意见。</w:t>
      </w:r>
    </w:p>
    <w:p>
      <w:pPr>
        <w:pStyle w:val="Normal"/>
        <w:spacing w:lineRule="auto" w:line="360"/>
        <w:ind w:firstLine="537" w:right="0"/>
        <w:rPr>
          <w:rFonts w:eastAsia="仿宋_GB2312;仿宋"/>
          <w:sz w:val="28"/>
          <w:szCs w:val="28"/>
        </w:rPr>
      </w:pPr>
      <w:r>
        <w:rPr>
          <w:rFonts w:eastAsia="仿宋_GB2312;仿宋"/>
          <w:sz w:val="28"/>
          <w:szCs w:val="28"/>
        </w:rPr>
        <w:t>特别提醒：对抵押财产已出租的，重点把握下列环节</w:t>
      </w:r>
      <w:r>
        <w:rPr>
          <w:rFonts w:eastAsia="仿宋_GB2312;仿宋"/>
          <w:sz w:val="28"/>
          <w:szCs w:val="28"/>
        </w:rPr>
        <w:t>,</w:t>
      </w:r>
      <w:r>
        <w:rPr>
          <w:rFonts w:eastAsia="仿宋_GB2312;仿宋"/>
          <w:sz w:val="28"/>
          <w:szCs w:val="28"/>
        </w:rPr>
        <w:t>即提供租赁合同原件或加盖抵押人印章的复印件一份存档；租赁合同期限超过</w:t>
      </w:r>
      <w:r>
        <w:rPr>
          <w:rFonts w:eastAsia="仿宋_GB2312;仿宋"/>
          <w:sz w:val="28"/>
          <w:szCs w:val="28"/>
        </w:rPr>
        <w:t>5</w:t>
      </w:r>
      <w:r>
        <w:rPr>
          <w:rFonts w:eastAsia="仿宋_GB2312;仿宋"/>
          <w:sz w:val="28"/>
          <w:szCs w:val="28"/>
        </w:rPr>
        <w:t>年的，应审慎办理抵押，超过</w:t>
      </w:r>
      <w:r>
        <w:rPr>
          <w:rFonts w:eastAsia="仿宋_GB2312;仿宋"/>
          <w:sz w:val="28"/>
          <w:szCs w:val="28"/>
        </w:rPr>
        <w:t>10</w:t>
      </w:r>
      <w:r>
        <w:rPr>
          <w:rFonts w:eastAsia="仿宋_GB2312;仿宋"/>
          <w:sz w:val="28"/>
          <w:szCs w:val="28"/>
        </w:rPr>
        <w:t>年的，不得抵押；抵押期限须与租赁期相匹配；抵押人、承租人应分别出具放弃收益权、知晓抵押权的承诺函。</w:t>
      </w:r>
    </w:p>
    <w:p>
      <w:pPr>
        <w:pStyle w:val="Normal"/>
        <w:spacing w:lineRule="auto" w:line="360"/>
        <w:ind w:firstLine="537" w:right="0"/>
        <w:rPr/>
      </w:pPr>
      <w:r>
        <w:rPr>
          <w:rFonts w:eastAsia="仿宋_GB2312;仿宋"/>
          <w:sz w:val="28"/>
          <w:szCs w:val="28"/>
        </w:rPr>
        <w:t>2.</w:t>
      </w:r>
      <w:r>
        <w:rPr>
          <w:rFonts w:eastAsia="仿宋_GB2312;仿宋"/>
          <w:sz w:val="28"/>
          <w:szCs w:val="28"/>
        </w:rPr>
        <w:t>申请办证。对授信的贷款由客户准备相关权证资料，提交经办行审查同意后，客户经理进行市场询价，</w:t>
      </w:r>
      <w:r>
        <w:rPr>
          <w:rFonts w:eastAsia="仿宋_GB2312;仿宋"/>
          <w:sz w:val="28"/>
          <w:szCs w:val="28"/>
        </w:rPr>
        <w:t>客户委托在本行准入的资产评估公司进行评估，</w:t>
      </w:r>
      <w:r>
        <w:rPr>
          <w:rFonts w:eastAsia="仿宋_GB2312;仿宋"/>
          <w:sz w:val="28"/>
          <w:szCs w:val="28"/>
        </w:rPr>
        <w:t>双方</w:t>
      </w:r>
      <w:r>
        <w:rPr>
          <w:rFonts w:eastAsia="仿宋_GB2312;仿宋"/>
          <w:sz w:val="28"/>
          <w:szCs w:val="28"/>
        </w:rPr>
        <w:t>确认</w:t>
      </w:r>
      <w:r>
        <w:rPr>
          <w:rFonts w:eastAsia="仿宋_GB2312;仿宋"/>
          <w:sz w:val="28"/>
          <w:szCs w:val="28"/>
        </w:rPr>
        <w:t>资产抵押值，客户经理陪同抵押人一起到有关部门办理登记手续。总行要求，客户经理须参加办理至领证全过程，严禁交由抵押人单独办理登记和领证。</w:t>
      </w:r>
    </w:p>
    <w:p>
      <w:pPr>
        <w:pStyle w:val="Normal"/>
        <w:spacing w:lineRule="auto" w:line="360"/>
        <w:ind w:firstLine="537" w:right="0"/>
        <w:rPr>
          <w:rFonts w:eastAsia="仿宋_GB2312;仿宋"/>
          <w:sz w:val="28"/>
          <w:szCs w:val="28"/>
        </w:rPr>
      </w:pPr>
      <w:r>
        <w:rPr>
          <w:rFonts w:eastAsia="仿宋_GB2312;仿宋"/>
          <w:sz w:val="28"/>
          <w:szCs w:val="28"/>
        </w:rPr>
        <w:t>原则上不提倡以异地的不动产抵押，对确因需要而办理的，资产价值原则上应经有资质的评估公司评估而定，其他手续与本地资产的流程、要求一致，不得由抵押人代办和代领。</w:t>
      </w:r>
    </w:p>
    <w:p>
      <w:pPr>
        <w:pStyle w:val="Normal"/>
        <w:spacing w:lineRule="auto" w:line="360"/>
        <w:ind w:firstLine="537" w:right="0"/>
        <w:rPr/>
      </w:pPr>
      <w:r>
        <w:rPr>
          <w:rFonts w:eastAsia="仿宋_GB2312;仿宋"/>
          <w:sz w:val="28"/>
          <w:szCs w:val="28"/>
        </w:rPr>
        <w:t>第十条</w:t>
      </w:r>
      <w:r>
        <w:rPr>
          <w:rFonts w:eastAsia="Times New Roman"/>
          <w:sz w:val="28"/>
          <w:szCs w:val="28"/>
        </w:rPr>
        <w:t xml:space="preserve">  </w:t>
      </w:r>
      <w:r>
        <w:rPr>
          <w:rFonts w:eastAsia="仿宋_GB2312;仿宋"/>
          <w:sz w:val="28"/>
          <w:szCs w:val="28"/>
        </w:rPr>
        <w:t>、内部环节流程</w:t>
      </w:r>
    </w:p>
    <w:p>
      <w:pPr>
        <w:pStyle w:val="Normal"/>
        <w:spacing w:lineRule="auto" w:line="360"/>
        <w:ind w:firstLine="537" w:right="0"/>
        <w:rPr/>
      </w:pPr>
      <w:r>
        <w:rPr>
          <w:rFonts w:eastAsia="仿宋_GB2312;仿宋"/>
          <w:sz w:val="28"/>
          <w:szCs w:val="28"/>
        </w:rPr>
        <w:t>1.</w:t>
      </w:r>
      <w:r>
        <w:rPr>
          <w:rFonts w:eastAsia="仿宋_GB2312;仿宋"/>
          <w:sz w:val="28"/>
          <w:szCs w:val="28"/>
        </w:rPr>
        <w:t>他项权证入账。他项权证原件被客户经理领回后，不得再交抵押人或借款人保管，也不允许留存客户经理手中过宿，应立即移交柜面代保管。</w:t>
      </w:r>
    </w:p>
    <w:p>
      <w:pPr>
        <w:pStyle w:val="Normal"/>
        <w:spacing w:lineRule="auto" w:line="360"/>
        <w:ind w:firstLine="537" w:right="0"/>
        <w:rPr>
          <w:rFonts w:eastAsia="仿宋_GB2312;仿宋"/>
          <w:sz w:val="28"/>
          <w:szCs w:val="28"/>
        </w:rPr>
      </w:pPr>
      <w:r>
        <w:rPr>
          <w:rFonts w:eastAsia="仿宋_GB2312;仿宋"/>
          <w:sz w:val="28"/>
          <w:szCs w:val="28"/>
        </w:rPr>
        <w:t>他项权证原件入库代保管前，客户经理应复印一份留存后，将原件与抵押人或借款人一起交柜员办理代保管手续。柜员审核后，开具一式叁份代保管凭证，柜员、客户经理、客户各执一份。日终，柜员将原件交主出纳保管，并记载内容，包括权证编号、抵押人、抵押面积、抵押值、抵押期间、入库时间、上缴时间、退库时间等。客户经理将他项权证复印件和代保管凭证存入信贷档案资料中，集中保管。</w:t>
      </w:r>
    </w:p>
    <w:p>
      <w:pPr>
        <w:pStyle w:val="Normal"/>
        <w:spacing w:lineRule="auto" w:line="360"/>
        <w:ind w:firstLine="537" w:right="0"/>
        <w:rPr/>
      </w:pPr>
      <w:r>
        <w:rPr>
          <w:rFonts w:eastAsia="仿宋_GB2312;仿宋"/>
          <w:sz w:val="28"/>
          <w:szCs w:val="28"/>
        </w:rPr>
        <w:t>2.</w:t>
      </w:r>
      <w:r>
        <w:rPr>
          <w:rFonts w:eastAsia="仿宋_GB2312;仿宋"/>
          <w:sz w:val="28"/>
          <w:szCs w:val="28"/>
        </w:rPr>
        <w:t>权证上缴。支行每月将他项权证原件集中上缴总行档案室保管，上缴的流程按“重要空白凭证”的管理要求进行。</w:t>
      </w:r>
    </w:p>
    <w:p>
      <w:pPr>
        <w:pStyle w:val="Normal"/>
        <w:spacing w:lineRule="auto" w:line="360"/>
        <w:ind w:firstLine="537" w:right="0"/>
        <w:rPr>
          <w:rFonts w:eastAsia="仿宋_GB2312;仿宋"/>
          <w:sz w:val="28"/>
          <w:szCs w:val="28"/>
        </w:rPr>
      </w:pPr>
      <w:r>
        <w:rPr>
          <w:rFonts w:eastAsia="仿宋_GB2312;仿宋"/>
          <w:sz w:val="28"/>
          <w:szCs w:val="28"/>
        </w:rPr>
        <w:t>档案室一方面要制定各支行定期上缴的时间，以便各支行执行，另一方面，要建立他项权证管理台账，与支行实行双套账管理。</w:t>
      </w:r>
    </w:p>
    <w:p>
      <w:pPr>
        <w:pStyle w:val="Normal"/>
        <w:spacing w:lineRule="auto" w:line="360"/>
        <w:ind w:firstLine="537" w:right="0"/>
        <w:rPr/>
      </w:pPr>
      <w:r>
        <w:rPr>
          <w:rFonts w:eastAsia="仿宋_GB2312;仿宋"/>
          <w:sz w:val="28"/>
          <w:szCs w:val="28"/>
        </w:rPr>
        <w:t>3.</w:t>
      </w:r>
      <w:r>
        <w:rPr>
          <w:rFonts w:eastAsia="仿宋_GB2312;仿宋"/>
          <w:sz w:val="28"/>
          <w:szCs w:val="28"/>
        </w:rPr>
        <w:t>权证</w:t>
      </w:r>
      <w:r>
        <w:rPr>
          <w:rFonts w:eastAsia="仿宋_GB2312;仿宋"/>
          <w:sz w:val="28"/>
          <w:szCs w:val="28"/>
        </w:rPr>
        <w:t>借（</w:t>
      </w:r>
      <w:r>
        <w:rPr>
          <w:rFonts w:eastAsia="仿宋_GB2312;仿宋"/>
          <w:sz w:val="28"/>
          <w:szCs w:val="28"/>
        </w:rPr>
        <w:t>查</w:t>
      </w:r>
      <w:r>
        <w:rPr>
          <w:rFonts w:eastAsia="仿宋_GB2312;仿宋"/>
          <w:sz w:val="28"/>
          <w:szCs w:val="28"/>
        </w:rPr>
        <w:t>）阅</w:t>
      </w:r>
      <w:r>
        <w:rPr>
          <w:rFonts w:eastAsia="仿宋_GB2312;仿宋"/>
          <w:sz w:val="28"/>
          <w:szCs w:val="28"/>
        </w:rPr>
        <w:t>。权证原件保管期间，原则上不允许外借，对因贷款展期，办理抵押物续期登记、变更抵押物、法律诉讼、补办房产证、他项权证，以及因上级部门查阅等因素而需外借的，须由支行申请，指定合规员和经办客户经理为外借期间管理责任人，</w:t>
      </w:r>
      <w:r>
        <w:rPr>
          <w:rFonts w:eastAsia="仿宋_GB2312;仿宋"/>
          <w:sz w:val="28"/>
          <w:szCs w:val="28"/>
        </w:rPr>
        <w:t>经授信评审部</w:t>
      </w:r>
      <w:r>
        <w:rPr>
          <w:rFonts w:eastAsia="仿宋_GB2312;仿宋"/>
          <w:sz w:val="28"/>
          <w:szCs w:val="28"/>
        </w:rPr>
        <w:t>审核批准后，方可外借</w:t>
      </w:r>
      <w:r>
        <w:rPr>
          <w:rFonts w:eastAsia="仿宋_GB2312;仿宋"/>
          <w:sz w:val="28"/>
          <w:szCs w:val="28"/>
        </w:rPr>
        <w:t>，</w:t>
      </w:r>
      <w:r>
        <w:rPr>
          <w:rFonts w:eastAsia="仿宋_GB2312;仿宋"/>
          <w:sz w:val="28"/>
          <w:szCs w:val="28"/>
        </w:rPr>
        <w:t>办理借阅的必须由支行凭手续办理。档案室收到管理部门批准的外借申请后，按档案管理规定流程操作。</w:t>
      </w:r>
    </w:p>
    <w:p>
      <w:pPr>
        <w:pStyle w:val="Normal"/>
        <w:spacing w:lineRule="auto" w:line="360"/>
        <w:ind w:firstLine="537" w:right="0"/>
        <w:rPr/>
      </w:pPr>
      <w:r>
        <w:rPr>
          <w:rFonts w:eastAsia="仿宋_GB2312;仿宋"/>
          <w:sz w:val="28"/>
          <w:szCs w:val="28"/>
        </w:rPr>
        <w:t>4.</w:t>
      </w:r>
      <w:r>
        <w:rPr>
          <w:rFonts w:eastAsia="仿宋_GB2312;仿宋"/>
          <w:sz w:val="28"/>
          <w:szCs w:val="28"/>
        </w:rPr>
        <w:t>权证退回。因借款人贷款已结清，或抵押期满需取回抵押证原件的，由支行申请，明确合规员或经办客户经理办理，</w:t>
      </w:r>
      <w:r>
        <w:rPr>
          <w:rFonts w:eastAsia="仿宋_GB2312;仿宋"/>
          <w:sz w:val="28"/>
          <w:szCs w:val="28"/>
        </w:rPr>
        <w:t>经授信评审部</w:t>
      </w:r>
      <w:r>
        <w:rPr>
          <w:rFonts w:eastAsia="仿宋_GB2312;仿宋"/>
          <w:sz w:val="28"/>
          <w:szCs w:val="28"/>
        </w:rPr>
        <w:t>审核批准后，到档案室办理退回手续。</w:t>
      </w:r>
    </w:p>
    <w:p>
      <w:pPr>
        <w:pStyle w:val="Normal"/>
        <w:spacing w:lineRule="auto" w:line="360"/>
        <w:ind w:firstLine="537" w:right="0"/>
        <w:rPr>
          <w:rFonts w:eastAsia="仿宋_GB2312;仿宋"/>
          <w:sz w:val="28"/>
          <w:szCs w:val="28"/>
        </w:rPr>
      </w:pPr>
      <w:r>
        <w:rPr>
          <w:rFonts w:eastAsia="仿宋_GB2312;仿宋"/>
          <w:sz w:val="28"/>
          <w:szCs w:val="28"/>
        </w:rPr>
        <w:t>合规员或客户经理将取回的他项权证书原件不得直接退还抵押人或借款人，而应履行移交手续，将原件交主出纳，由抵押人或借款人凭代保管凭证到主出纳处，办理退回手续。</w:t>
      </w:r>
    </w:p>
    <w:p>
      <w:pPr>
        <w:pStyle w:val="Normal"/>
        <w:spacing w:lineRule="auto" w:line="360"/>
        <w:ind w:firstLine="537" w:right="0"/>
        <w:rPr>
          <w:rFonts w:eastAsia="仿宋_GB2312;仿宋"/>
          <w:sz w:val="28"/>
          <w:szCs w:val="28"/>
        </w:rPr>
      </w:pPr>
      <w:r>
        <w:rPr>
          <w:rFonts w:eastAsia="仿宋_GB2312;仿宋"/>
          <w:sz w:val="28"/>
          <w:szCs w:val="28"/>
        </w:rPr>
        <w:t>第十一条</w:t>
      </w:r>
      <w:r>
        <w:rPr>
          <w:rFonts w:eastAsia="Times New Roman"/>
          <w:sz w:val="28"/>
          <w:szCs w:val="28"/>
        </w:rPr>
        <w:t xml:space="preserve">  </w:t>
      </w:r>
      <w:r>
        <w:rPr>
          <w:rFonts w:eastAsia="仿宋_GB2312;仿宋"/>
          <w:sz w:val="28"/>
          <w:szCs w:val="28"/>
        </w:rPr>
        <w:t>抵债资产的取得和处置、抵押物的拍卖、变卖，抵押物的变更、债权转移等所产生的抵押物权证的转入和转出业务参照上述流程办理。</w:t>
      </w:r>
    </w:p>
    <w:p>
      <w:pPr>
        <w:pStyle w:val="Normal"/>
        <w:spacing w:lineRule="auto" w:line="360"/>
        <w:ind w:firstLine="537" w:right="0"/>
        <w:rPr>
          <w:rFonts w:eastAsia="仿宋_GB2312;仿宋"/>
          <w:sz w:val="28"/>
          <w:szCs w:val="28"/>
        </w:rPr>
      </w:pPr>
      <w:r>
        <w:rPr>
          <w:rFonts w:eastAsia="仿宋_GB2312;仿宋"/>
          <w:sz w:val="28"/>
          <w:szCs w:val="28"/>
        </w:rPr>
        <w:t>第十二条</w:t>
      </w:r>
      <w:r>
        <w:rPr>
          <w:rFonts w:eastAsia="Times New Roman"/>
          <w:sz w:val="28"/>
          <w:szCs w:val="28"/>
        </w:rPr>
        <w:t xml:space="preserve">  </w:t>
      </w:r>
      <w:r>
        <w:rPr>
          <w:rFonts w:eastAsia="仿宋_GB2312;仿宋"/>
          <w:sz w:val="28"/>
          <w:szCs w:val="28"/>
        </w:rPr>
        <w:t>监督与检查</w:t>
      </w:r>
    </w:p>
    <w:p>
      <w:pPr>
        <w:pStyle w:val="Normal"/>
        <w:spacing w:lineRule="auto" w:line="360"/>
        <w:ind w:firstLine="537" w:right="0"/>
        <w:rPr/>
      </w:pPr>
      <w:r>
        <w:rPr>
          <w:rFonts w:eastAsia="仿宋_GB2312;仿宋"/>
          <w:sz w:val="28"/>
          <w:szCs w:val="28"/>
        </w:rPr>
        <w:t>1.</w:t>
      </w:r>
      <w:r>
        <w:rPr>
          <w:rFonts w:eastAsia="仿宋_GB2312;仿宋"/>
          <w:sz w:val="28"/>
          <w:szCs w:val="28"/>
        </w:rPr>
        <w:t>合规管理部牵头，信贷管理部、风险管理部、</w:t>
      </w:r>
      <w:r>
        <w:rPr>
          <w:rFonts w:eastAsia="仿宋_GB2312;仿宋"/>
          <w:sz w:val="28"/>
          <w:szCs w:val="28"/>
        </w:rPr>
        <w:t>授信评审</w:t>
      </w:r>
      <w:r>
        <w:rPr>
          <w:rFonts w:eastAsia="仿宋_GB2312;仿宋"/>
          <w:sz w:val="28"/>
          <w:szCs w:val="28"/>
        </w:rPr>
        <w:t>部配合，定期对抵（质）押物从法律上的有效性、价值上的充足性、担保续存期间的安全性和执行上的可变现性四个方面检查进行检查，保证抵（质）押物权证的账账、账实相符。</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审计部对抵（质）押物权证管理情况进行审计监督。</w:t>
      </w:r>
    </w:p>
    <w:p>
      <w:pPr>
        <w:pStyle w:val="Normal"/>
        <w:spacing w:lineRule="auto" w:line="360" w:before="156" w:after="0"/>
        <w:ind w:firstLine="539" w:right="0"/>
        <w:jc w:val="center"/>
        <w:rPr>
          <w:rFonts w:eastAsia="仿宋_GB2312;仿宋"/>
          <w:b/>
          <w:sz w:val="28"/>
          <w:szCs w:val="28"/>
        </w:rPr>
      </w:pPr>
      <w:r>
        <w:rPr>
          <w:rFonts w:eastAsia="仿宋_GB2312;仿宋"/>
          <w:b/>
          <w:sz w:val="28"/>
          <w:szCs w:val="28"/>
        </w:rPr>
        <w:t>第四章</w:t>
      </w:r>
      <w:r>
        <w:rPr>
          <w:rFonts w:eastAsia="Times New Roman"/>
          <w:b/>
          <w:sz w:val="28"/>
          <w:szCs w:val="28"/>
        </w:rPr>
        <w:t xml:space="preserve">  </w:t>
      </w:r>
      <w:r>
        <w:rPr>
          <w:rFonts w:eastAsia="仿宋_GB2312;仿宋"/>
          <w:b/>
          <w:sz w:val="28"/>
          <w:szCs w:val="28"/>
        </w:rPr>
        <w:t>罚则</w:t>
      </w:r>
    </w:p>
    <w:p>
      <w:pPr>
        <w:pStyle w:val="Normal"/>
        <w:spacing w:lineRule="auto" w:line="360"/>
        <w:ind w:firstLine="567" w:right="0"/>
        <w:rPr/>
      </w:pPr>
      <w:r>
        <w:rPr>
          <w:rFonts w:eastAsia="仿宋_GB2312;仿宋"/>
          <w:sz w:val="28"/>
          <w:szCs w:val="28"/>
        </w:rPr>
        <w:t>第十三条</w:t>
      </w:r>
      <w:r>
        <w:rPr>
          <w:rFonts w:eastAsia="Times New Roman"/>
          <w:sz w:val="28"/>
          <w:szCs w:val="28"/>
        </w:rPr>
        <w:t xml:space="preserve"> </w:t>
      </w:r>
      <w:r>
        <w:rPr>
          <w:rFonts w:eastAsia="Times New Roman"/>
          <w:sz w:val="28"/>
          <w:szCs w:val="28"/>
        </w:rPr>
        <w:t xml:space="preserve"> </w:t>
      </w:r>
      <w:r>
        <w:rPr>
          <w:rFonts w:eastAsia="仿宋_GB2312;仿宋"/>
          <w:sz w:val="28"/>
          <w:szCs w:val="28"/>
        </w:rPr>
        <w:t>违反本办法相关规定的责任人员依照</w:t>
      </w:r>
      <w:r>
        <w:rPr>
          <w:rFonts w:eastAsia="仿宋_GB2312;仿宋"/>
          <w:sz w:val="28"/>
          <w:szCs w:val="28"/>
        </w:rPr>
        <w:t>本行员工违规行为处罚</w:t>
      </w:r>
      <w:r>
        <w:rPr>
          <w:rFonts w:eastAsia="仿宋_GB2312;仿宋"/>
          <w:sz w:val="28"/>
          <w:szCs w:val="28"/>
        </w:rPr>
        <w:t>相关规定予以经济处罚和行政处理；造成损失的，由责任人赔偿；触犯法律的，移交司法机关处理。</w:t>
      </w:r>
    </w:p>
    <w:p>
      <w:pPr>
        <w:pStyle w:val="Normal"/>
        <w:spacing w:lineRule="auto" w:line="360"/>
        <w:ind w:firstLine="537" w:right="0"/>
        <w:rPr>
          <w:rFonts w:eastAsia="仿宋_GB2312;仿宋"/>
          <w:sz w:val="28"/>
          <w:szCs w:val="28"/>
        </w:rPr>
      </w:pPr>
      <w:r>
        <w:rPr>
          <w:rFonts w:eastAsia="仿宋_GB2312;仿宋"/>
          <w:sz w:val="28"/>
          <w:szCs w:val="28"/>
        </w:rPr>
        <w:t>第十</w:t>
      </w:r>
      <w:r>
        <w:rPr>
          <w:rFonts w:eastAsia="仿宋_GB2312;仿宋"/>
          <w:sz w:val="28"/>
          <w:szCs w:val="28"/>
        </w:rPr>
        <w:t>四</w:t>
      </w:r>
      <w:r>
        <w:rPr>
          <w:rFonts w:eastAsia="仿宋_GB2312;仿宋"/>
          <w:sz w:val="28"/>
          <w:szCs w:val="28"/>
        </w:rPr>
        <w:t>条</w:t>
      </w:r>
      <w:r>
        <w:rPr>
          <w:rFonts w:eastAsia="Times New Roman"/>
          <w:sz w:val="28"/>
          <w:szCs w:val="28"/>
        </w:rPr>
        <w:t xml:space="preserve">  </w:t>
      </w:r>
      <w:r>
        <w:rPr>
          <w:rFonts w:eastAsia="仿宋_GB2312;仿宋"/>
          <w:sz w:val="28"/>
          <w:szCs w:val="28"/>
        </w:rPr>
        <w:t>抵（质）押权证保管人包括移交前的和移交后的，责任的界定以权证转移为节点。</w:t>
      </w:r>
    </w:p>
    <w:p>
      <w:pPr>
        <w:pStyle w:val="Normal"/>
        <w:spacing w:lineRule="auto" w:line="360" w:before="156" w:after="0"/>
        <w:ind w:firstLine="539" w:right="0"/>
        <w:jc w:val="center"/>
        <w:rPr>
          <w:rFonts w:eastAsia="仿宋_GB2312;仿宋"/>
          <w:b/>
          <w:sz w:val="28"/>
          <w:szCs w:val="28"/>
        </w:rPr>
      </w:pPr>
      <w:r>
        <w:rPr>
          <w:rFonts w:eastAsia="仿宋_GB2312;仿宋"/>
          <w:b/>
          <w:sz w:val="28"/>
          <w:szCs w:val="28"/>
        </w:rPr>
        <w:t>第五章</w:t>
      </w:r>
      <w:r>
        <w:rPr>
          <w:rFonts w:eastAsia="Times New Roman"/>
          <w:b/>
          <w:sz w:val="28"/>
          <w:szCs w:val="28"/>
        </w:rPr>
        <w:t xml:space="preserve">  </w:t>
      </w:r>
      <w:r>
        <w:rPr>
          <w:rFonts w:eastAsia="仿宋_GB2312;仿宋"/>
          <w:b/>
          <w:sz w:val="28"/>
          <w:szCs w:val="28"/>
        </w:rPr>
        <w:t>附则</w:t>
      </w:r>
    </w:p>
    <w:p>
      <w:pPr>
        <w:pStyle w:val="Normal"/>
        <w:spacing w:lineRule="auto" w:line="360"/>
        <w:ind w:firstLine="537" w:right="0"/>
        <w:rPr>
          <w:rFonts w:eastAsia="仿宋_GB2312;仿宋"/>
          <w:sz w:val="28"/>
          <w:szCs w:val="28"/>
        </w:rPr>
      </w:pPr>
      <w:r>
        <w:rPr>
          <w:rFonts w:eastAsia="仿宋_GB2312;仿宋"/>
          <w:sz w:val="28"/>
          <w:szCs w:val="28"/>
        </w:rPr>
        <w:t>第十五条</w:t>
      </w:r>
      <w:r>
        <w:rPr>
          <w:rFonts w:eastAsia="Times New Roman"/>
          <w:sz w:val="28"/>
          <w:szCs w:val="28"/>
        </w:rPr>
        <w:t xml:space="preserve"> </w:t>
      </w:r>
      <w:r>
        <w:rPr>
          <w:rFonts w:eastAsia="Times New Roman"/>
          <w:sz w:val="28"/>
          <w:szCs w:val="28"/>
        </w:rPr>
        <w:t xml:space="preserve"> </w:t>
      </w:r>
      <w:r>
        <w:rPr>
          <w:rFonts w:eastAsia="仿宋_GB2312;仿宋"/>
          <w:sz w:val="28"/>
          <w:szCs w:val="28"/>
        </w:rPr>
        <w:t>本办法由</w:t>
      </w:r>
      <w:r>
        <w:rPr>
          <w:rFonts w:eastAsia="仿宋_GB2312;仿宋"/>
          <w:sz w:val="28"/>
          <w:szCs w:val="28"/>
        </w:rPr>
        <w:t>授信评审部负责解释和修订。</w:t>
      </w:r>
    </w:p>
    <w:p>
      <w:pPr>
        <w:pStyle w:val="Normal"/>
        <w:spacing w:lineRule="auto" w:line="360"/>
        <w:ind w:firstLine="537" w:right="0"/>
        <w:rPr/>
      </w:pPr>
      <w:r>
        <w:rPr>
          <w:rFonts w:eastAsia="仿宋_GB2312;仿宋"/>
          <w:sz w:val="28"/>
          <w:szCs w:val="28"/>
        </w:rPr>
        <w:t>第十六条</w:t>
      </w:r>
      <w:r>
        <w:rPr>
          <w:rFonts w:eastAsia="Times New Roman"/>
          <w:sz w:val="28"/>
          <w:szCs w:val="28"/>
        </w:rPr>
        <w:t xml:space="preserve"> </w:t>
      </w:r>
      <w:r>
        <w:rPr>
          <w:rFonts w:eastAsia="Times New Roman"/>
          <w:sz w:val="28"/>
          <w:szCs w:val="28"/>
        </w:rPr>
        <w:t xml:space="preserve"> </w:t>
      </w:r>
      <w:r>
        <w:rPr>
          <w:rFonts w:eastAsia="仿宋_GB2312;仿宋"/>
          <w:sz w:val="28"/>
          <w:szCs w:val="28"/>
        </w:rPr>
        <w:t>本办法</w:t>
      </w:r>
      <w:r>
        <w:rPr>
          <w:rFonts w:eastAsia="仿宋_GB2312;仿宋"/>
          <w:sz w:val="28"/>
          <w:szCs w:val="28"/>
        </w:rPr>
        <w:t>自印发之日起试行。</w:t>
      </w:r>
    </w:p>
    <w:p>
      <w:pPr>
        <w:pStyle w:val="Normal"/>
        <w:spacing w:lineRule="auto" w:line="360"/>
        <w:ind w:firstLine="537" w:right="0"/>
        <w:rPr>
          <w:rFonts w:eastAsia="仿宋_GB2312;仿宋"/>
          <w:sz w:val="28"/>
          <w:szCs w:val="28"/>
        </w:rPr>
      </w:pPr>
      <w:r>
        <w:rPr>
          <w:rFonts w:eastAsia="仿宋_GB2312;仿宋"/>
          <w:sz w:val="28"/>
          <w:szCs w:val="28"/>
        </w:rPr>
      </w:r>
    </w:p>
    <w:p>
      <w:pPr>
        <w:pStyle w:val="Normal"/>
        <w:spacing w:lineRule="auto" w:line="360"/>
        <w:ind w:firstLine="537" w:right="0"/>
        <w:rPr>
          <w:rFonts w:eastAsia="仿宋_GB2312;仿宋"/>
          <w:sz w:val="28"/>
          <w:szCs w:val="28"/>
        </w:rPr>
      </w:pPr>
      <w:r>
        <w:rPr>
          <w:rFonts w:eastAsia="仿宋_GB2312;仿宋"/>
          <w:sz w:val="28"/>
          <w:szCs w:val="28"/>
        </w:rPr>
      </w:r>
    </w:p>
    <w:sectPr>
      <w:headerReference w:type="default" r:id="rId2"/>
      <w:type w:val="nextPage"/>
      <w:pgSz w:w="11906" w:h="16838"/>
      <w:pgMar w:left="1588" w:right="1588" w:gutter="0" w:header="851" w:top="1814"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exact" w:line="560"/>
      <w:ind w:firstLine="422" w:left="0" w:right="0"/>
      <w:jc w:val="center"/>
      <w:outlineLvl w:val="1"/>
    </w:pPr>
    <w:rPr>
      <w:rFonts w:ascii="Calibri Light" w:hAnsi="Calibri Light" w:eastAsia="仿宋_GB2312;仿宋" w:cs="Calibri Light"/>
      <w:b/>
      <w:bCs/>
      <w:sz w:val="21"/>
      <w:szCs w:val="32"/>
    </w:rPr>
  </w:style>
  <w:style w:type="character" w:styleId="Style13">
    <w:name w:val="默认段落字体"/>
    <w:qFormat/>
    <w:rPr/>
  </w:style>
  <w:style w:type="character" w:styleId="Style14">
    <w:name w:val="批注引用"/>
    <w:qFormat/>
    <w:rPr>
      <w:sz w:val="21"/>
      <w:szCs w:val="21"/>
    </w:rPr>
  </w:style>
  <w:style w:type="character" w:styleId="Style15">
    <w:name w:val="批注文字 字符"/>
    <w:qFormat/>
    <w:rPr>
      <w:kern w:val="2"/>
      <w:sz w:val="21"/>
      <w:szCs w:val="24"/>
    </w:rPr>
  </w:style>
  <w:style w:type="character" w:styleId="Style16">
    <w:name w:val="批注主题 字符"/>
    <w:qFormat/>
    <w:rPr>
      <w:b/>
      <w:bCs/>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批注框文本"/>
    <w:basedOn w:val="Normal"/>
    <w:qFormat/>
    <w:pPr/>
    <w:rPr>
      <w:sz w:val="18"/>
      <w:szCs w:val="18"/>
    </w:rPr>
  </w:style>
  <w:style w:type="paragraph" w:styleId="Style18">
    <w:name w:val="日期"/>
    <w:basedOn w:val="Normal"/>
    <w:next w:val="Normal"/>
    <w:qFormat/>
    <w:pPr>
      <w:ind w:hanging="0" w:left="100" w:right="0"/>
    </w:pPr>
    <w:rPr/>
  </w:style>
  <w:style w:type="paragraph" w:styleId="Style19">
    <w:name w:val="批注文字"/>
    <w:basedOn w:val="Normal"/>
    <w:qFormat/>
    <w:pPr>
      <w:jc w:val="left"/>
    </w:pPr>
    <w:rPr/>
  </w:style>
  <w:style w:type="paragraph" w:styleId="Style20">
    <w:name w:val="批注主题"/>
    <w:basedOn w:val="Style19"/>
    <w:next w:val="Style19"/>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2020-01-08T16:21:00Z</dcterms:created>
  <dc:creator>电脑城装机专用版</dc:creator>
  <dc:description/>
  <cp:keywords/>
  <dc:language>zh-CN</dc:language>
  <cp:lastModifiedBy>IAlpaca</cp:lastModifiedBy>
  <cp:lastPrinted>2013-10-21T11:04:00Z</cp:lastPrinted>
  <dcterms:modified xsi:type="dcterms:W3CDTF">2020-01-08T16:21:00Z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