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2246" w14:textId="77777777" w:rsidR="005F7390" w:rsidRPr="007534AA" w:rsidRDefault="005F7390" w:rsidP="007534AA">
      <w:pPr>
        <w:pStyle w:val="aa"/>
        <w:ind w:firstLineChars="0" w:firstLine="0"/>
      </w:pPr>
      <w:r w:rsidRPr="007534AA">
        <w:rPr>
          <w:rFonts w:hint="eastAsia"/>
        </w:rPr>
        <w:t>便民宝商户管理办法</w:t>
      </w:r>
    </w:p>
    <w:p w14:paraId="3F10B89D" w14:textId="77777777" w:rsidR="005F7390" w:rsidRPr="007534AA" w:rsidRDefault="005F7390" w:rsidP="007534AA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003DDF">
        <w:rPr>
          <w:rFonts w:ascii="仿宋_GB2312" w:hAnsi="华文中宋" w:hint="eastAsia"/>
          <w:b/>
          <w:sz w:val="28"/>
          <w:szCs w:val="28"/>
        </w:rPr>
        <w:t>第一章  总则</w:t>
      </w:r>
    </w:p>
    <w:p w14:paraId="7F872910" w14:textId="2434F6B3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第一条 </w:t>
      </w:r>
      <w:r w:rsidR="00827B3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为建立和完善管理体系，规范便民宝商户行为，提升金融服务水平，根据</w:t>
      </w:r>
      <w:r w:rsidR="007561C9" w:rsidRPr="007561C9">
        <w:rPr>
          <w:rFonts w:ascii="仿宋_GB2312" w:hAnsi="宋体" w:hint="eastAsia"/>
          <w:sz w:val="28"/>
          <w:szCs w:val="28"/>
        </w:rPr>
        <w:t>《中国人民银行关于推广银行卡助农取款服务的通知》</w:t>
      </w:r>
      <w:r w:rsidRPr="00003DDF">
        <w:rPr>
          <w:rFonts w:ascii="仿宋_GB2312" w:hAnsi="宋体" w:hint="eastAsia"/>
          <w:sz w:val="28"/>
          <w:szCs w:val="28"/>
        </w:rPr>
        <w:t>、《圆鼎借记卡管理办法》、《便民宝业务管理办法》等文件规定，特制定本办法。</w:t>
      </w:r>
    </w:p>
    <w:p w14:paraId="7F3F3655" w14:textId="366F27D5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第二条 </w:t>
      </w:r>
      <w:r w:rsidR="00827B3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本办法适用便民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宝所有</w:t>
      </w:r>
      <w:proofErr w:type="gramEnd"/>
      <w:r w:rsidRPr="00003DDF">
        <w:rPr>
          <w:rFonts w:ascii="仿宋_GB2312" w:hAnsi="宋体" w:hint="eastAsia"/>
          <w:sz w:val="28"/>
          <w:szCs w:val="28"/>
        </w:rPr>
        <w:t>商户。</w:t>
      </w:r>
    </w:p>
    <w:p w14:paraId="37144DE5" w14:textId="1B1774A2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第三条 </w:t>
      </w:r>
      <w:r w:rsidR="00827B3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本办法所指便民宝是</w:t>
      </w:r>
      <w:r w:rsidR="00D622B4">
        <w:rPr>
          <w:rFonts w:ascii="仿宋_GB2312" w:hAnsi="宋体" w:hint="eastAsia"/>
          <w:sz w:val="28"/>
          <w:szCs w:val="28"/>
        </w:rPr>
        <w:t>本行</w:t>
      </w:r>
      <w:bookmarkStart w:id="0" w:name="_GoBack"/>
      <w:bookmarkEnd w:id="0"/>
      <w:r w:rsidRPr="00003DDF">
        <w:rPr>
          <w:rFonts w:ascii="仿宋_GB2312" w:hint="eastAsia"/>
          <w:kern w:val="10"/>
          <w:sz w:val="28"/>
          <w:szCs w:val="28"/>
        </w:rPr>
        <w:t>布放的</w:t>
      </w:r>
      <w:r w:rsidRPr="00003DDF">
        <w:rPr>
          <w:rFonts w:ascii="仿宋_GB2312" w:hAnsi="宋体" w:hint="eastAsia"/>
          <w:sz w:val="28"/>
          <w:szCs w:val="28"/>
        </w:rPr>
        <w:t>，为辖内持有圆鼎借记卡和活期存折的农户提供查询、转账、消费、缴款、小额取款等服务的电话终端。</w:t>
      </w:r>
    </w:p>
    <w:p w14:paraId="2953A47A" w14:textId="77777777" w:rsidR="005F7390" w:rsidRPr="00827B31" w:rsidRDefault="005F7390" w:rsidP="00827B31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827B31">
        <w:rPr>
          <w:rFonts w:ascii="仿宋_GB2312" w:hAnsi="华文中宋" w:hint="eastAsia"/>
          <w:b/>
          <w:sz w:val="28"/>
          <w:szCs w:val="28"/>
        </w:rPr>
        <w:t>第二章  资金管理</w:t>
      </w:r>
    </w:p>
    <w:p w14:paraId="08D9B138" w14:textId="16C30DE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第四条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宝业务</w:t>
      </w:r>
      <w:proofErr w:type="gramEnd"/>
      <w:r w:rsidRPr="00003DDF">
        <w:rPr>
          <w:rFonts w:ascii="仿宋_GB2312" w:hAnsi="宋体" w:hint="eastAsia"/>
          <w:sz w:val="28"/>
          <w:szCs w:val="28"/>
        </w:rPr>
        <w:t>办理过程中所需的资金，均为商户自有资金，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商户</w:t>
      </w:r>
      <w:proofErr w:type="gramEnd"/>
      <w:r w:rsidRPr="00003DDF">
        <w:rPr>
          <w:rFonts w:ascii="仿宋_GB2312" w:hAnsi="宋体" w:hint="eastAsia"/>
          <w:sz w:val="28"/>
          <w:szCs w:val="28"/>
        </w:rPr>
        <w:t>须有足够的实力、资金从事便民宝相关业务。</w:t>
      </w:r>
    </w:p>
    <w:p w14:paraId="4BB08B48" w14:textId="53F90F43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第五条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圆鼎借记卡上</w:t>
      </w:r>
      <w:proofErr w:type="gramEnd"/>
      <w:r w:rsidRPr="00003DDF">
        <w:rPr>
          <w:rFonts w:ascii="仿宋_GB2312" w:hAnsi="宋体" w:hint="eastAsia"/>
          <w:sz w:val="28"/>
          <w:szCs w:val="28"/>
        </w:rPr>
        <w:t>的资金及常备</w:t>
      </w:r>
      <w:proofErr w:type="gramStart"/>
      <w:r w:rsidRPr="00003DDF">
        <w:rPr>
          <w:rFonts w:ascii="仿宋_GB2312" w:hAnsi="宋体" w:hint="eastAsia"/>
          <w:sz w:val="28"/>
          <w:szCs w:val="28"/>
        </w:rPr>
        <w:t>现金量须满</w:t>
      </w:r>
      <w:proofErr w:type="gramEnd"/>
      <w:r w:rsidRPr="00003DDF">
        <w:rPr>
          <w:rFonts w:ascii="仿宋_GB2312" w:hAnsi="宋体" w:hint="eastAsia"/>
          <w:sz w:val="28"/>
          <w:szCs w:val="28"/>
        </w:rPr>
        <w:t>足本地客户日常取款、新农保缴费等业务办理的资金需求。商户现金不足时，须及时组织现金，现金过多时须将多余的现金及时解缴到开户网点绑定卡上。</w:t>
      </w:r>
    </w:p>
    <w:p w14:paraId="4EDC2505" w14:textId="77777777" w:rsidR="005F7390" w:rsidRPr="00827B31" w:rsidRDefault="005F7390" w:rsidP="00827B31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827B31">
        <w:rPr>
          <w:rFonts w:ascii="仿宋_GB2312" w:hAnsi="华文中宋" w:hint="eastAsia"/>
          <w:b/>
          <w:sz w:val="28"/>
          <w:szCs w:val="28"/>
        </w:rPr>
        <w:t>第三章  风险防范</w:t>
      </w:r>
    </w:p>
    <w:p w14:paraId="6E84FED0" w14:textId="677EDB70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第六条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商户在办理业务完毕后，必须保管好由客户签字确认的交易凭条，</w:t>
      </w:r>
      <w:r w:rsidRPr="00003DDF">
        <w:rPr>
          <w:rFonts w:ascii="仿宋_GB2312" w:hint="eastAsia"/>
          <w:kern w:val="10"/>
          <w:sz w:val="28"/>
          <w:szCs w:val="28"/>
        </w:rPr>
        <w:t>及时将交易凭条粘贴于业务登记簿，并将每笔业务及时登记到《便民宝业务登记簿》</w:t>
      </w:r>
      <w:r w:rsidRPr="00003DDF">
        <w:rPr>
          <w:rFonts w:ascii="仿宋_GB2312" w:hAnsi="宋体" w:hint="eastAsia"/>
          <w:sz w:val="28"/>
          <w:szCs w:val="28"/>
        </w:rPr>
        <w:t>，由客户签名或按指纹确认，每月由营业</w:t>
      </w:r>
      <w:r w:rsidRPr="00003DDF">
        <w:rPr>
          <w:rFonts w:ascii="仿宋_GB2312" w:hAnsi="宋体" w:hint="eastAsia"/>
          <w:sz w:val="28"/>
          <w:szCs w:val="28"/>
        </w:rPr>
        <w:lastRenderedPageBreak/>
        <w:t>网点分工客户经理核对确认。</w:t>
      </w:r>
    </w:p>
    <w:p w14:paraId="7F307522" w14:textId="5B462A11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第七条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商户必须每天进行轧账，轧账方法为：用上次轧账余额加上绑定卡转入金额，减去绑定卡转出金额，得到本期余额，然后在</w:t>
      </w:r>
      <w:proofErr w:type="gramStart"/>
      <w:r w:rsidRPr="00003DDF">
        <w:rPr>
          <w:rFonts w:ascii="仿宋_GB2312" w:hAnsi="宋体" w:hint="eastAsia"/>
          <w:sz w:val="28"/>
          <w:szCs w:val="28"/>
        </w:rPr>
        <w:t>便民宝上查询</w:t>
      </w:r>
      <w:proofErr w:type="gramEnd"/>
      <w:r w:rsidRPr="00003DDF">
        <w:rPr>
          <w:rFonts w:ascii="仿宋_GB2312" w:hAnsi="宋体" w:hint="eastAsia"/>
          <w:sz w:val="28"/>
          <w:szCs w:val="28"/>
        </w:rPr>
        <w:t>出绑定卡余额，两个余额核对一致，则轧账成功；若不一致，则应仔细核对登记簿，查找原因。若仍然无法核对正确，则应联系开户网点，请开户网点提供便民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宝发生</w:t>
      </w:r>
      <w:proofErr w:type="gramEnd"/>
      <w:r w:rsidRPr="00003DDF">
        <w:rPr>
          <w:rFonts w:ascii="仿宋_GB2312" w:hAnsi="宋体" w:hint="eastAsia"/>
          <w:sz w:val="28"/>
          <w:szCs w:val="28"/>
        </w:rPr>
        <w:t>明细及绑定卡业务发生明细协助查找。</w:t>
      </w:r>
    </w:p>
    <w:p w14:paraId="010A980F" w14:textId="2DC8B4C1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第八条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商户要向持卡人明示安全用卡须知、假币识别、举报投诉电话等事项。要加强宣传，引导客户全面了解并正确使用便民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宝提供</w:t>
      </w:r>
      <w:proofErr w:type="gramEnd"/>
      <w:r w:rsidRPr="00003DDF">
        <w:rPr>
          <w:rFonts w:ascii="仿宋_GB2312" w:hAnsi="宋体" w:hint="eastAsia"/>
          <w:sz w:val="28"/>
          <w:szCs w:val="28"/>
        </w:rPr>
        <w:t>的服务，培养持卡人正确的用卡习惯。</w:t>
      </w:r>
    </w:p>
    <w:p w14:paraId="0E7830EC" w14:textId="07CB1D25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cs="Tahoma" w:hint="eastAsia"/>
          <w:sz w:val="28"/>
          <w:szCs w:val="28"/>
        </w:rPr>
        <w:t xml:space="preserve">第九条 </w:t>
      </w:r>
      <w:r w:rsidR="00D53501">
        <w:rPr>
          <w:rFonts w:ascii="仿宋_GB2312" w:hAnsi="宋体" w:cs="Tahoma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商户要保证便民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宝业务</w:t>
      </w:r>
      <w:proofErr w:type="gramEnd"/>
      <w:r w:rsidRPr="00003DDF">
        <w:rPr>
          <w:rFonts w:ascii="仿宋_GB2312" w:hAnsi="宋体" w:hint="eastAsia"/>
          <w:sz w:val="28"/>
          <w:szCs w:val="28"/>
        </w:rPr>
        <w:t>办理场所的安全，安装防盗门、窗，配备保险箱（柜），必要时须安装监控设备。商户到本行解缴、提取现金时，要有必要的安全防范措施，在此过程中出现的安保问题由商户自行负责。</w:t>
      </w:r>
    </w:p>
    <w:p w14:paraId="33F98D6D" w14:textId="1629BD6E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商户对客户的交易记录等资料负有保密义务，不得向第三方透露，法律另有规定的除外。</w:t>
      </w:r>
    </w:p>
    <w:p w14:paraId="06F8869A" w14:textId="5A54E626" w:rsidR="005F7390" w:rsidRPr="00003DDF" w:rsidRDefault="005F7390" w:rsidP="00827B31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第十一条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同一持卡人在商户处办理取现业务时，每卡每日提现不得超过2000元，</w:t>
      </w:r>
      <w:r w:rsidRPr="00003DDF">
        <w:rPr>
          <w:rFonts w:ascii="仿宋_GB2312" w:hint="eastAsia"/>
          <w:kern w:val="10"/>
          <w:sz w:val="28"/>
          <w:szCs w:val="28"/>
        </w:rPr>
        <w:t>每月提现累计不超过12次；消费每卡每日不超过2次；转账每卡每日转出不超过2笔；新</w:t>
      </w:r>
      <w:proofErr w:type="gramStart"/>
      <w:r w:rsidRPr="00003DDF">
        <w:rPr>
          <w:rFonts w:ascii="仿宋_GB2312" w:hint="eastAsia"/>
          <w:kern w:val="10"/>
          <w:sz w:val="28"/>
          <w:szCs w:val="28"/>
        </w:rPr>
        <w:t>农保预缴款</w:t>
      </w:r>
      <w:proofErr w:type="gramEnd"/>
      <w:r w:rsidRPr="00003DDF">
        <w:rPr>
          <w:rFonts w:ascii="仿宋_GB2312" w:hint="eastAsia"/>
          <w:kern w:val="10"/>
          <w:sz w:val="28"/>
          <w:szCs w:val="28"/>
        </w:rPr>
        <w:t>每季转入卡号必须为新农保签约卡，每季转入卡号转入笔数不超过3笔；电费预缴款转入卡号必须为电费签约卡，每月转入卡号转入笔数不超过5笔。业务办理金额及次数的限制本行可根据相关规定予以调整。</w:t>
      </w:r>
    </w:p>
    <w:p w14:paraId="075080ED" w14:textId="77777777" w:rsidR="005F7390" w:rsidRPr="00827B31" w:rsidRDefault="005F7390" w:rsidP="00827B31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827B31">
        <w:rPr>
          <w:rFonts w:ascii="仿宋_GB2312" w:hAnsi="华文中宋" w:hint="eastAsia"/>
          <w:b/>
          <w:sz w:val="28"/>
          <w:szCs w:val="28"/>
        </w:rPr>
        <w:lastRenderedPageBreak/>
        <w:t>第四章  差错处理</w:t>
      </w:r>
    </w:p>
    <w:p w14:paraId="366EBE0E" w14:textId="060E1AB2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第十二条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出现系统通讯故障，交易未完成（未成功）的，不要重复交易。</w:t>
      </w:r>
    </w:p>
    <w:p w14:paraId="517DF8E3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办理取款业务，商户要通过查询持卡人卡余额、明细和自己绑定卡余额、明细，确认一致后才能付款。</w:t>
      </w:r>
    </w:p>
    <w:p w14:paraId="68C1FDDF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办理缴费业务，商户要通过查询持卡人卡余额、明细和自己绑定卡余额、明细，确认一致后，再决定是否收现。</w:t>
      </w:r>
    </w:p>
    <w:p w14:paraId="753532F1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信息核对不一致，需要稍作等待再重新查询，必要时联系开户网点协助查找。</w:t>
      </w:r>
    </w:p>
    <w:p w14:paraId="61C99FC0" w14:textId="6622DECD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第十三条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因商户操作失误引起的差错，商户应迅速联系差错持卡人，及时协商解决问题的办法。</w:t>
      </w:r>
    </w:p>
    <w:p w14:paraId="0F027E64" w14:textId="77777777" w:rsidR="005F7390" w:rsidRPr="00827B31" w:rsidRDefault="005F7390" w:rsidP="00827B31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827B31">
        <w:rPr>
          <w:rFonts w:ascii="仿宋_GB2312" w:hAnsi="华文中宋" w:hint="eastAsia"/>
          <w:b/>
          <w:sz w:val="28"/>
          <w:szCs w:val="28"/>
        </w:rPr>
        <w:t>第五章  纠纷处理</w:t>
      </w:r>
    </w:p>
    <w:p w14:paraId="6DB77C8C" w14:textId="62CA4AE4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第十四条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持卡人对现钞有争议的，商户应当场处理。</w:t>
      </w:r>
    </w:p>
    <w:p w14:paraId="1C4C5BC7" w14:textId="05A806AA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第十五条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持卡人对交易有争议的，商户应立即轧账，确认业务无差错后才能继续办理下一笔业务；若出现账务差错且无法查找的情况，可联系开户网点协助查找。</w:t>
      </w:r>
    </w:p>
    <w:p w14:paraId="3869AAE0" w14:textId="2137E6D6" w:rsidR="005F7390" w:rsidRPr="00827B31" w:rsidRDefault="005F7390" w:rsidP="00827B31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827B31">
        <w:rPr>
          <w:rFonts w:ascii="仿宋_GB2312" w:hAnsi="华文中宋" w:hint="eastAsia"/>
          <w:b/>
          <w:sz w:val="28"/>
          <w:szCs w:val="28"/>
        </w:rPr>
        <w:t>第六章   其他</w:t>
      </w:r>
    </w:p>
    <w:p w14:paraId="48CD1516" w14:textId="1A146893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第十六条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商户应将便民宝等设备放置在指定位置，机器上的易碎标签应保持完整，且不得改动或者加装其他设备。</w:t>
      </w:r>
    </w:p>
    <w:p w14:paraId="7EAED24B" w14:textId="1BFC8774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第十七条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商户应保持便民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宝设备</w:t>
      </w:r>
      <w:proofErr w:type="gramEnd"/>
      <w:r w:rsidRPr="00003DDF">
        <w:rPr>
          <w:rFonts w:ascii="仿宋_GB2312" w:hAnsi="宋体" w:hint="eastAsia"/>
          <w:sz w:val="28"/>
          <w:szCs w:val="28"/>
        </w:rPr>
        <w:t>及使用环境的整洁卫生。</w:t>
      </w:r>
    </w:p>
    <w:p w14:paraId="13C67744" w14:textId="41E51B85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第十八条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本行与商户之间为合作关系，商户在为持卡人办理业务时产生的通讯费用，本行将根据实际情况给予补贴。</w:t>
      </w:r>
    </w:p>
    <w:p w14:paraId="3FDA3475" w14:textId="08B54DEE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lastRenderedPageBreak/>
        <w:t xml:space="preserve">第十九条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本行与便民宝商户签订《便民宝服务协议》，该合作协议为一年一签，在每年协议到期前应与本行续签下一年的合作协议。</w:t>
      </w:r>
    </w:p>
    <w:p w14:paraId="311B54A8" w14:textId="5C09F2C3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第二十条 </w:t>
      </w:r>
      <w:r w:rsidR="007C571D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商户有（但不仅限于）下列情况之一的，本行将终止与商户的协议：</w:t>
      </w:r>
    </w:p>
    <w:p w14:paraId="008B76F2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（一）商户违反本协议，将便民宝藏匿、损毁影响使用的；</w:t>
      </w:r>
    </w:p>
    <w:p w14:paraId="015EC117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（二）恶意拆分业务逃避交易限制的，除终止协议外，本行将向商户追索</w:t>
      </w:r>
      <w:proofErr w:type="gramStart"/>
      <w:r w:rsidRPr="00003DDF">
        <w:rPr>
          <w:rFonts w:ascii="仿宋_GB2312" w:hAnsi="宋体" w:hint="eastAsia"/>
          <w:sz w:val="28"/>
          <w:szCs w:val="28"/>
        </w:rPr>
        <w:t>虚假业务</w:t>
      </w:r>
      <w:proofErr w:type="gramEnd"/>
      <w:r w:rsidRPr="00003DDF">
        <w:rPr>
          <w:rFonts w:ascii="仿宋_GB2312" w:hAnsi="宋体" w:hint="eastAsia"/>
          <w:sz w:val="28"/>
          <w:szCs w:val="28"/>
        </w:rPr>
        <w:t>产生的通讯费；</w:t>
      </w:r>
    </w:p>
    <w:p w14:paraId="2B22320D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（三）因年龄较大等原因丧失便民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宝业务</w:t>
      </w:r>
      <w:proofErr w:type="gramEnd"/>
      <w:r w:rsidRPr="00003DDF">
        <w:rPr>
          <w:rFonts w:ascii="仿宋_GB2312" w:hAnsi="宋体" w:hint="eastAsia"/>
          <w:sz w:val="28"/>
          <w:szCs w:val="28"/>
        </w:rPr>
        <w:t>操作能力的；</w:t>
      </w:r>
    </w:p>
    <w:p w14:paraId="59E6DF85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（四）信誉差、借便民</w:t>
      </w:r>
      <w:proofErr w:type="gramStart"/>
      <w:r w:rsidRPr="00003DDF">
        <w:rPr>
          <w:rFonts w:ascii="仿宋_GB2312" w:hAnsi="宋体" w:hint="eastAsia"/>
          <w:sz w:val="28"/>
          <w:szCs w:val="28"/>
        </w:rPr>
        <w:t>宝业务</w:t>
      </w:r>
      <w:proofErr w:type="gramEnd"/>
      <w:r w:rsidRPr="00003DDF">
        <w:rPr>
          <w:rFonts w:ascii="仿宋_GB2312" w:hAnsi="宋体" w:hint="eastAsia"/>
          <w:sz w:val="28"/>
          <w:szCs w:val="28"/>
        </w:rPr>
        <w:t>强制销售商品、服务态度差、消费者反映强烈的；</w:t>
      </w:r>
    </w:p>
    <w:p w14:paraId="0919C4C1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（五）营业不正常，业务量偏低，难以履行为民服务职责的；</w:t>
      </w:r>
    </w:p>
    <w:p w14:paraId="3C9DCA39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（六）申请时隐瞒劣迹事实，在当地有负面影响，消费者普遍对其反感的；</w:t>
      </w:r>
    </w:p>
    <w:p w14:paraId="0C63C9B2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（七）停业转行或营业场所搬迁至偏僻区域，不便持卡人办理本行业务的；</w:t>
      </w:r>
    </w:p>
    <w:p w14:paraId="6B3D7519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（八）商户与第三方发生类似本协议的服务行为的；</w:t>
      </w:r>
    </w:p>
    <w:p w14:paraId="2FC22C34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（九）商户</w:t>
      </w:r>
      <w:r w:rsidRPr="00003DDF">
        <w:rPr>
          <w:rFonts w:ascii="仿宋_GB2312" w:hAnsi="仿宋_GB2312" w:cs="仿宋_GB2312" w:hint="eastAsia"/>
          <w:sz w:val="28"/>
          <w:szCs w:val="28"/>
        </w:rPr>
        <w:t>参与吸储、放贷、集资以及民间借贷等活动的；</w:t>
      </w:r>
    </w:p>
    <w:p w14:paraId="4726A4ED" w14:textId="77777777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>（十）其他有损坏本行声誉、损害消费者利益的。</w:t>
      </w:r>
    </w:p>
    <w:p w14:paraId="3091F05D" w14:textId="3BF75187" w:rsidR="005F7390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t xml:space="preserve">第二十一条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对存在欺诈、套现、卡片侧录、利用受理终端不正当牟利、故意使用假币等行为的商户，本行应立即终止协议、收回受理终端和标识牌，构成犯罪的，将移交司法机关。</w:t>
      </w:r>
    </w:p>
    <w:p w14:paraId="19FF6E2E" w14:textId="677DD01C" w:rsidR="001A0086" w:rsidRPr="001A0086" w:rsidRDefault="001A0086" w:rsidP="001A0086">
      <w:pPr>
        <w:spacing w:beforeLines="50" w:before="156" w:line="360" w:lineRule="auto"/>
        <w:jc w:val="center"/>
        <w:rPr>
          <w:rFonts w:ascii="仿宋_GB2312" w:hAnsi="华文中宋"/>
          <w:b/>
          <w:sz w:val="28"/>
          <w:szCs w:val="28"/>
        </w:rPr>
      </w:pPr>
      <w:r w:rsidRPr="001A0086">
        <w:rPr>
          <w:rFonts w:ascii="仿宋_GB2312" w:hAnsi="华文中宋" w:hint="eastAsia"/>
          <w:b/>
          <w:sz w:val="28"/>
          <w:szCs w:val="28"/>
        </w:rPr>
        <w:t>第七章  附则</w:t>
      </w:r>
    </w:p>
    <w:p w14:paraId="69BEF893" w14:textId="2E7B48B4" w:rsidR="005F7390" w:rsidRPr="00003DDF" w:rsidRDefault="005F7390" w:rsidP="00003DDF">
      <w:pPr>
        <w:spacing w:line="360" w:lineRule="auto"/>
        <w:ind w:firstLineChars="200" w:firstLine="560"/>
        <w:rPr>
          <w:rFonts w:ascii="仿宋_GB2312" w:hAnsi="宋体"/>
          <w:sz w:val="28"/>
          <w:szCs w:val="28"/>
        </w:rPr>
      </w:pPr>
      <w:r w:rsidRPr="00003DDF">
        <w:rPr>
          <w:rFonts w:ascii="仿宋_GB2312" w:hAnsi="宋体" w:hint="eastAsia"/>
          <w:sz w:val="28"/>
          <w:szCs w:val="28"/>
        </w:rPr>
        <w:lastRenderedPageBreak/>
        <w:t xml:space="preserve">第二十二条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本办法由负责解释和修订。</w:t>
      </w:r>
    </w:p>
    <w:p w14:paraId="3197E108" w14:textId="78663C74" w:rsidR="00A25338" w:rsidRPr="005F7390" w:rsidRDefault="005F7390" w:rsidP="00827B31">
      <w:pPr>
        <w:spacing w:line="360" w:lineRule="auto"/>
        <w:ind w:firstLineChars="200" w:firstLine="560"/>
      </w:pPr>
      <w:r w:rsidRPr="00003DDF">
        <w:rPr>
          <w:rFonts w:ascii="仿宋_GB2312" w:hAnsi="宋体" w:hint="eastAsia"/>
          <w:sz w:val="28"/>
          <w:szCs w:val="28"/>
        </w:rPr>
        <w:t xml:space="preserve">第二十三条 </w:t>
      </w:r>
      <w:r w:rsidR="00D53501">
        <w:rPr>
          <w:rFonts w:ascii="仿宋_GB2312" w:hAnsi="宋体"/>
          <w:sz w:val="28"/>
          <w:szCs w:val="28"/>
        </w:rPr>
        <w:t xml:space="preserve"> </w:t>
      </w:r>
      <w:r w:rsidRPr="00003DDF">
        <w:rPr>
          <w:rFonts w:ascii="仿宋_GB2312" w:hAnsi="宋体" w:hint="eastAsia"/>
          <w:sz w:val="28"/>
          <w:szCs w:val="28"/>
        </w:rPr>
        <w:t>本办法自文发之日起执行。</w:t>
      </w:r>
    </w:p>
    <w:sectPr w:rsidR="00A25338" w:rsidRPr="005F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0917" w14:textId="77777777" w:rsidR="00513378" w:rsidRDefault="00513378" w:rsidP="00E22037">
      <w:r>
        <w:separator/>
      </w:r>
    </w:p>
  </w:endnote>
  <w:endnote w:type="continuationSeparator" w:id="0">
    <w:p w14:paraId="3280D24E" w14:textId="77777777" w:rsidR="00513378" w:rsidRDefault="00513378" w:rsidP="00E2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76EFF" w14:textId="77777777" w:rsidR="00513378" w:rsidRDefault="00513378" w:rsidP="00E22037">
      <w:r>
        <w:separator/>
      </w:r>
    </w:p>
  </w:footnote>
  <w:footnote w:type="continuationSeparator" w:id="0">
    <w:p w14:paraId="0845C875" w14:textId="77777777" w:rsidR="00513378" w:rsidRDefault="00513378" w:rsidP="00E22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EB"/>
    <w:rsid w:val="0000272F"/>
    <w:rsid w:val="00003DDF"/>
    <w:rsid w:val="000D36E8"/>
    <w:rsid w:val="001549D3"/>
    <w:rsid w:val="001A0086"/>
    <w:rsid w:val="00374386"/>
    <w:rsid w:val="00513378"/>
    <w:rsid w:val="005F7390"/>
    <w:rsid w:val="007534AA"/>
    <w:rsid w:val="007561C9"/>
    <w:rsid w:val="007B5091"/>
    <w:rsid w:val="007C571D"/>
    <w:rsid w:val="00827B31"/>
    <w:rsid w:val="008360A4"/>
    <w:rsid w:val="009E13EB"/>
    <w:rsid w:val="00A25338"/>
    <w:rsid w:val="00C35E8A"/>
    <w:rsid w:val="00C3766B"/>
    <w:rsid w:val="00D53501"/>
    <w:rsid w:val="00D622B4"/>
    <w:rsid w:val="00DB77A7"/>
    <w:rsid w:val="00E22037"/>
    <w:rsid w:val="00F41E79"/>
    <w:rsid w:val="00FA59C4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7E92"/>
  <w15:chartTrackingRefBased/>
  <w15:docId w15:val="{A04DB4AC-00B0-4896-807A-9847D66E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390"/>
    <w:pPr>
      <w:widowControl w:val="0"/>
      <w:jc w:val="both"/>
    </w:pPr>
    <w:rPr>
      <w:rFonts w:ascii="Calibri" w:eastAsia="仿宋_GB2312" w:hAnsi="Calibri" w:cs="Times New Roman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549D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549D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549D3"/>
    <w:rPr>
      <w:rFonts w:ascii="Calibri" w:eastAsia="仿宋_GB2312" w:hAnsi="Calibri" w:cs="Times New Roman"/>
      <w:sz w:val="3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549D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549D3"/>
    <w:rPr>
      <w:rFonts w:ascii="Calibri" w:eastAsia="仿宋_GB2312" w:hAnsi="Calibri" w:cs="Times New Roman"/>
      <w:b/>
      <w:bCs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549D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49D3"/>
    <w:rPr>
      <w:rFonts w:ascii="Calibri" w:eastAsia="仿宋_GB2312" w:hAnsi="Calibri" w:cs="Times New Roman"/>
      <w:sz w:val="18"/>
      <w:szCs w:val="18"/>
    </w:rPr>
  </w:style>
  <w:style w:type="paragraph" w:customStyle="1" w:styleId="aa">
    <w:name w:val="二级标题"/>
    <w:basedOn w:val="2"/>
    <w:qFormat/>
    <w:rsid w:val="00003DDF"/>
    <w:pPr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03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E2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22037"/>
    <w:rPr>
      <w:rFonts w:ascii="Calibri" w:eastAsia="仿宋_GB2312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2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22037"/>
    <w:rPr>
      <w:rFonts w:ascii="Calibri" w:eastAsia="仿宋_GB2312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 凡琦</cp:lastModifiedBy>
  <cp:revision>4</cp:revision>
  <dcterms:created xsi:type="dcterms:W3CDTF">2020-01-08T08:21:00Z</dcterms:created>
  <dcterms:modified xsi:type="dcterms:W3CDTF">2020-01-10T11:41:00Z</dcterms:modified>
</cp:coreProperties>
</file>