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cs="仿宋_GB2312;仿宋" w:eastAsia="仿宋_GB2312;仿宋"/>
          <w:sz w:val="28"/>
          <w:szCs w:val="28"/>
        </w:rPr>
        <w:t xml:space="preserve">   </w:t>
      </w:r>
    </w:p>
    <w:p>
      <w:pPr>
        <w:pStyle w:val="Style14"/>
        <w:ind w:hanging="0" w:right="0"/>
        <w:rPr/>
      </w:pPr>
      <w:r>
        <w:rPr/>
        <w:t>诉讼费用管理办法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第一条 为规范诉讼费用的管理，保证本行垫支诉讼费用按期收回，</w:t>
      </w:r>
      <w:r>
        <w:rPr>
          <w:rFonts w:ascii="仿宋_GB2312;仿宋" w:hAnsi="仿宋_GB2312;仿宋" w:cs="仿宋" w:eastAsia="仿宋_GB2312;仿宋"/>
          <w:sz w:val="28"/>
          <w:szCs w:val="28"/>
        </w:rPr>
        <w:t>根据</w:t>
      </w:r>
      <w:r>
        <w:rPr>
          <w:rFonts w:eastAsia="仿宋_GB2312;仿宋"/>
          <w:sz w:val="28"/>
          <w:szCs w:val="28"/>
        </w:rPr>
        <w:t>《中华人民共和国商业银行法》</w:t>
      </w:r>
      <w:r>
        <w:rPr>
          <w:rFonts w:ascii="仿宋_GB2312;仿宋" w:hAnsi="仿宋_GB2312;仿宋" w:cs="仿宋" w:eastAsia="仿宋_GB2312;仿宋"/>
          <w:sz w:val="28"/>
          <w:szCs w:val="28"/>
        </w:rPr>
        <w:t>结合本行经营管理实际情况，</w:t>
      </w:r>
      <w:r>
        <w:rPr>
          <w:rFonts w:ascii="仿宋_GB2312;仿宋" w:hAnsi="仿宋_GB2312;仿宋" w:eastAsia="仿宋_GB2312;仿宋"/>
          <w:sz w:val="28"/>
          <w:szCs w:val="28"/>
        </w:rPr>
        <w:t>特制定本办法。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jc w:val="center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第一章 诉讼费用借款的申请及报批流程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cs="仿宋_GB2312;仿宋" w:eastAsia="仿宋_GB2312;仿宋"/>
          <w:sz w:val="28"/>
          <w:szCs w:val="28"/>
        </w:rPr>
        <w:t xml:space="preserve">  </w:t>
      </w:r>
      <w:r>
        <w:rPr>
          <w:rFonts w:ascii="仿宋_GB2312;仿宋" w:hAnsi="仿宋_GB2312;仿宋" w:cs="仿宋_GB2312;仿宋" w:eastAsia="仿宋_GB2312;仿宋"/>
          <w:sz w:val="28"/>
          <w:szCs w:val="28"/>
        </w:rPr>
        <w:t xml:space="preserve">  </w:t>
      </w:r>
      <w:r>
        <w:rPr>
          <w:rFonts w:ascii="仿宋_GB2312;仿宋" w:hAnsi="仿宋_GB2312;仿宋" w:eastAsia="仿宋_GB2312;仿宋"/>
          <w:sz w:val="28"/>
          <w:szCs w:val="28"/>
        </w:rPr>
        <w:t xml:space="preserve">第二条  各支行（部）会办 </w:t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（一）各支行会办时由借款人提出借款申请，经所在支行行长、运营主管、贷款清收</w:t>
      </w:r>
      <w:r>
        <w:rPr>
          <w:rFonts w:eastAsia="仿宋_GB2312;仿宋" w:ascii="仿宋_GB2312;仿宋" w:hAnsi="仿宋_GB2312;仿宋"/>
          <w:sz w:val="28"/>
          <w:szCs w:val="28"/>
        </w:rPr>
        <w:t>B</w:t>
      </w:r>
      <w:r>
        <w:rPr>
          <w:rFonts w:ascii="仿宋_GB2312;仿宋" w:hAnsi="仿宋_GB2312;仿宋" w:eastAsia="仿宋_GB2312;仿宋"/>
          <w:sz w:val="28"/>
          <w:szCs w:val="28"/>
        </w:rPr>
        <w:t>角会办同意签字确认填表。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（二）各部门会办时由借款人提出借款申请由所在部门负责人、团队经理或组长、贷款清收</w:t>
      </w:r>
      <w:r>
        <w:rPr>
          <w:rFonts w:eastAsia="仿宋_GB2312;仿宋" w:ascii="仿宋_GB2312;仿宋" w:hAnsi="仿宋_GB2312;仿宋"/>
          <w:sz w:val="28"/>
          <w:szCs w:val="28"/>
        </w:rPr>
        <w:t>B</w:t>
      </w:r>
      <w:r>
        <w:rPr>
          <w:rFonts w:ascii="仿宋_GB2312;仿宋" w:hAnsi="仿宋_GB2312;仿宋" w:eastAsia="仿宋_GB2312;仿宋"/>
          <w:sz w:val="28"/>
          <w:szCs w:val="28"/>
        </w:rPr>
        <w:t>角会办同意签字确认填表。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 xml:space="preserve">第三条  相关部门审批  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（一）资产保全部负责审核借款合同、借据、催收通知书、还贷证明等信贷档案以及《诉讼费、执行费、收产抵债费用（以下统称诉讼费）呈批表》、《代垫费用明细清单》和《代垫诉讼费用借条》的真实性和完整性，认为有必要同意借用诉讼费的由资产保全部负责人在《诉讼费呈批表》上签署意见并签字确认，同时加盖本部门公章。</w:t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（二）计划财务部负责审核诉讼费用和借款期限是否符合相关要求，审核无误后，由计划财务部部门负责人在《诉讼费呈批表》上签署意见并签字确认，同时加盖本部门公章。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 xml:space="preserve">第四条  行长审批  </w:t>
      </w:r>
    </w:p>
    <w:p>
      <w:pPr>
        <w:pStyle w:val="Normal"/>
        <w:ind w:firstLine="560" w:right="0"/>
        <w:rPr/>
      </w:pPr>
      <w:r>
        <w:rPr>
          <w:rFonts w:eastAsia="仿宋_GB2312;仿宋" w:ascii="仿宋_GB2312;仿宋" w:hAnsi="仿宋_GB2312;仿宋"/>
          <w:sz w:val="28"/>
          <w:szCs w:val="28"/>
        </w:rPr>
        <w:t>(</w:t>
      </w:r>
      <w:r>
        <w:rPr>
          <w:rFonts w:ascii="仿宋_GB2312;仿宋" w:hAnsi="仿宋_GB2312;仿宋" w:eastAsia="仿宋_GB2312;仿宋"/>
          <w:sz w:val="28"/>
          <w:szCs w:val="28"/>
        </w:rPr>
        <w:t>一</w:t>
      </w:r>
      <w:r>
        <w:rPr>
          <w:rFonts w:eastAsia="仿宋_GB2312;仿宋" w:ascii="仿宋_GB2312;仿宋" w:hAnsi="仿宋_GB2312;仿宋"/>
          <w:sz w:val="28"/>
          <w:szCs w:val="28"/>
        </w:rPr>
        <w:t>)</w:t>
      </w:r>
      <w:r>
        <w:rPr>
          <w:rFonts w:ascii="仿宋_GB2312;仿宋" w:hAnsi="仿宋_GB2312;仿宋" w:eastAsia="仿宋_GB2312;仿宋"/>
          <w:sz w:val="28"/>
          <w:szCs w:val="28"/>
        </w:rPr>
        <w:t>对单笔</w:t>
      </w:r>
      <w:r>
        <w:rPr>
          <w:rFonts w:eastAsia="仿宋_GB2312;仿宋" w:ascii="仿宋_GB2312;仿宋" w:hAnsi="仿宋_GB2312;仿宋"/>
          <w:sz w:val="28"/>
          <w:szCs w:val="28"/>
        </w:rPr>
        <w:t>5</w:t>
      </w:r>
      <w:r>
        <w:rPr>
          <w:rFonts w:ascii="仿宋_GB2312;仿宋" w:hAnsi="仿宋_GB2312;仿宋" w:eastAsia="仿宋_GB2312;仿宋"/>
          <w:sz w:val="28"/>
          <w:szCs w:val="28"/>
        </w:rPr>
        <w:t>万元（含）以下的诉讼费用，报请本行分管财务的行长审批。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(</w:t>
      </w:r>
      <w:r>
        <w:rPr>
          <w:rFonts w:ascii="仿宋_GB2312;仿宋" w:hAnsi="仿宋_GB2312;仿宋" w:eastAsia="仿宋_GB2312;仿宋"/>
          <w:sz w:val="28"/>
          <w:szCs w:val="28"/>
        </w:rPr>
        <w:t>二</w:t>
      </w:r>
      <w:r>
        <w:rPr>
          <w:rFonts w:eastAsia="仿宋_GB2312;仿宋" w:ascii="仿宋_GB2312;仿宋" w:hAnsi="仿宋_GB2312;仿宋"/>
          <w:sz w:val="28"/>
          <w:szCs w:val="28"/>
        </w:rPr>
        <w:t>)</w:t>
      </w:r>
      <w:r>
        <w:rPr>
          <w:rFonts w:ascii="仿宋_GB2312;仿宋" w:hAnsi="仿宋_GB2312;仿宋" w:eastAsia="仿宋_GB2312;仿宋"/>
          <w:sz w:val="28"/>
          <w:szCs w:val="28"/>
        </w:rPr>
        <w:t>对单笔超过</w:t>
      </w:r>
      <w:r>
        <w:rPr>
          <w:rFonts w:eastAsia="仿宋_GB2312;仿宋" w:ascii="仿宋_GB2312;仿宋" w:hAnsi="仿宋_GB2312;仿宋"/>
          <w:sz w:val="28"/>
          <w:szCs w:val="28"/>
        </w:rPr>
        <w:t>5</w:t>
      </w:r>
      <w:r>
        <w:rPr>
          <w:rFonts w:ascii="仿宋_GB2312;仿宋" w:hAnsi="仿宋_GB2312;仿宋" w:eastAsia="仿宋_GB2312;仿宋"/>
          <w:sz w:val="28"/>
          <w:szCs w:val="28"/>
        </w:rPr>
        <w:t>万元的诉讼费用经财务管理审查委员会同意后，报请本行分管财务的行长签署意见。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cs="仿宋_GB2312;仿宋" w:eastAsia="仿宋_GB2312;仿宋"/>
          <w:sz w:val="28"/>
          <w:szCs w:val="28"/>
        </w:rPr>
        <w:t xml:space="preserve">   </w:t>
      </w:r>
      <w:r>
        <w:rPr>
          <w:rFonts w:ascii="仿宋_GB2312;仿宋" w:hAnsi="仿宋_GB2312;仿宋" w:cs="仿宋_GB2312;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eastAsia="仿宋_GB2312;仿宋"/>
          <w:sz w:val="28"/>
          <w:szCs w:val="28"/>
        </w:rPr>
        <w:t xml:space="preserve">第五条  计划财务部出账 </w:t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计划财务部按照相关批复及发票从“其他应收款”科目出账垫支诉讼费用，将款项汇至贷款清收责任人所在单位经费备用金账户，由贷款清收责任人领取。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仿宋_GB2312;仿宋" w:hAnsi="仿宋_GB2312;仿宋" w:eastAsia="仿宋_GB2312;仿宋"/>
          <w:sz w:val="28"/>
          <w:szCs w:val="28"/>
        </w:rPr>
        <w:t>第二章 诉讼费用审核及管理要求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第六条  诉讼费用审核要求</w:t>
      </w:r>
      <w:r>
        <w:rPr>
          <w:rFonts w:eastAsia="仿宋_GB2312;仿宋" w:ascii="仿宋_GB2312;仿宋" w:hAnsi="仿宋_GB2312;仿宋"/>
          <w:sz w:val="28"/>
          <w:szCs w:val="28"/>
        </w:rPr>
        <w:t>:</w:t>
      </w:r>
    </w:p>
    <w:p>
      <w:pPr>
        <w:pStyle w:val="Normal"/>
        <w:ind w:firstLine="560" w:right="0"/>
        <w:rPr/>
      </w:pPr>
      <w:r>
        <w:rPr>
          <w:rFonts w:eastAsia="仿宋_GB2312;仿宋" w:ascii="仿宋_GB2312;仿宋" w:hAnsi="仿宋_GB2312;仿宋"/>
          <w:sz w:val="28"/>
          <w:szCs w:val="28"/>
        </w:rPr>
        <w:t>1.</w:t>
      </w:r>
      <w:r>
        <w:rPr>
          <w:rFonts w:ascii="仿宋_GB2312;仿宋" w:hAnsi="仿宋_GB2312;仿宋" w:eastAsia="仿宋_GB2312;仿宋"/>
          <w:sz w:val="28"/>
          <w:szCs w:val="28"/>
        </w:rPr>
        <w:t>审核所借诉讼费的金额是否合理，是否符合相关的要求。</w:t>
      </w:r>
    </w:p>
    <w:p>
      <w:pPr>
        <w:pStyle w:val="Normal"/>
        <w:ind w:firstLine="560" w:right="0"/>
        <w:rPr/>
      </w:pPr>
      <w:r>
        <w:rPr>
          <w:rFonts w:eastAsia="仿宋_GB2312;仿宋" w:ascii="仿宋_GB2312;仿宋" w:hAnsi="仿宋_GB2312;仿宋"/>
          <w:sz w:val="28"/>
          <w:szCs w:val="28"/>
        </w:rPr>
        <w:t>2.</w:t>
      </w:r>
      <w:r>
        <w:rPr>
          <w:rFonts w:ascii="仿宋_GB2312;仿宋" w:hAnsi="仿宋_GB2312;仿宋" w:eastAsia="仿宋_GB2312;仿宋"/>
          <w:sz w:val="28"/>
          <w:szCs w:val="28"/>
        </w:rPr>
        <w:t>诉讼费用垫支的期限：一般情况下，诉讼费用垫支期限最长时间不得超过</w:t>
      </w:r>
      <w:r>
        <w:rPr>
          <w:rFonts w:eastAsia="仿宋_GB2312;仿宋" w:ascii="仿宋_GB2312;仿宋" w:hAnsi="仿宋_GB2312;仿宋"/>
          <w:sz w:val="28"/>
          <w:szCs w:val="28"/>
        </w:rPr>
        <w:t>3</w:t>
      </w:r>
      <w:r>
        <w:rPr>
          <w:rFonts w:ascii="仿宋_GB2312;仿宋" w:hAnsi="仿宋_GB2312;仿宋" w:eastAsia="仿宋_GB2312;仿宋"/>
          <w:sz w:val="28"/>
          <w:szCs w:val="28"/>
        </w:rPr>
        <w:t>年；公告送达的不得超过</w:t>
      </w:r>
      <w:r>
        <w:rPr>
          <w:rFonts w:eastAsia="仿宋_GB2312;仿宋" w:ascii="仿宋_GB2312;仿宋" w:hAnsi="仿宋_GB2312;仿宋"/>
          <w:sz w:val="28"/>
          <w:szCs w:val="28"/>
        </w:rPr>
        <w:t>2</w:t>
      </w:r>
      <w:r>
        <w:rPr>
          <w:rFonts w:ascii="仿宋_GB2312;仿宋" w:hAnsi="仿宋_GB2312;仿宋" w:eastAsia="仿宋_GB2312;仿宋"/>
          <w:sz w:val="28"/>
          <w:szCs w:val="28"/>
        </w:rPr>
        <w:t>年；评估拍卖的不得超过</w:t>
      </w:r>
      <w:r>
        <w:rPr>
          <w:rFonts w:eastAsia="仿宋_GB2312;仿宋" w:ascii="仿宋_GB2312;仿宋" w:hAnsi="仿宋_GB2312;仿宋"/>
          <w:sz w:val="28"/>
          <w:szCs w:val="28"/>
        </w:rPr>
        <w:t>3</w:t>
      </w:r>
      <w:r>
        <w:rPr>
          <w:rFonts w:ascii="仿宋_GB2312;仿宋" w:hAnsi="仿宋_GB2312;仿宋" w:eastAsia="仿宋_GB2312;仿宋"/>
          <w:sz w:val="28"/>
          <w:szCs w:val="28"/>
        </w:rPr>
        <w:t>年。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3.</w:t>
      </w:r>
      <w:r>
        <w:rPr>
          <w:rFonts w:ascii="仿宋_GB2312;仿宋" w:hAnsi="仿宋_GB2312;仿宋" w:eastAsia="仿宋_GB2312;仿宋"/>
          <w:sz w:val="28"/>
          <w:szCs w:val="28"/>
        </w:rPr>
        <w:t>对于本行已鉴定确认的人为责任贷款和仅用于延长诉讼时效、无法落实还款来源的贷款应谨慎审批。总行同意代垫诉讼费后对上述借款向相关责任人追偿。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cs="仿宋_GB2312;仿宋" w:eastAsia="仿宋_GB2312;仿宋"/>
          <w:sz w:val="28"/>
          <w:szCs w:val="28"/>
        </w:rPr>
        <w:t xml:space="preserve">   </w:t>
      </w:r>
      <w:r>
        <w:rPr>
          <w:rFonts w:ascii="仿宋_GB2312;仿宋" w:hAnsi="仿宋_GB2312;仿宋" w:cs="仿宋_GB2312;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eastAsia="仿宋_GB2312;仿宋"/>
          <w:sz w:val="28"/>
          <w:szCs w:val="28"/>
        </w:rPr>
        <w:t>第七条  对贷款逾期达</w:t>
      </w:r>
      <w:r>
        <w:rPr>
          <w:rFonts w:eastAsia="仿宋_GB2312;仿宋" w:ascii="仿宋_GB2312;仿宋" w:hAnsi="仿宋_GB2312;仿宋"/>
          <w:sz w:val="28"/>
          <w:szCs w:val="28"/>
        </w:rPr>
        <w:t>6</w:t>
      </w:r>
      <w:r>
        <w:rPr>
          <w:rFonts w:ascii="仿宋_GB2312;仿宋" w:hAnsi="仿宋_GB2312;仿宋" w:eastAsia="仿宋_GB2312;仿宋"/>
          <w:sz w:val="28"/>
          <w:szCs w:val="28"/>
        </w:rPr>
        <w:t>个月，清收责任人经催收认为必须诉讼的，不得因诉讼费的呈批未通过而不追不诉。因此丧失诉讼时效的，本行将严肃追究清收责任人的责任。</w:t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第八条  代垫诉讼费实行台账管理制度。资产保全部、计划财务部要分别建立诉讼贷款及诉讼费用台账，明确专人负责登记，基层支行台账由各单位运营主管负责登记。诉讼费用台账按月由计划财务部负责全面对账一次，确保账账相符。如遇人员调整，诉讼费用台账列入移交范围，由本单位负责人监交，交接清单一式三份，一份交资产保全部，一份交计划财务部，一份留存。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jc w:val="center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第三章 诉讼费用的收回责任落实</w:t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第九条  诉讼费用由贷款清收责任人负责收回，贷款清收责任人必须在借款期限内归还所借支的诉讼费用，及时将款项上划本行计划财务部，并通知相关人员及时在台账上销账。案件在执行终结业务处理时应本着先归还诉讼费用，再归还贷款本金和利息的原则，对已收回全部或部分贷款本息而未收回诉讼费用的，本行代垫的诉讼费用将由贷款清收责任人承担。清收责任人发生岗位变动时，所借诉讼费与对应的贷款一并列入移交，不得因清收责任人变动而导致诉讼费收回责任不清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第十条  落实</w:t>
      </w:r>
      <w:r>
        <w:rPr>
          <w:rFonts w:eastAsia="仿宋_GB2312;仿宋" w:ascii="仿宋_GB2312;仿宋" w:hAnsi="仿宋_GB2312;仿宋"/>
          <w:sz w:val="28"/>
          <w:szCs w:val="28"/>
        </w:rPr>
        <w:t>2016</w:t>
      </w:r>
      <w:r>
        <w:rPr>
          <w:rFonts w:ascii="仿宋_GB2312;仿宋" w:hAnsi="仿宋_GB2312;仿宋" w:eastAsia="仿宋_GB2312;仿宋"/>
          <w:sz w:val="28"/>
          <w:szCs w:val="28"/>
        </w:rPr>
        <w:t>年以前借支诉讼费的管理清收责任。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1.</w:t>
      </w:r>
      <w:r>
        <w:rPr>
          <w:rFonts w:ascii="仿宋_GB2312;仿宋" w:hAnsi="仿宋_GB2312;仿宋" w:eastAsia="仿宋_GB2312;仿宋"/>
          <w:sz w:val="28"/>
          <w:szCs w:val="28"/>
        </w:rPr>
        <w:t>判决书载明由本行承担的，由本行进行责任认定后，经财务审查委员会审查是否由总行列支；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2.</w:t>
      </w:r>
      <w:r>
        <w:rPr>
          <w:rFonts w:ascii="仿宋_GB2312;仿宋" w:hAnsi="仿宋_GB2312;仿宋" w:eastAsia="仿宋_GB2312;仿宋"/>
          <w:sz w:val="28"/>
          <w:szCs w:val="28"/>
        </w:rPr>
        <w:t>判决由借款人、保证人承担的诉讼费，清收责任人未执行先收费用后还贷的，由清收责任人偿还；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3.</w:t>
      </w:r>
      <w:r>
        <w:rPr>
          <w:rFonts w:ascii="仿宋_GB2312;仿宋" w:hAnsi="仿宋_GB2312;仿宋" w:eastAsia="仿宋_GB2312;仿宋"/>
          <w:sz w:val="28"/>
          <w:szCs w:val="28"/>
        </w:rPr>
        <w:t>判决后未及时申请执行且贷款、诉讼费未收回的由清收责任人限期收回，期限两年，超期限未收回的由清收责任人承担；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4.2009</w:t>
      </w:r>
      <w:r>
        <w:rPr>
          <w:rFonts w:ascii="仿宋_GB2312;仿宋" w:hAnsi="仿宋_GB2312;仿宋" w:eastAsia="仿宋_GB2312;仿宋"/>
          <w:sz w:val="28"/>
          <w:szCs w:val="28"/>
        </w:rPr>
        <w:t>年（含）以前借支的诉讼费，贷款执行已终结且无法落实清收责任的借支诉讼费由本行列支；</w:t>
      </w:r>
    </w:p>
    <w:p>
      <w:pPr>
        <w:pStyle w:val="Normal"/>
        <w:ind w:firstLine="560" w:right="0"/>
        <w:rPr/>
      </w:pPr>
      <w:r>
        <w:rPr>
          <w:rFonts w:eastAsia="仿宋_GB2312;仿宋" w:ascii="仿宋_GB2312;仿宋" w:hAnsi="仿宋_GB2312;仿宋"/>
          <w:sz w:val="28"/>
          <w:szCs w:val="28"/>
        </w:rPr>
        <w:t>5.</w:t>
      </w:r>
      <w:r>
        <w:rPr>
          <w:rFonts w:ascii="仿宋_GB2312;仿宋" w:hAnsi="仿宋_GB2312;仿宋" w:eastAsia="仿宋_GB2312;仿宋"/>
          <w:sz w:val="28"/>
          <w:szCs w:val="28"/>
        </w:rPr>
        <w:t>对于一笔贷款重复诉讼借支诉讼费，重复部分由撤诉经办人承担。</w:t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第十一条  对到期未能按时归还的，按照所借未还金额，由贷款清收责任人承担。自借款到期的次月起，由本行从相关责任人的工资中分月直接扣款，直至全部扣还到位为止。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第十二条  对按期收回确实有困难的，在借款到期前一个月向本行资产保全部、计划财务部提出申请，按照权限经本行分管行长同意后方可延期归还。每笔诉讼费申请展期原则上只可一次，且展期时间最长不得超过两年。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第十三条  本办法由本行计划</w:t>
      </w:r>
      <w:r>
        <w:rPr>
          <w:rFonts w:ascii="仿宋_GB2312;仿宋" w:hAnsi="仿宋_GB2312;仿宋" w:eastAsia="仿宋_GB2312;仿宋"/>
          <w:sz w:val="28"/>
          <w:szCs w:val="28"/>
        </w:rPr>
        <w:t>财务部</w:t>
      </w:r>
      <w:r>
        <w:rPr>
          <w:rFonts w:ascii="仿宋_GB2312;仿宋" w:hAnsi="仿宋_GB2312;仿宋" w:eastAsia="仿宋_GB2312;仿宋"/>
          <w:sz w:val="28"/>
          <w:szCs w:val="28"/>
        </w:rPr>
        <w:t>负责解释和修订。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</w:t>
      </w:r>
      <w:r>
        <w:rPr>
          <w:rFonts w:ascii="仿宋_GB2312;仿宋" w:hAnsi="仿宋_GB2312;仿宋" w:eastAsia="仿宋_GB2312;仿宋"/>
          <w:sz w:val="28"/>
          <w:szCs w:val="28"/>
        </w:rPr>
        <w:t>十四条</w:t>
      </w:r>
      <w:r>
        <w:rPr>
          <w:rFonts w:ascii="仿宋_GB2312;仿宋" w:hAnsi="仿宋_GB2312;仿宋" w:eastAsia="仿宋_GB2312;仿宋"/>
          <w:sz w:val="28"/>
          <w:szCs w:val="28"/>
        </w:rPr>
        <w:t xml:space="preserve">   本办法</w:t>
      </w:r>
      <w:r>
        <w:rPr>
          <w:rFonts w:eastAsia="仿宋_GB2312;仿宋"/>
          <w:sz w:val="28"/>
          <w:szCs w:val="28"/>
        </w:rPr>
        <w:t>自发文之日起施行</w:t>
      </w:r>
      <w:r>
        <w:rPr>
          <w:rFonts w:ascii="仿宋_GB2312;仿宋" w:hAnsi="仿宋_GB2312;仿宋" w:eastAsia="仿宋_GB2312;仿宋"/>
          <w:sz w:val="28"/>
          <w:szCs w:val="28"/>
        </w:rPr>
        <w:t>。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附件：</w:t>
      </w:r>
      <w:r>
        <w:rPr>
          <w:rFonts w:eastAsia="仿宋_GB2312;仿宋" w:ascii="仿宋_GB2312;仿宋" w:hAnsi="仿宋_GB2312;仿宋"/>
          <w:sz w:val="28"/>
          <w:szCs w:val="28"/>
        </w:rPr>
        <w:t>1.</w:t>
      </w:r>
      <w:r>
        <w:rPr>
          <w:rFonts w:ascii="仿宋_GB2312;仿宋" w:hAnsi="仿宋_GB2312;仿宋" w:eastAsia="仿宋_GB2312;仿宋"/>
          <w:sz w:val="28"/>
          <w:szCs w:val="28"/>
        </w:rPr>
        <w:t>诉讼费、执行费、收产抵贷费用呈批表</w:t>
      </w:r>
    </w:p>
    <w:p>
      <w:pPr>
        <w:pStyle w:val="Normal"/>
        <w:ind w:firstLine="560" w:right="0"/>
        <w:rPr/>
      </w:pPr>
      <w:r>
        <w:rPr>
          <w:rFonts w:eastAsia="仿宋_GB2312;仿宋" w:ascii="仿宋_GB2312;仿宋" w:hAnsi="仿宋_GB2312;仿宋"/>
          <w:sz w:val="28"/>
          <w:szCs w:val="28"/>
        </w:rPr>
        <w:t>2.</w:t>
      </w:r>
      <w:r>
        <w:rPr>
          <w:rFonts w:ascii="仿宋_GB2312;仿宋" w:hAnsi="仿宋_GB2312;仿宋" w:eastAsia="仿宋_GB2312;仿宋"/>
          <w:sz w:val="28"/>
          <w:szCs w:val="28"/>
        </w:rPr>
        <w:t>代垫诉讼费借条</w:t>
      </w:r>
    </w:p>
    <w:p>
      <w:pPr>
        <w:pStyle w:val="Normal"/>
        <w:ind w:firstLine="560" w:right="0"/>
        <w:rPr/>
      </w:pPr>
      <w:r>
        <w:rPr>
          <w:rFonts w:eastAsia="仿宋_GB2312;仿宋" w:ascii="仿宋_GB2312;仿宋" w:hAnsi="仿宋_GB2312;仿宋"/>
          <w:sz w:val="28"/>
          <w:szCs w:val="28"/>
        </w:rPr>
        <w:t>3.</w:t>
      </w:r>
      <w:r>
        <w:rPr>
          <w:rFonts w:ascii="仿宋_GB2312;仿宋" w:hAnsi="仿宋_GB2312;仿宋" w:eastAsia="仿宋_GB2312;仿宋"/>
          <w:sz w:val="28"/>
          <w:szCs w:val="28"/>
        </w:rPr>
        <w:t>诉讼费代垫明细清单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4.</w:t>
      </w:r>
      <w:r>
        <w:rPr>
          <w:rFonts w:ascii="仿宋_GB2312;仿宋" w:hAnsi="仿宋_GB2312;仿宋" w:eastAsia="仿宋_GB2312;仿宋"/>
          <w:sz w:val="28"/>
          <w:szCs w:val="28"/>
        </w:rPr>
        <w:t>诉讼费、执行费、收产抵贷费用展期申请表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rPr/>
      </w:pPr>
      <w:r>
        <w:rPr/>
        <w:t>附件</w:t>
      </w:r>
      <w:r>
        <w:rPr/>
        <w:t>1</w:t>
      </w:r>
    </w:p>
    <w:tbl>
      <w:tblPr>
        <w:tblW w:w="9009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8"/>
        <w:gridCol w:w="3986"/>
        <w:gridCol w:w="374"/>
        <w:gridCol w:w="1561"/>
      </w:tblGrid>
      <w:tr>
        <w:trPr>
          <w:trHeight w:val="564" w:hRule="atLeast"/>
        </w:trPr>
        <w:tc>
          <w:tcPr>
            <w:tcW w:w="9009" w:type="dxa"/>
            <w:gridSpan w:val="4"/>
            <w:tcBorders/>
            <w:vAlign w:val="center"/>
          </w:tcPr>
          <w:p>
            <w:pPr>
              <w:pStyle w:val="Normal"/>
              <w:jc w:val="center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诉讼费、执行费、收产抵贷费用呈批表</w:t>
            </w:r>
          </w:p>
        </w:tc>
      </w:tr>
      <w:tr>
        <w:trPr>
          <w:trHeight w:val="452" w:hRule="atLeast"/>
        </w:trPr>
        <w:tc>
          <w:tcPr>
            <w:tcW w:w="7074" w:type="dxa"/>
            <w:gridSpan w:val="2"/>
            <w:tcBorders/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申请日期：     年    月   日</w:t>
            </w:r>
          </w:p>
        </w:tc>
        <w:tc>
          <w:tcPr>
            <w:tcW w:w="1935" w:type="dxa"/>
            <w:gridSpan w:val="2"/>
            <w:tcBorders/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金额单位：元</w:t>
            </w:r>
          </w:p>
        </w:tc>
      </w:tr>
      <w:tr>
        <w:trPr>
          <w:trHeight w:val="616" w:hRule="atLeast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申请单位</w:t>
            </w:r>
          </w:p>
        </w:tc>
        <w:tc>
          <w:tcPr>
            <w:tcW w:w="59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540" w:hRule="atLeast"/>
        </w:trPr>
        <w:tc>
          <w:tcPr>
            <w:tcW w:w="3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申请项目</w:t>
            </w:r>
          </w:p>
        </w:tc>
        <w:tc>
          <w:tcPr>
            <w:tcW w:w="59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620" w:hRule="atLeast"/>
        </w:trPr>
        <w:tc>
          <w:tcPr>
            <w:tcW w:w="3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申请理由</w:t>
            </w:r>
          </w:p>
        </w:tc>
        <w:tc>
          <w:tcPr>
            <w:tcW w:w="59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558" w:hRule="atLeast"/>
        </w:trPr>
        <w:tc>
          <w:tcPr>
            <w:tcW w:w="3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收回时间</w:t>
            </w:r>
          </w:p>
        </w:tc>
        <w:tc>
          <w:tcPr>
            <w:tcW w:w="59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496" w:hRule="atLeast"/>
        </w:trPr>
        <w:tc>
          <w:tcPr>
            <w:tcW w:w="3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收回责任人</w:t>
            </w:r>
          </w:p>
        </w:tc>
        <w:tc>
          <w:tcPr>
            <w:tcW w:w="59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561" w:hRule="atLeast"/>
        </w:trPr>
        <w:tc>
          <w:tcPr>
            <w:tcW w:w="3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申报金额（大写）</w:t>
            </w:r>
          </w:p>
        </w:tc>
        <w:tc>
          <w:tcPr>
            <w:tcW w:w="59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1066" w:hRule="atLeast"/>
        </w:trPr>
        <w:tc>
          <w:tcPr>
            <w:tcW w:w="3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支行（部）会办人员签字</w:t>
            </w:r>
          </w:p>
        </w:tc>
        <w:tc>
          <w:tcPr>
            <w:tcW w:w="59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689" w:hRule="atLeast"/>
        </w:trPr>
        <w:tc>
          <w:tcPr>
            <w:tcW w:w="3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费用收取单位</w:t>
            </w:r>
          </w:p>
        </w:tc>
        <w:tc>
          <w:tcPr>
            <w:tcW w:w="59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494" w:hRule="atLeast"/>
        </w:trPr>
        <w:tc>
          <w:tcPr>
            <w:tcW w:w="308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资产保全部门审核意见（签章）</w:t>
            </w:r>
          </w:p>
        </w:tc>
        <w:tc>
          <w:tcPr>
            <w:tcW w:w="4360" w:type="dxa"/>
            <w:gridSpan w:val="2"/>
            <w:tcBorders/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561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494" w:hRule="atLeast"/>
        </w:trPr>
        <w:tc>
          <w:tcPr>
            <w:tcW w:w="30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4360" w:type="dxa"/>
            <w:gridSpan w:val="2"/>
            <w:tcBorders/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  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审核人：</w:t>
            </w:r>
          </w:p>
        </w:tc>
        <w:tc>
          <w:tcPr>
            <w:tcW w:w="1561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532" w:hRule="atLeast"/>
        </w:trPr>
        <w:tc>
          <w:tcPr>
            <w:tcW w:w="30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5921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      </w:t>
            </w: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</w:t>
            </w: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年  月  日</w:t>
            </w:r>
          </w:p>
        </w:tc>
      </w:tr>
      <w:tr>
        <w:trPr>
          <w:trHeight w:val="494" w:hRule="atLeast"/>
        </w:trPr>
        <w:tc>
          <w:tcPr>
            <w:tcW w:w="308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财务部门审核意见（签章）</w:t>
            </w:r>
          </w:p>
        </w:tc>
        <w:tc>
          <w:tcPr>
            <w:tcW w:w="4360" w:type="dxa"/>
            <w:gridSpan w:val="2"/>
            <w:tcBorders/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561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494" w:hRule="atLeast"/>
        </w:trPr>
        <w:tc>
          <w:tcPr>
            <w:tcW w:w="30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4360" w:type="dxa"/>
            <w:gridSpan w:val="2"/>
            <w:tcBorders/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  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审核人：</w:t>
            </w:r>
          </w:p>
        </w:tc>
        <w:tc>
          <w:tcPr>
            <w:tcW w:w="1561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417" w:hRule="atLeast"/>
        </w:trPr>
        <w:tc>
          <w:tcPr>
            <w:tcW w:w="30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5921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       </w:t>
            </w: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</w:t>
            </w: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年  月  日</w:t>
            </w:r>
          </w:p>
        </w:tc>
      </w:tr>
      <w:tr>
        <w:trPr>
          <w:trHeight w:val="983" w:hRule="atLeast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分管财务行长审批意见</w:t>
            </w:r>
          </w:p>
        </w:tc>
        <w:tc>
          <w:tcPr>
            <w:tcW w:w="5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决策人：</w:t>
            </w:r>
          </w:p>
          <w:p>
            <w:pPr>
              <w:pStyle w:val="Normal"/>
              <w:ind w:firstLine="3920" w:right="0"/>
              <w:rPr/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年  月  日</w:t>
            </w:r>
          </w:p>
        </w:tc>
      </w:tr>
    </w:tbl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rPr/>
      </w:pPr>
      <w:r>
        <w:rPr/>
        <w:t>附件</w:t>
      </w:r>
      <w:r>
        <w:rPr/>
        <w:t>2</w:t>
      </w:r>
    </w:p>
    <w:tbl>
      <w:tblPr>
        <w:tblW w:w="9160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rPr>
          <w:trHeight w:val="1319" w:hRule="atLeast"/>
        </w:trPr>
        <w:tc>
          <w:tcPr>
            <w:tcW w:w="9160" w:type="dxa"/>
            <w:tcBorders/>
            <w:vAlign w:val="center"/>
          </w:tcPr>
          <w:p>
            <w:pPr>
              <w:pStyle w:val="Normal"/>
              <w:jc w:val="center"/>
              <w:rPr>
                <w:rFonts w:ascii="黑体;SimHei" w:hAnsi="黑体;SimHei" w:eastAsia="黑体;SimHei" w:cs="黑体;SimHei"/>
                <w:sz w:val="30"/>
                <w:szCs w:val="30"/>
              </w:rPr>
            </w:pPr>
            <w:r>
              <w:rPr>
                <w:rFonts w:ascii="黑体;SimHei" w:hAnsi="黑体;SimHei" w:cs="黑体;SimHei" w:eastAsia="黑体;SimHei"/>
                <w:sz w:val="30"/>
                <w:szCs w:val="30"/>
              </w:rPr>
              <w:t>代垫诉讼费借条</w:t>
            </w:r>
          </w:p>
        </w:tc>
      </w:tr>
      <w:tr>
        <w:trPr>
          <w:trHeight w:val="316" w:hRule="atLeast"/>
        </w:trPr>
        <w:tc>
          <w:tcPr>
            <w:tcW w:w="9160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 w:cs="黑体;SimHei"/>
                <w:sz w:val="28"/>
                <w:szCs w:val="28"/>
              </w:rPr>
            </w:pPr>
            <w:r>
              <w:rPr>
                <w:rFonts w:eastAsia="仿宋_GB2312;仿宋" w:cs="黑体;SimHei" w:ascii="仿宋_GB2312;仿宋" w:hAnsi="仿宋_GB2312;仿宋"/>
                <w:sz w:val="28"/>
                <w:szCs w:val="28"/>
              </w:rPr>
            </w:r>
          </w:p>
        </w:tc>
      </w:tr>
      <w:tr>
        <w:trPr>
          <w:trHeight w:val="570" w:hRule="atLeast"/>
        </w:trPr>
        <w:tc>
          <w:tcPr>
            <w:tcW w:w="9160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xxx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银行：</w:t>
            </w:r>
          </w:p>
        </w:tc>
      </w:tr>
      <w:tr>
        <w:trPr>
          <w:trHeight w:val="2955" w:hRule="atLeast"/>
        </w:trPr>
        <w:tc>
          <w:tcPr>
            <w:tcW w:w="9160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因                  于      年   月   日向总行借入费用（大写）                           （￥         ），本人自愿为本笔费用的收回责任人，保证于      年    月   日前将所借费用收回，逾期未能足额收回的，总行可直接扣发本人工资抵补，并自愿接收总行做出的其他处罚决定。</w:t>
            </w:r>
          </w:p>
        </w:tc>
      </w:tr>
      <w:tr>
        <w:trPr>
          <w:trHeight w:val="870" w:hRule="atLeast"/>
        </w:trPr>
        <w:tc>
          <w:tcPr>
            <w:tcW w:w="9160" w:type="dxa"/>
            <w:tcBorders/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sz w:val="28"/>
                <w:szCs w:val="28"/>
              </w:rPr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           </w:t>
            </w:r>
          </w:p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                     </w:t>
            </w:r>
          </w:p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                  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借款人签字：</w:t>
            </w:r>
          </w:p>
        </w:tc>
      </w:tr>
      <w:tr>
        <w:trPr>
          <w:trHeight w:val="915" w:hRule="atLeast"/>
        </w:trPr>
        <w:tc>
          <w:tcPr>
            <w:tcW w:w="9160" w:type="dxa"/>
            <w:tcBorders/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                 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年      月      日</w:t>
            </w:r>
          </w:p>
        </w:tc>
      </w:tr>
    </w:tbl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rPr/>
      </w:pPr>
      <w:r>
        <w:rPr/>
        <w:t>附件</w:t>
      </w:r>
      <w:r>
        <w:rPr/>
        <w:t>3</w:t>
      </w:r>
    </w:p>
    <w:tbl>
      <w:tblPr>
        <w:tblW w:w="9022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044"/>
        <w:gridCol w:w="1378"/>
        <w:gridCol w:w="711"/>
        <w:gridCol w:w="1044"/>
        <w:gridCol w:w="1045"/>
        <w:gridCol w:w="1044"/>
        <w:gridCol w:w="2045"/>
      </w:tblGrid>
      <w:tr>
        <w:trPr>
          <w:trHeight w:val="685" w:hRule="atLeast"/>
        </w:trPr>
        <w:tc>
          <w:tcPr>
            <w:tcW w:w="9022" w:type="dxa"/>
            <w:gridSpan w:val="8"/>
            <w:tcBorders/>
            <w:vAlign w:val="center"/>
          </w:tcPr>
          <w:p>
            <w:pPr>
              <w:pStyle w:val="Normal"/>
              <w:jc w:val="center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诉讼费代垫明细清单</w:t>
            </w:r>
          </w:p>
        </w:tc>
      </w:tr>
      <w:tr>
        <w:trPr>
          <w:trHeight w:val="437" w:hRule="atLeast"/>
        </w:trPr>
        <w:tc>
          <w:tcPr>
            <w:tcW w:w="3133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借款单位：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045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044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204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金额单位：元</w:t>
            </w:r>
          </w:p>
        </w:tc>
      </w:tr>
      <w:tr>
        <w:trPr>
          <w:trHeight w:val="391" w:hRule="atLeast"/>
        </w:trPr>
        <w:tc>
          <w:tcPr>
            <w:tcW w:w="5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拟诉讼借款情况</w:t>
            </w:r>
          </w:p>
        </w:tc>
        <w:tc>
          <w:tcPr>
            <w:tcW w:w="308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诉讼费用明细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序号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借款人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借款日期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金额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到期日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责任人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诉讼费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发票号码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1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2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3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4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5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6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7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8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9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10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11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12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13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14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</w:tr>
      <w:tr>
        <w:trPr>
          <w:trHeight w:val="391" w:hRule="atLeast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15</w:t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0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rPr/>
      </w:pPr>
      <w:r>
        <w:rPr/>
        <w:t>附件</w:t>
      </w:r>
      <w:r>
        <w:rPr/>
        <w:t>4</w:t>
      </w:r>
    </w:p>
    <w:tbl>
      <w:tblPr>
        <w:tblW w:w="9231" w:type="dxa"/>
        <w:jc w:val="left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1"/>
        <w:gridCol w:w="4572"/>
        <w:gridCol w:w="879"/>
        <w:gridCol w:w="709"/>
      </w:tblGrid>
      <w:tr>
        <w:trPr>
          <w:trHeight w:val="630" w:hRule="atLeast"/>
        </w:trPr>
        <w:tc>
          <w:tcPr>
            <w:tcW w:w="9231" w:type="dxa"/>
            <w:gridSpan w:val="4"/>
            <w:tcBorders/>
            <w:vAlign w:val="center"/>
          </w:tcPr>
          <w:p>
            <w:pPr>
              <w:pStyle w:val="Normal"/>
              <w:jc w:val="center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诉讼费、执行费、收产抵贷费用展期申请表</w:t>
            </w:r>
          </w:p>
        </w:tc>
      </w:tr>
      <w:tr>
        <w:trPr>
          <w:trHeight w:val="735" w:hRule="atLeast"/>
        </w:trPr>
        <w:tc>
          <w:tcPr>
            <w:tcW w:w="7643" w:type="dxa"/>
            <w:gridSpan w:val="2"/>
            <w:tcBorders/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 xml:space="preserve">申请日期：      年   月   日       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 xml:space="preserve">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 xml:space="preserve"> 金额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单位：元</w:t>
            </w:r>
          </w:p>
        </w:tc>
        <w:tc>
          <w:tcPr>
            <w:tcW w:w="1588" w:type="dxa"/>
            <w:gridSpan w:val="2"/>
            <w:tcBorders/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</w:tr>
      <w:tr>
        <w:trPr>
          <w:trHeight w:val="744" w:hRule="atLeast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展期申请单位</w:t>
            </w:r>
          </w:p>
        </w:tc>
        <w:tc>
          <w:tcPr>
            <w:tcW w:w="616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698" w:hRule="atLeast"/>
        </w:trPr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展期申请项目</w:t>
            </w:r>
          </w:p>
        </w:tc>
        <w:tc>
          <w:tcPr>
            <w:tcW w:w="616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707" w:hRule="atLeast"/>
        </w:trPr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展期申请理由</w:t>
            </w:r>
          </w:p>
        </w:tc>
        <w:tc>
          <w:tcPr>
            <w:tcW w:w="616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689" w:hRule="atLeast"/>
        </w:trPr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收回时间</w:t>
            </w:r>
          </w:p>
        </w:tc>
        <w:tc>
          <w:tcPr>
            <w:tcW w:w="616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700" w:hRule="atLeast"/>
        </w:trPr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收回责任人</w:t>
            </w:r>
          </w:p>
        </w:tc>
        <w:tc>
          <w:tcPr>
            <w:tcW w:w="616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695" w:hRule="atLeast"/>
        </w:trPr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延期归还金额（大写）</w:t>
            </w:r>
          </w:p>
        </w:tc>
        <w:tc>
          <w:tcPr>
            <w:tcW w:w="616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1018" w:hRule="atLeast"/>
        </w:trPr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支行（部）会办人员签字</w:t>
            </w:r>
          </w:p>
        </w:tc>
        <w:tc>
          <w:tcPr>
            <w:tcW w:w="616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687" w:hRule="atLeast"/>
        </w:trPr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费用收取单位</w:t>
            </w:r>
          </w:p>
        </w:tc>
        <w:tc>
          <w:tcPr>
            <w:tcW w:w="616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476" w:hRule="exact"/>
        </w:trPr>
        <w:tc>
          <w:tcPr>
            <w:tcW w:w="30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资产保全部门审核意见（签章）</w:t>
            </w:r>
          </w:p>
        </w:tc>
        <w:tc>
          <w:tcPr>
            <w:tcW w:w="4572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588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</w:tr>
      <w:tr>
        <w:trPr>
          <w:trHeight w:val="476" w:hRule="exact"/>
        </w:trPr>
        <w:tc>
          <w:tcPr>
            <w:tcW w:w="307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4572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审核人：</w:t>
            </w:r>
          </w:p>
        </w:tc>
        <w:tc>
          <w:tcPr>
            <w:tcW w:w="1588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</w:tr>
      <w:tr>
        <w:trPr>
          <w:trHeight w:val="475" w:hRule="exact"/>
        </w:trPr>
        <w:tc>
          <w:tcPr>
            <w:tcW w:w="307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616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      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年    月    日</w:t>
            </w:r>
          </w:p>
        </w:tc>
      </w:tr>
      <w:tr>
        <w:trPr>
          <w:trHeight w:val="476" w:hRule="exact"/>
        </w:trPr>
        <w:tc>
          <w:tcPr>
            <w:tcW w:w="30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财务部门审核意见（签章）</w:t>
            </w:r>
          </w:p>
        </w:tc>
        <w:tc>
          <w:tcPr>
            <w:tcW w:w="4572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1588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476" w:hRule="exact"/>
        </w:trPr>
        <w:tc>
          <w:tcPr>
            <w:tcW w:w="307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4572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审核人：</w:t>
            </w:r>
          </w:p>
        </w:tc>
        <w:tc>
          <w:tcPr>
            <w:tcW w:w="1588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　</w:t>
            </w:r>
          </w:p>
        </w:tc>
      </w:tr>
      <w:tr>
        <w:trPr>
          <w:trHeight w:val="596" w:hRule="exact"/>
        </w:trPr>
        <w:tc>
          <w:tcPr>
            <w:tcW w:w="307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  <w:tc>
          <w:tcPr>
            <w:tcW w:w="616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      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年    月    日</w:t>
            </w:r>
          </w:p>
        </w:tc>
      </w:tr>
      <w:tr>
        <w:trPr>
          <w:trHeight w:val="1478" w:hRule="exact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分管财务行长审批意见</w:t>
            </w:r>
          </w:p>
        </w:tc>
        <w:tc>
          <w:tcPr>
            <w:tcW w:w="545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审核人：</w:t>
            </w:r>
          </w:p>
          <w:p>
            <w:pPr>
              <w:pStyle w:val="Normal"/>
              <w:jc w:val="right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          </w:t>
            </w: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</w:t>
            </w:r>
            <w:r>
              <w:rPr>
                <w:rFonts w:ascii="仿宋_GB2312;仿宋" w:hAnsi="仿宋_GB2312;仿宋" w:cs="仿宋_GB2312;仿宋" w:eastAsia="仿宋_GB2312;仿宋"/>
                <w:sz w:val="28"/>
                <w:szCs w:val="28"/>
              </w:rPr>
              <w:t xml:space="preserve">  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 xml:space="preserve">年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 xml:space="preserve">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 xml:space="preserve">  月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 xml:space="preserve">  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 xml:space="preserve"> 日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eastAsia="仿宋_GB2312;仿宋" w:ascii="仿宋_GB2312;仿宋" w:hAnsi="仿宋_GB2312;仿宋"/>
                <w:sz w:val="28"/>
                <w:szCs w:val="28"/>
              </w:rPr>
            </w:r>
          </w:p>
        </w:tc>
      </w:tr>
      <w:tr>
        <w:trPr>
          <w:trHeight w:val="435" w:hRule="atLeast"/>
        </w:trPr>
        <w:tc>
          <w:tcPr>
            <w:tcW w:w="9231" w:type="dxa"/>
            <w:gridSpan w:val="4"/>
            <w:tcBorders/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/>
                <w:sz w:val="28"/>
                <w:szCs w:val="28"/>
              </w:rPr>
            </w:pP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附：</w:t>
            </w: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1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、展期费用收回责任人保证书</w:t>
            </w: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1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份；</w:t>
            </w: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>2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 xml:space="preserve">、展期费用明细清单 </w:t>
            </w:r>
            <w:r>
              <w:rPr>
                <w:rFonts w:eastAsia="仿宋_GB2312;仿宋" w:ascii="仿宋_GB2312;仿宋" w:hAnsi="仿宋_GB2312;仿宋"/>
                <w:sz w:val="28"/>
                <w:szCs w:val="28"/>
              </w:rPr>
              <w:t xml:space="preserve">1 </w:t>
            </w:r>
            <w:r>
              <w:rPr>
                <w:rFonts w:ascii="仿宋_GB2312;仿宋" w:hAnsi="仿宋_GB2312;仿宋" w:eastAsia="仿宋_GB2312;仿宋"/>
                <w:sz w:val="28"/>
                <w:szCs w:val="28"/>
              </w:rPr>
              <w:t>份。</w:t>
            </w:r>
          </w:p>
        </w:tc>
      </w:tr>
    </w:tbl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sectPr>
      <w:footerReference w:type="default" r:id="rId2"/>
      <w:type w:val="nextPage"/>
      <w:pgSz w:w="11906" w:h="16838"/>
      <w:pgMar w:left="1474" w:right="1474" w:gutter="0" w:header="0" w:top="1361" w:footer="992" w:bottom="136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  <w:font w:name="黑体">
    <w:altName w:val="SimHei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center"/>
      <w:pPr>
        <w:tabs>
          <w:tab w:val="num" w:pos="0"/>
        </w:tabs>
        <w:ind w:left="0" w:firstLine="288"/>
      </w:pPr>
    </w:lvl>
    <w:lvl w:ilvl="1">
      <w:start w:val="1"/>
      <w:pStyle w:val="Heading2"/>
      <w:numFmt w:val="taiwaneseCountingThousand"/>
      <w:lvlText w:val="%2、"/>
      <w:lvlJc w:val="left"/>
      <w:pPr>
        <w:tabs>
          <w:tab w:val="num" w:pos="0"/>
        </w:tabs>
        <w:ind w:left="0" w:firstLine="607"/>
      </w:pPr>
    </w:lvl>
    <w:lvl w:ilvl="2">
      <w:start w:val="1"/>
      <w:pStyle w:val="Heading3"/>
      <w:numFmt w:val="decimal"/>
      <w:lvlText w:val="%3、"/>
      <w:lvlJc w:val="left"/>
      <w:pPr>
        <w:tabs>
          <w:tab w:val="num" w:pos="0"/>
        </w:tabs>
        <w:ind w:left="0" w:firstLine="624"/>
      </w:pPr>
    </w:lvl>
    <w:lvl w:ilvl="3">
      <w:start w:val="1"/>
      <w:pStyle w:val="Heading4"/>
      <w:numFmt w:val="decimal"/>
      <w:lvlText w:val="%4)"/>
      <w:lvlJc w:val="left"/>
      <w:pPr>
        <w:tabs>
          <w:tab w:val="num" w:pos="0"/>
        </w:tabs>
        <w:ind w:left="0" w:firstLine="607"/>
      </w:pPr>
    </w:lvl>
    <w:lvl w:ilvl="4">
      <w:start w:val="1"/>
      <w:pStyle w:val="Heading5"/>
      <w:numFmt w:val="decimal"/>
      <w:lvlText w:val="%5)"/>
      <w:lvlJc w:val="left"/>
      <w:pPr>
        <w:tabs>
          <w:tab w:val="num" w:pos="0"/>
        </w:tabs>
        <w:ind w:left="0" w:firstLine="624"/>
      </w:pPr>
    </w:lvl>
    <w:lvl w:ilvl="5">
      <w:start w:val="1"/>
      <w:pStyle w:val="Heading6"/>
      <w:numFmt w:val="lowerLetter"/>
      <w:lvlText w:val="%6)"/>
      <w:lvlJc w:val="left"/>
      <w:pPr>
        <w:tabs>
          <w:tab w:val="num" w:pos="1800"/>
        </w:tabs>
        <w:ind w:left="1800" w:hanging="360"/>
      </w:pPr>
    </w:lvl>
    <w:lvl w:ilvl="6">
      <w:start w:val="1"/>
      <w:pStyle w:val="Heading7"/>
      <w:numFmt w:val="lowerRoman"/>
      <w:lvlText w:val="%7)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widowControl/>
      <w:numPr>
        <w:ilvl w:val="0"/>
        <w:numId w:val="1"/>
      </w:numPr>
      <w:tabs>
        <w:tab w:val="clear" w:pos="420"/>
        <w:tab w:val="left" w:pos="0" w:leader="none"/>
      </w:tabs>
      <w:snapToGrid w:val="false"/>
      <w:jc w:val="center"/>
      <w:outlineLvl w:val="0"/>
    </w:pPr>
    <w:rPr>
      <w:rFonts w:eastAsia="方正小标宋简体;微软雅黑"/>
      <w:color w:val="000000"/>
      <w:sz w:val="44"/>
      <w:szCs w:val="20"/>
    </w:rPr>
  </w:style>
  <w:style w:type="paragraph" w:styleId="Heading2">
    <w:name w:val="Heading 2"/>
    <w:basedOn w:val="Normal"/>
    <w:next w:val="Normal"/>
    <w:qFormat/>
    <w:pPr>
      <w:widowControl/>
      <w:numPr>
        <w:ilvl w:val="1"/>
        <w:numId w:val="1"/>
      </w:numPr>
      <w:tabs>
        <w:tab w:val="clear" w:pos="420"/>
        <w:tab w:val="left" w:pos="0" w:leader="none"/>
      </w:tabs>
      <w:snapToGrid w:val="false"/>
      <w:spacing w:lineRule="exact" w:line="566" w:before="260" w:after="260"/>
      <w:jc w:val="center"/>
      <w:outlineLvl w:val="1"/>
    </w:pPr>
    <w:rPr>
      <w:rFonts w:ascii="Arial" w:hAnsi="Arial" w:eastAsia="永中黑体;Times New Roman" w:cs="Arial"/>
      <w:color w:val="000000"/>
      <w:sz w:val="32"/>
      <w:szCs w:val="20"/>
    </w:rPr>
  </w:style>
  <w:style w:type="paragraph" w:styleId="Heading3">
    <w:name w:val="Heading 3"/>
    <w:basedOn w:val="Normal"/>
    <w:next w:val="Normal"/>
    <w:qFormat/>
    <w:pPr>
      <w:widowControl/>
      <w:numPr>
        <w:ilvl w:val="2"/>
        <w:numId w:val="1"/>
      </w:numPr>
      <w:tabs>
        <w:tab w:val="clear" w:pos="420"/>
        <w:tab w:val="left" w:pos="0" w:leader="none"/>
      </w:tabs>
      <w:snapToGrid w:val="false"/>
      <w:spacing w:lineRule="exact" w:line="566" w:before="113" w:after="113"/>
      <w:outlineLvl w:val="2"/>
    </w:pPr>
    <w:rPr>
      <w:rFonts w:eastAsia="永中楷体;Times New Roman"/>
      <w:color w:val="000000"/>
      <w:sz w:val="32"/>
      <w:szCs w:val="20"/>
    </w:rPr>
  </w:style>
  <w:style w:type="paragraph" w:styleId="Heading4">
    <w:name w:val="Heading 4"/>
    <w:basedOn w:val="Normal"/>
    <w:next w:val="Normal"/>
    <w:qFormat/>
    <w:pPr>
      <w:widowControl/>
      <w:numPr>
        <w:ilvl w:val="3"/>
        <w:numId w:val="1"/>
      </w:numPr>
      <w:tabs>
        <w:tab w:val="clear" w:pos="420"/>
        <w:tab w:val="left" w:pos="0" w:leader="none"/>
      </w:tabs>
      <w:snapToGrid w:val="false"/>
      <w:spacing w:lineRule="exact" w:line="566"/>
      <w:outlineLvl w:val="3"/>
    </w:pPr>
    <w:rPr>
      <w:rFonts w:ascii="Arial" w:hAnsi="Arial" w:eastAsia="永中仿宋;Times New Roman" w:cs="Arial"/>
      <w:b/>
      <w:color w:val="000000"/>
      <w:sz w:val="32"/>
      <w:szCs w:val="20"/>
    </w:rPr>
  </w:style>
  <w:style w:type="paragraph" w:styleId="Heading5">
    <w:name w:val="Heading 5"/>
    <w:basedOn w:val="Normal"/>
    <w:next w:val="Normal"/>
    <w:qFormat/>
    <w:pPr>
      <w:widowControl/>
      <w:numPr>
        <w:ilvl w:val="4"/>
        <w:numId w:val="1"/>
      </w:numPr>
      <w:tabs>
        <w:tab w:val="clear" w:pos="420"/>
        <w:tab w:val="left" w:pos="0" w:leader="none"/>
      </w:tabs>
      <w:snapToGrid w:val="false"/>
      <w:spacing w:lineRule="exact" w:line="566" w:before="260" w:after="260"/>
      <w:outlineLvl w:val="4"/>
    </w:pPr>
    <w:rPr>
      <w:rFonts w:eastAsia="永中仿宋;Times New Roman"/>
      <w:b/>
      <w:color w:val="000000"/>
      <w:sz w:val="28"/>
      <w:szCs w:val="20"/>
    </w:rPr>
  </w:style>
  <w:style w:type="paragraph" w:styleId="Heading6">
    <w:name w:val="Heading 6"/>
    <w:basedOn w:val="Normal"/>
    <w:next w:val="Normal"/>
    <w:qFormat/>
    <w:pPr>
      <w:widowControl/>
      <w:numPr>
        <w:ilvl w:val="5"/>
        <w:numId w:val="1"/>
      </w:numPr>
      <w:tabs>
        <w:tab w:val="clear" w:pos="420"/>
        <w:tab w:val="left" w:pos="1800" w:leader="none"/>
      </w:tabs>
      <w:snapToGrid w:val="false"/>
      <w:spacing w:lineRule="exact" w:line="566" w:before="240" w:after="60"/>
      <w:outlineLvl w:val="5"/>
    </w:pPr>
    <w:rPr>
      <w:rFonts w:ascii="Arial" w:hAnsi="Arial" w:eastAsia="永中黑体;Times New Roman" w:cs="Arial"/>
      <w:b/>
      <w:color w:val="000000"/>
      <w:sz w:val="32"/>
      <w:szCs w:val="20"/>
    </w:rPr>
  </w:style>
  <w:style w:type="paragraph" w:styleId="Heading7">
    <w:name w:val="Heading 7"/>
    <w:basedOn w:val="Normal"/>
    <w:next w:val="Normal"/>
    <w:qFormat/>
    <w:pPr>
      <w:widowControl/>
      <w:numPr>
        <w:ilvl w:val="6"/>
        <w:numId w:val="1"/>
      </w:numPr>
      <w:tabs>
        <w:tab w:val="clear" w:pos="420"/>
        <w:tab w:val="left" w:pos="2160" w:leader="none"/>
      </w:tabs>
      <w:snapToGrid w:val="false"/>
      <w:spacing w:lineRule="exact" w:line="566" w:before="240" w:after="60"/>
      <w:outlineLvl w:val="6"/>
    </w:pPr>
    <w:rPr>
      <w:rFonts w:eastAsia="永中仿宋;Times New Roman"/>
      <w:b/>
      <w:color w:val="000000"/>
      <w:sz w:val="32"/>
      <w:szCs w:val="20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7">
    <w:name w:val="默认段落字体"/>
    <w:qFormat/>
    <w:rPr/>
  </w:style>
  <w:style w:type="character" w:styleId="Style8">
    <w:name w:val="批注引用"/>
    <w:qFormat/>
    <w:rPr>
      <w:sz w:val="21"/>
      <w:szCs w:val="21"/>
    </w:rPr>
  </w:style>
  <w:style w:type="character" w:styleId="Char">
    <w:name w:val="批注文字 Char"/>
    <w:qFormat/>
    <w:rPr>
      <w:kern w:val="2"/>
      <w:sz w:val="21"/>
      <w:szCs w:val="24"/>
    </w:rPr>
  </w:style>
  <w:style w:type="character" w:styleId="Char1">
    <w:name w:val="批注主题 Char"/>
    <w:qFormat/>
    <w:rPr>
      <w:b/>
      <w:bCs/>
      <w:kern w:val="2"/>
      <w:sz w:val="21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9">
    <w:name w:val="日期"/>
    <w:basedOn w:val="Normal"/>
    <w:next w:val="Normal"/>
    <w:qFormat/>
    <w:pPr>
      <w:ind w:hanging="0" w:left="100" w:right="0"/>
    </w:pPr>
    <w:rPr/>
  </w:style>
  <w:style w:type="paragraph" w:styleId="Style10">
    <w:name w:val="批注框文本"/>
    <w:basedOn w:val="Normal"/>
    <w:qFormat/>
    <w:pPr/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1">
    <w:name w:val="批注文字"/>
    <w:basedOn w:val="Normal"/>
    <w:qFormat/>
    <w:pPr>
      <w:jc w:val="left"/>
    </w:pPr>
    <w:rPr/>
  </w:style>
  <w:style w:type="paragraph" w:styleId="Style12">
    <w:name w:val="批注主题"/>
    <w:basedOn w:val="Style11"/>
    <w:next w:val="Style11"/>
    <w:qFormat/>
    <w:pPr/>
    <w:rPr>
      <w:b/>
      <w:bCs/>
    </w:rPr>
  </w:style>
  <w:style w:type="paragraph" w:styleId="Style13">
    <w:name w:val="修订"/>
    <w:qFormat/>
    <w:pPr>
      <w:widowControl/>
      <w:bidi w:val="0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Style14">
    <w:name w:val="二级标题"/>
    <w:basedOn w:val="Heading2"/>
    <w:qFormat/>
    <w:pPr>
      <w:keepNext w:val="true"/>
      <w:keepLines/>
      <w:widowControl w:val="false"/>
      <w:numPr>
        <w:ilvl w:val="0"/>
        <w:numId w:val="0"/>
      </w:numPr>
      <w:snapToGrid w:val="true"/>
      <w:spacing w:lineRule="auto" w:line="360" w:before="0" w:after="0"/>
      <w:ind w:firstLine="200" w:left="0" w:right="0"/>
      <w:outlineLvl w:val="9"/>
    </w:pPr>
    <w:rPr>
      <w:rFonts w:ascii="仿宋_GB2312;仿宋" w:hAnsi="仿宋_GB2312;仿宋" w:eastAsia="仿宋_GB2312;仿宋" w:cs="华文中宋"/>
      <w:b/>
      <w:bCs/>
      <w:color w:val="00000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2009-07-22T20:26:00Z</dcterms:created>
  <dc:creator/>
  <dc:description/>
  <cp:keywords/>
  <dc:language>zh-CN</dc:language>
  <cp:lastModifiedBy/>
  <cp:lastPrinted>2016-05-23T10:14:00Z</cp:lastPrinted>
  <dcterms:modified xsi:type="dcterms:W3CDTF">2020-01-08T20:03:00Z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