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  <w:bookmarkStart w:id="0" w:name="zhengwen"/>
      <w:bookmarkStart w:id="1" w:name="zhengwen"/>
      <w:bookmarkEnd w:id="1"/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b/>
          <w:sz w:val="28"/>
          <w:szCs w:val="28"/>
        </w:rPr>
        <w:t>xxx</w:t>
      </w:r>
      <w:r>
        <w:rPr>
          <w:rFonts w:ascii="仿宋_GB2312;仿宋" w:hAnsi="仿宋_GB2312;仿宋" w:eastAsia="仿宋_GB2312;仿宋"/>
          <w:b/>
          <w:sz w:val="28"/>
          <w:szCs w:val="28"/>
        </w:rPr>
        <w:t>银行</w:t>
      </w:r>
    </w:p>
    <w:p>
      <w:pPr>
        <w:pStyle w:val="Style16"/>
        <w:snapToGrid w:val="false"/>
        <w:ind w:hanging="0" w:right="0"/>
        <w:rPr/>
      </w:pPr>
      <w:r>
        <w:rPr/>
        <w:t>假币纠纷分级管理处置机制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第一章  总 则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第一条  为进一步保证假币收缴程序合规合法，减少假币纠纷，维护人民币尊严，建设和谐社会，根据《中华人民共和国人民币管理条例》、《中国人民银行假币收缴、鉴定管理办法》等有关规定，结合</w:t>
      </w:r>
      <w:r>
        <w:rPr>
          <w:rFonts w:eastAsia="仿宋_GB2312;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eastAsia="仿宋_GB2312;仿宋"/>
          <w:sz w:val="28"/>
          <w:szCs w:val="28"/>
        </w:rPr>
        <w:t>银行（以下简称“本行”）的实际，特制定本处置机制。</w:t>
      </w:r>
    </w:p>
    <w:p>
      <w:pPr>
        <w:pStyle w:val="Normal"/>
        <w:snapToGrid w:val="false"/>
        <w:spacing w:lineRule="auto" w:line="360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第二条  本处置机制适用于柜面、取款机、存取款机上取出的人民币纸币。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第二章 客户查询申请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第三条  客户对柜面、取款机、存取款机上取出的人民币纸币真伪有异议时，可在办理取款业务之日起</w:t>
      </w:r>
      <w:r>
        <w:rPr>
          <w:rFonts w:eastAsia="仿宋_GB2312;仿宋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eastAsia="仿宋_GB2312;仿宋"/>
          <w:sz w:val="28"/>
          <w:szCs w:val="28"/>
        </w:rPr>
        <w:t>个月内（含取款当日），携带有效证件、有异议纸币或《假币收缴凭证》、办理取款业务的证明资料（银行卡、取款凭证等），向付款网点提交《人民币冠字号码查询申请表》（见附件</w:t>
      </w:r>
      <w:r>
        <w:rPr>
          <w:rFonts w:eastAsia="仿宋_GB2312;仿宋" w:ascii="仿宋_GB2312;仿宋" w:hAnsi="仿宋_GB2312;仿宋"/>
          <w:sz w:val="28"/>
          <w:szCs w:val="28"/>
        </w:rPr>
        <w:t>1</w:t>
      </w:r>
      <w:r>
        <w:rPr>
          <w:rFonts w:ascii="仿宋_GB2312;仿宋" w:hAnsi="仿宋_GB2312;仿宋" w:eastAsia="仿宋_GB2312;仿宋"/>
          <w:sz w:val="28"/>
          <w:szCs w:val="28"/>
        </w:rPr>
        <w:t>），如委托第三方代理查询的，代理人除应提供上述 规定的证明材料外，还应提供本人有效合法证件。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第三章 受理查询机制</w:t>
      </w:r>
    </w:p>
    <w:p>
      <w:pPr>
        <w:pStyle w:val="Normal"/>
        <w:snapToGrid w:val="false"/>
        <w:spacing w:lineRule="auto" w:line="360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第四条  付款网点对于提供证明材料符合规定的查询申请，应指定专人受理，及时查询，在受理之日起</w:t>
      </w:r>
      <w:r>
        <w:rPr>
          <w:rFonts w:eastAsia="仿宋_GB2312;仿宋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eastAsia="仿宋_GB2312;仿宋"/>
          <w:sz w:val="28"/>
          <w:szCs w:val="28"/>
        </w:rPr>
        <w:t>个工作日内办结，如有特殊情况需延长办理时间的，应提前告知客户。对于提供证明材料不完备的查询申请，查询受理单位应当面一次性告知客户补齐相关材料，不得无故拒绝受理查询申请。</w:t>
      </w:r>
    </w:p>
    <w:p>
      <w:pPr>
        <w:pStyle w:val="Normal"/>
        <w:snapToGrid w:val="false"/>
        <w:spacing w:lineRule="auto" w:line="360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第五条  各网点应向客户明确，“冠字号码查询业务”只对经确认所持钞票为假币的银行客户提供查询服务，不受理柜面、现金自助设备付出的真币的冠字号码查询申请。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第四章  查询结果处置</w:t>
      </w:r>
    </w:p>
    <w:p>
      <w:pPr>
        <w:pStyle w:val="Normal"/>
        <w:snapToGrid w:val="false"/>
        <w:spacing w:lineRule="auto" w:line="360"/>
        <w:ind w:firstLine="560" w:right="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 xml:space="preserve">第六条  根据查询结果判定为付款网点付出的现金，如果确属于假币的，付款网点应收回并全额赔付；如果属于真币的，完整券由付款网点全额退还客户，残损券由付款网点按照相关标准予以兑换；如果假币已被其他金融机构收缴或公安机关没收，付款网点应取得客户持有的《假币收缴凭证》或《假币没收收据》后予以赔付。 </w:t>
      </w:r>
      <w:r>
        <w:rPr>
          <w:rFonts w:ascii="仿宋_GB2312;仿宋" w:hAnsi="仿宋_GB2312;仿宋" w:eastAsia="仿宋_GB2312;仿宋"/>
          <w:sz w:val="28"/>
          <w:szCs w:val="28"/>
        </w:rPr>
        <w:t xml:space="preserve"> 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第五章  异议调处机制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第七条  客户如对处理结果或处理程序有异议的，可在收到处理结果后</w:t>
      </w:r>
      <w:r>
        <w:rPr>
          <w:rFonts w:eastAsia="仿宋_GB2312;仿宋" w:ascii="仿宋_GB2312;仿宋" w:hAnsi="仿宋_GB2312;仿宋"/>
          <w:sz w:val="28"/>
          <w:szCs w:val="28"/>
        </w:rPr>
        <w:t>3</w:t>
      </w:r>
      <w:r>
        <w:rPr>
          <w:rFonts w:ascii="仿宋_GB2312;仿宋" w:hAnsi="仿宋_GB2312;仿宋" w:eastAsia="仿宋_GB2312;仿宋"/>
          <w:sz w:val="28"/>
          <w:szCs w:val="28"/>
        </w:rPr>
        <w:t>个工作日内向付款网点或本行进行投诉。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第八条  付款网点或本行应当自受理之日起</w:t>
      </w:r>
      <w:r>
        <w:rPr>
          <w:rFonts w:eastAsia="仿宋_GB2312;仿宋" w:ascii="仿宋_GB2312;仿宋" w:hAnsi="仿宋_GB2312;仿宋"/>
          <w:sz w:val="28"/>
          <w:szCs w:val="28"/>
        </w:rPr>
        <w:t>15</w:t>
      </w:r>
      <w:r>
        <w:rPr>
          <w:rFonts w:ascii="仿宋_GB2312;仿宋" w:hAnsi="仿宋_GB2312;仿宋" w:eastAsia="仿宋_GB2312;仿宋"/>
          <w:sz w:val="28"/>
          <w:szCs w:val="28"/>
        </w:rPr>
        <w:t>个工作日内，开展调查与处理工作。因技术原因对投诉事项不能进行处理的，由本行运营管理部向人民银行</w:t>
      </w:r>
      <w:r>
        <w:rPr>
          <w:rFonts w:eastAsia="仿宋_GB2312;仿宋" w:ascii="仿宋_GB2312;仿宋" w:hAnsi="仿宋_GB2312;仿宋"/>
          <w:sz w:val="28"/>
          <w:szCs w:val="28"/>
        </w:rPr>
        <w:t>xx</w:t>
      </w:r>
      <w:r>
        <w:rPr>
          <w:rFonts w:ascii="仿宋_GB2312;仿宋" w:hAnsi="仿宋_GB2312;仿宋" w:eastAsia="仿宋_GB2312;仿宋"/>
          <w:sz w:val="28"/>
          <w:szCs w:val="28"/>
        </w:rPr>
        <w:t>市支行进行汇报核查，对确因情况复杂不能在规定期限内完成的，经分管行长核批后，可延长至</w:t>
      </w:r>
      <w:r>
        <w:rPr>
          <w:rFonts w:eastAsia="仿宋_GB2312;仿宋" w:ascii="仿宋_GB2312;仿宋" w:hAnsi="仿宋_GB2312;仿宋"/>
          <w:sz w:val="28"/>
          <w:szCs w:val="28"/>
        </w:rPr>
        <w:t>30</w:t>
      </w:r>
      <w:r>
        <w:rPr>
          <w:rFonts w:ascii="仿宋_GB2312;仿宋" w:hAnsi="仿宋_GB2312;仿宋" w:eastAsia="仿宋_GB2312;仿宋"/>
          <w:sz w:val="28"/>
          <w:szCs w:val="28"/>
        </w:rPr>
        <w:t>个工作日，并向客户说明原因。处理结果应通过书面告知客户，并将相关事项在《假币纠纷处理登记簿》（见附件</w:t>
      </w:r>
      <w:r>
        <w:rPr>
          <w:rFonts w:eastAsia="仿宋_GB2312;仿宋" w:ascii="仿宋_GB2312;仿宋" w:hAnsi="仿宋_GB2312;仿宋"/>
          <w:sz w:val="28"/>
          <w:szCs w:val="28"/>
        </w:rPr>
        <w:t>2</w:t>
      </w:r>
      <w:r>
        <w:rPr>
          <w:rFonts w:ascii="仿宋_GB2312;仿宋" w:hAnsi="仿宋_GB2312;仿宋" w:eastAsia="仿宋_GB2312;仿宋"/>
          <w:sz w:val="28"/>
          <w:szCs w:val="28"/>
        </w:rPr>
        <w:t>）及时登记。</w:t>
      </w:r>
    </w:p>
    <w:p>
      <w:pPr>
        <w:pStyle w:val="Normal"/>
        <w:snapToGrid w:val="false"/>
        <w:spacing w:lineRule="auto" w:line="360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eastAsia="仿宋_GB2312;仿宋" w:ascii="仿宋_GB2312;仿宋" w:hAnsi="仿宋_GB2312;仿宋"/>
          <w:sz w:val="28"/>
          <w:szCs w:val="28"/>
        </w:rPr>
      </w:r>
    </w:p>
    <w:p>
      <w:pPr>
        <w:pStyle w:val="Normal"/>
        <w:snapToGrid w:val="false"/>
        <w:spacing w:lineRule="auto" w:line="360"/>
        <w:jc w:val="center"/>
        <w:rPr>
          <w:rFonts w:ascii="仿宋_GB2312;仿宋" w:hAnsi="仿宋_GB2312;仿宋" w:eastAsia="仿宋_GB2312;仿宋"/>
          <w:sz w:val="28"/>
          <w:szCs w:val="28"/>
        </w:rPr>
      </w:pPr>
      <w:r>
        <w:rPr>
          <w:rFonts w:ascii="仿宋_GB2312;仿宋" w:hAnsi="仿宋_GB2312;仿宋" w:eastAsia="仿宋_GB2312;仿宋"/>
          <w:sz w:val="28"/>
          <w:szCs w:val="28"/>
        </w:rPr>
        <w:t>第六章   附  则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第九条   本处置机制由</w:t>
      </w:r>
      <w:r>
        <w:rPr>
          <w:rFonts w:eastAsia="仿宋_GB2312;仿宋" w:ascii="仿宋_GB2312;仿宋" w:hAnsi="仿宋_GB2312;仿宋"/>
          <w:sz w:val="28"/>
          <w:szCs w:val="28"/>
        </w:rPr>
        <w:t>xxx</w:t>
      </w:r>
      <w:r>
        <w:rPr>
          <w:rFonts w:ascii="仿宋_GB2312;仿宋" w:hAnsi="仿宋_GB2312;仿宋" w:eastAsia="仿宋_GB2312;仿宋"/>
          <w:sz w:val="28"/>
          <w:szCs w:val="28"/>
        </w:rPr>
        <w:t>银行运营</w:t>
      </w:r>
      <w:r>
        <w:rPr>
          <w:rFonts w:ascii="仿宋_GB2312;仿宋" w:hAnsi="仿宋_GB2312;仿宋" w:eastAsia="仿宋_GB2312;仿宋"/>
          <w:sz w:val="28"/>
          <w:szCs w:val="28"/>
        </w:rPr>
        <w:t>管理部</w:t>
      </w:r>
      <w:r>
        <w:rPr>
          <w:rFonts w:ascii="仿宋_GB2312;仿宋" w:hAnsi="仿宋_GB2312;仿宋" w:eastAsia="仿宋_GB2312;仿宋"/>
          <w:sz w:val="28"/>
          <w:szCs w:val="28"/>
        </w:rPr>
        <w:t>负责解释和修订。</w:t>
      </w:r>
    </w:p>
    <w:p>
      <w:pPr>
        <w:pStyle w:val="Normal"/>
        <w:snapToGrid w:val="false"/>
        <w:spacing w:lineRule="auto" w:line="360"/>
        <w:ind w:firstLine="560" w:right="0"/>
        <w:rPr/>
      </w:pPr>
      <w:r>
        <w:rPr>
          <w:rFonts w:ascii="仿宋_GB2312;仿宋" w:hAnsi="仿宋_GB2312;仿宋" w:eastAsia="仿宋_GB2312;仿宋"/>
          <w:sz w:val="28"/>
          <w:szCs w:val="28"/>
        </w:rPr>
        <w:t>第十条   本处置机制</w:t>
      </w:r>
      <w:r>
        <w:rPr>
          <w:rFonts w:eastAsia="仿宋_GB2312;仿宋"/>
          <w:sz w:val="28"/>
          <w:szCs w:val="28"/>
        </w:rPr>
        <w:t>自发文之日起施行</w:t>
      </w:r>
      <w:r>
        <w:rPr>
          <w:rFonts w:ascii="仿宋_GB2312;仿宋" w:hAnsi="仿宋_GB2312;仿宋" w:eastAsia="仿宋_GB2312;仿宋"/>
          <w:sz w:val="28"/>
          <w:szCs w:val="28"/>
        </w:rPr>
        <w:t>。</w:t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ind w:firstLine="600" w:right="0"/>
        <w:rPr>
          <w:rFonts w:ascii="仿宋_GB2312;仿宋" w:hAnsi="仿宋_GB2312;仿宋" w:eastAsia="仿宋_GB2312;仿宋" w:cs="仿宋_GB2312;仿宋"/>
          <w:sz w:val="30"/>
          <w:szCs w:val="30"/>
        </w:rPr>
      </w:pPr>
      <w:r>
        <w:rPr>
          <w:rFonts w:eastAsia="仿宋_GB2312;仿宋" w:cs="仿宋_GB2312;仿宋" w:ascii="仿宋_GB2312;仿宋" w:hAnsi="仿宋_GB2312;仿宋"/>
          <w:sz w:val="30"/>
          <w:szCs w:val="30"/>
        </w:rPr>
      </w:r>
    </w:p>
    <w:p>
      <w:pPr>
        <w:pStyle w:val="Normal"/>
        <w:spacing w:lineRule="exact" w:line="540"/>
        <w:rPr>
          <w:rFonts w:ascii="黑体;黑体" w:hAnsi="黑体;黑体" w:eastAsia="黑体;黑体" w:cs="黑体;黑体"/>
          <w:bCs/>
          <w:sz w:val="30"/>
          <w:szCs w:val="30"/>
        </w:rPr>
      </w:pPr>
      <w:r>
        <w:rPr>
          <w:rFonts w:eastAsia="黑体;黑体" w:cs="黑体;黑体" w:ascii="黑体;黑体" w:hAnsi="黑体;黑体"/>
          <w:bCs/>
          <w:sz w:val="30"/>
          <w:szCs w:val="30"/>
        </w:rPr>
      </w:r>
    </w:p>
    <w:p>
      <w:pPr>
        <w:pStyle w:val="Normal"/>
        <w:spacing w:lineRule="exact" w:line="540"/>
        <w:rPr>
          <w:rFonts w:ascii="黑体;黑体" w:hAnsi="黑体;黑体" w:eastAsia="黑体;黑体" w:cs="黑体;黑体"/>
          <w:bCs/>
          <w:sz w:val="30"/>
          <w:szCs w:val="30"/>
        </w:rPr>
      </w:pPr>
      <w:r>
        <w:rPr>
          <w:rFonts w:ascii="黑体;黑体" w:hAnsi="黑体;黑体" w:cs="黑体;黑体" w:eastAsia="黑体;黑体"/>
          <w:bCs/>
          <w:sz w:val="30"/>
          <w:szCs w:val="30"/>
        </w:rPr>
        <w:t>附表</w:t>
      </w:r>
      <w:r>
        <w:rPr>
          <w:rFonts w:eastAsia="黑体;黑体" w:cs="黑体;黑体" w:ascii="黑体;黑体" w:hAnsi="黑体;黑体"/>
          <w:bCs/>
          <w:sz w:val="30"/>
          <w:szCs w:val="30"/>
        </w:rPr>
        <w:t>1</w:t>
      </w:r>
    </w:p>
    <w:p>
      <w:pPr>
        <w:pStyle w:val="Normal"/>
        <w:spacing w:lineRule="exact" w:line="540"/>
        <w:jc w:val="center"/>
        <w:rPr>
          <w:rFonts w:ascii="方正小标宋简体;宋体" w:hAnsi="方正小标宋简体;宋体" w:eastAsia="方正小标宋简体;宋体"/>
          <w:b/>
          <w:sz w:val="36"/>
          <w:szCs w:val="36"/>
          <w:lang w:val="zh-CN"/>
        </w:rPr>
      </w:pPr>
      <w:r>
        <w:rPr>
          <w:rFonts w:eastAsia="方正小标宋简体;宋体" w:ascii="方正小标宋简体;宋体" w:hAnsi="方正小标宋简体;宋体"/>
          <w:b/>
          <w:sz w:val="36"/>
          <w:szCs w:val="36"/>
          <w:lang w:val="zh-CN"/>
        </w:rPr>
        <w:t>xxx</w:t>
      </w:r>
      <w:r>
        <w:rPr>
          <w:rFonts w:ascii="方正小标宋简体;宋体" w:hAnsi="方正小标宋简体;宋体" w:eastAsia="方正小标宋简体;宋体"/>
          <w:b/>
          <w:sz w:val="36"/>
          <w:szCs w:val="36"/>
          <w:lang w:val="zh-CN"/>
        </w:rPr>
        <w:t>银行</w:t>
      </w:r>
    </w:p>
    <w:p>
      <w:pPr>
        <w:pStyle w:val="Normal"/>
        <w:spacing w:lineRule="exact" w:line="540"/>
        <w:jc w:val="center"/>
        <w:rPr>
          <w:rFonts w:ascii="仿宋_GB2312;仿宋" w:hAnsi="仿宋_GB2312;仿宋" w:eastAsia="仿宋_GB2312;仿宋" w:cs="仿宋_GB2312;仿宋"/>
          <w:b/>
          <w:sz w:val="30"/>
          <w:szCs w:val="30"/>
        </w:rPr>
      </w:pPr>
      <w:r>
        <w:rPr>
          <w:rFonts w:ascii="方正小标宋简体;宋体" w:hAnsi="方正小标宋简体;宋体" w:eastAsia="方正小标宋简体;宋体"/>
          <w:b/>
          <w:sz w:val="36"/>
          <w:szCs w:val="36"/>
          <w:lang w:val="zh-CN"/>
        </w:rPr>
        <w:t>人民币冠字号码查询申请表</w:t>
      </w:r>
    </w:p>
    <w:tbl>
      <w:tblPr>
        <w:tblpPr w:vertAnchor="text" w:horzAnchor="page" w:leftFromText="180" w:rightFromText="180" w:tblpX="1810" w:tblpY="289"/>
        <w:tblOverlap w:val="never"/>
        <w:tblW w:w="85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21"/>
        <w:gridCol w:w="2342"/>
        <w:gridCol w:w="2342"/>
      </w:tblGrid>
      <w:tr>
        <w:trPr>
          <w:trHeight w:val="687" w:hRule="atLeast"/>
        </w:trPr>
        <w:tc>
          <w:tcPr>
            <w:tcW w:w="22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申请日期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  <w:tc>
          <w:tcPr>
            <w:tcW w:w="2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查询人</w:t>
            </w:r>
          </w:p>
        </w:tc>
        <w:tc>
          <w:tcPr>
            <w:tcW w:w="23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</w:tr>
      <w:tr>
        <w:trPr>
          <w:trHeight w:val="705" w:hRule="atLeast"/>
        </w:trPr>
        <w:tc>
          <w:tcPr>
            <w:tcW w:w="22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身份证件类型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证件号码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</w:tr>
      <w:tr>
        <w:trPr>
          <w:trHeight w:val="705" w:hRule="atLeast"/>
        </w:trPr>
        <w:tc>
          <w:tcPr>
            <w:tcW w:w="22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联系电话</w:t>
            </w:r>
          </w:p>
        </w:tc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查询冠字号码</w:t>
            </w:r>
          </w:p>
        </w:tc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</w:tr>
      <w:tr>
        <w:trPr>
          <w:trHeight w:val="680" w:hRule="atLeast"/>
        </w:trPr>
        <w:tc>
          <w:tcPr>
            <w:tcW w:w="22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联系地址</w:t>
            </w:r>
          </w:p>
        </w:tc>
        <w:tc>
          <w:tcPr>
            <w:tcW w:w="63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</w:tr>
      <w:tr>
        <w:trPr>
          <w:trHeight w:val="836" w:hRule="atLeast"/>
        </w:trPr>
        <w:tc>
          <w:tcPr>
            <w:tcW w:w="22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证明资料类型</w:t>
            </w:r>
          </w:p>
        </w:tc>
        <w:tc>
          <w:tcPr>
            <w:tcW w:w="63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□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银行卡 □存折 □取款凭证</w:t>
            </w:r>
          </w:p>
        </w:tc>
      </w:tr>
      <w:tr>
        <w:trPr>
          <w:trHeight w:val="4973" w:hRule="atLeast"/>
        </w:trPr>
        <w:tc>
          <w:tcPr>
            <w:tcW w:w="227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取款信息</w:t>
            </w:r>
          </w:p>
        </w:tc>
        <w:tc>
          <w:tcPr>
            <w:tcW w:w="6305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rPr/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取款时间：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年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月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日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  <w:u w:val="single"/>
              </w:rPr>
              <w:t xml:space="preserve">  </w:t>
            </w: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时</w:t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取款行（或离行式柜员机地点）：</w:t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ascii="仿宋_GB2312;仿宋" w:hAnsi="仿宋_GB2312;仿宋" w:cs="仿宋_GB2312;仿宋" w:eastAsia="仿宋_GB2312;仿宋"/>
                <w:bCs/>
                <w:sz w:val="30"/>
                <w:szCs w:val="30"/>
              </w:rPr>
              <w:t>取款柜台（柜员机位置）：</w:t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  <w:p>
            <w:pPr>
              <w:pStyle w:val="Normal"/>
              <w:rPr>
                <w:rFonts w:ascii="仿宋_GB2312;仿宋" w:hAnsi="仿宋_GB2312;仿宋" w:eastAsia="仿宋_GB2312;仿宋" w:cs="仿宋_GB2312;仿宋"/>
                <w:bCs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Cs/>
                <w:sz w:val="30"/>
                <w:szCs w:val="30"/>
              </w:rPr>
            </w:r>
          </w:p>
        </w:tc>
      </w:tr>
    </w:tbl>
    <w:p>
      <w:pPr>
        <w:sectPr>
          <w:type w:val="nextPage"/>
          <w:pgSz w:w="11906" w:h="16838"/>
          <w:pgMar w:left="1588" w:right="1588" w:gutter="0" w:header="0" w:top="1701" w:footer="0" w:bottom="1587"/>
          <w:pgNumType w:fmt="decimal"/>
          <w:formProt w:val="false"/>
          <w:textDirection w:val="lrTb"/>
          <w:docGrid w:type="linesAndChars" w:linePitch="880" w:charSpace="0"/>
        </w:sectPr>
        <w:pStyle w:val="Normal"/>
        <w:rPr>
          <w:rFonts w:ascii="黑体;黑体" w:hAnsi="黑体;黑体" w:eastAsia="黑体;黑体" w:cs="黑体;黑体"/>
          <w:bCs/>
          <w:sz w:val="30"/>
          <w:szCs w:val="30"/>
        </w:rPr>
      </w:pPr>
      <w:r>
        <w:rPr>
          <w:rFonts w:eastAsia="黑体;黑体" w:cs="黑体;黑体" w:ascii="黑体;黑体" w:hAnsi="黑体;黑体"/>
          <w:bCs/>
          <w:sz w:val="30"/>
          <w:szCs w:val="30"/>
        </w:rPr>
      </w:r>
    </w:p>
    <w:p>
      <w:pPr>
        <w:pStyle w:val="Normal"/>
        <w:spacing w:lineRule="exact" w:line="540"/>
        <w:rPr>
          <w:rFonts w:ascii="黑体;黑体" w:hAnsi="黑体;黑体" w:eastAsia="黑体;黑体" w:cs="黑体;黑体"/>
          <w:bCs/>
          <w:sz w:val="30"/>
          <w:szCs w:val="30"/>
        </w:rPr>
      </w:pPr>
      <w:r>
        <w:rPr>
          <w:rFonts w:ascii="黑体;黑体" w:hAnsi="黑体;黑体" w:cs="黑体;黑体" w:eastAsia="黑体;黑体"/>
          <w:bCs/>
          <w:sz w:val="30"/>
          <w:szCs w:val="30"/>
        </w:rPr>
        <w:t>附表</w:t>
      </w:r>
      <w:r>
        <w:rPr>
          <w:rFonts w:eastAsia="黑体;黑体" w:cs="黑体;黑体" w:ascii="黑体;黑体" w:hAnsi="黑体;黑体"/>
          <w:bCs/>
          <w:sz w:val="30"/>
          <w:szCs w:val="30"/>
        </w:rPr>
        <w:t>2</w:t>
      </w:r>
    </w:p>
    <w:p>
      <w:pPr>
        <w:pStyle w:val="Normal"/>
        <w:spacing w:lineRule="exact" w:line="540"/>
        <w:jc w:val="center"/>
        <w:rPr/>
      </w:pPr>
      <w:r>
        <w:rPr>
          <w:rFonts w:eastAsia="方正小标宋简体;宋体" w:ascii="方正小标宋简体;宋体" w:hAnsi="方正小标宋简体;宋体"/>
          <w:b/>
          <w:sz w:val="36"/>
          <w:szCs w:val="36"/>
          <w:lang w:val="zh-CN"/>
        </w:rPr>
        <w:t>xxx</w:t>
      </w:r>
      <w:r>
        <w:rPr>
          <w:rFonts w:ascii="方正小标宋简体;宋体" w:hAnsi="方正小标宋简体;宋体" w:eastAsia="方正小标宋简体;宋体"/>
          <w:b/>
          <w:sz w:val="36"/>
          <w:szCs w:val="36"/>
          <w:lang w:val="zh-CN"/>
        </w:rPr>
        <w:t>银行假币纠纷处理登记簿</w:t>
      </w:r>
    </w:p>
    <w:tbl>
      <w:tblPr>
        <w:tblpPr w:vertAnchor="text" w:horzAnchor="page" w:leftFromText="180" w:rightFromText="180" w:tblpX="1610" w:tblpY="209"/>
        <w:tblOverlap w:val="never"/>
        <w:tblW w:w="135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2149"/>
        <w:gridCol w:w="1336"/>
        <w:gridCol w:w="1399"/>
        <w:gridCol w:w="1199"/>
        <w:gridCol w:w="1411"/>
        <w:gridCol w:w="2960"/>
        <w:gridCol w:w="1361"/>
      </w:tblGrid>
      <w:tr>
        <w:trPr>
          <w:trHeight w:val="554" w:hRule="atLeast"/>
        </w:trPr>
        <w:tc>
          <w:tcPr>
            <w:tcW w:w="17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假币持有人</w:t>
            </w:r>
          </w:p>
        </w:tc>
        <w:tc>
          <w:tcPr>
            <w:tcW w:w="214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假币冠字号码</w:t>
            </w:r>
          </w:p>
        </w:tc>
        <w:tc>
          <w:tcPr>
            <w:tcW w:w="13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申请时间</w:t>
            </w:r>
          </w:p>
        </w:tc>
        <w:tc>
          <w:tcPr>
            <w:tcW w:w="13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处理时间</w:t>
            </w:r>
          </w:p>
        </w:tc>
        <w:tc>
          <w:tcPr>
            <w:tcW w:w="11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处理人</w:t>
            </w:r>
          </w:p>
        </w:tc>
        <w:tc>
          <w:tcPr>
            <w:tcW w:w="141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复核人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处理结果</w:t>
            </w:r>
          </w:p>
        </w:tc>
        <w:tc>
          <w:tcPr>
            <w:tcW w:w="13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exact" w:line="540"/>
              <w:jc w:val="center"/>
              <w:rPr>
                <w:rFonts w:ascii="宋体;宋体" w:hAnsi="宋体;宋体" w:cs="宋体;宋体"/>
                <w:kern w:val="0"/>
                <w:sz w:val="28"/>
                <w:szCs w:val="28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备  注</w:t>
            </w:r>
          </w:p>
        </w:tc>
      </w:tr>
      <w:tr>
        <w:trPr>
          <w:trHeight w:val="361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exact" w:line="540"/>
              <w:ind w:firstLine="537" w:right="0"/>
              <w:jc w:val="left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ascii="宋体;宋体" w:hAnsi="宋体;宋体" w:cs="宋体;宋体"/>
                <w:kern w:val="0"/>
                <w:sz w:val="28"/>
                <w:szCs w:val="28"/>
              </w:rPr>
              <w:t>　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napToGrid w:val="false"/>
              <w:spacing w:lineRule="exact" w:line="540"/>
              <w:rPr>
                <w:rFonts w:ascii="黑体;黑体" w:hAnsi="黑体;黑体" w:eastAsia="黑体;黑体" w:cs="黑体;黑体"/>
                <w:color w:val="000000"/>
                <w:kern w:val="0"/>
                <w:sz w:val="32"/>
                <w:szCs w:val="32"/>
              </w:rPr>
            </w:pPr>
            <w:r>
              <w:rPr>
                <w:rFonts w:eastAsia="黑体;黑体" w:cs="黑体;黑体" w:ascii="黑体;黑体" w:hAnsi="黑体;黑体"/>
                <w:color w:val="000000"/>
                <w:kern w:val="0"/>
                <w:sz w:val="32"/>
                <w:szCs w:val="32"/>
              </w:rPr>
            </w:r>
          </w:p>
        </w:tc>
      </w:tr>
      <w:tr>
        <w:trPr>
          <w:trHeight w:val="368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color w:val="000000"/>
                <w:kern w:val="0"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356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444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469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431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469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394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369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  <w:tr>
        <w:trPr>
          <w:trHeight w:val="369" w:hRule="atLeast"/>
        </w:trPr>
        <w:tc>
          <w:tcPr>
            <w:tcW w:w="17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14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19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仿宋_GB2312;仿宋" w:hAnsi="仿宋_GB2312;仿宋" w:eastAsia="仿宋_GB2312;仿宋" w:cs="仿宋_GB2312;仿宋"/>
                <w:b/>
                <w:sz w:val="30"/>
                <w:szCs w:val="30"/>
              </w:rPr>
            </w:pPr>
            <w:r>
              <w:rPr>
                <w:rFonts w:eastAsia="仿宋_GB2312;仿宋" w:cs="仿宋_GB2312;仿宋" w:ascii="仿宋_GB2312;仿宋" w:hAnsi="仿宋_GB2312;仿宋"/>
                <w:b/>
                <w:sz w:val="30"/>
                <w:szCs w:val="30"/>
              </w:rPr>
            </w:r>
          </w:p>
        </w:tc>
      </w:tr>
    </w:tbl>
    <w:p>
      <w:pPr>
        <w:pStyle w:val="Normal"/>
        <w:spacing w:lineRule="exact" w:line="620"/>
        <w:jc w:val="center"/>
        <w:rPr/>
      </w:pPr>
      <w:r>
        <w:rPr/>
      </w:r>
      <w:bookmarkStart w:id="2" w:name="zhengwen"/>
      <w:bookmarkStart w:id="3" w:name="zhengwen"/>
      <w:bookmarkEnd w:id="3"/>
    </w:p>
    <w:sectPr>
      <w:type w:val="nextPage"/>
      <w:pgSz w:orient="landscape" w:w="16838" w:h="11906"/>
      <w:pgMar w:left="1814" w:right="1814" w:gutter="0" w:header="0" w:top="1418" w:footer="0" w:bottom="1418"/>
      <w:pgNumType w:fmt="decimal"/>
      <w:formProt w:val="false"/>
      <w:textDirection w:val="lrTb"/>
      <w:docGrid w:type="linesAndChars" w:linePitch="312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libri Light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仿宋_GB2312">
    <w:altName w:val="仿宋"/>
    <w:charset w:val="86"/>
    <w:family w:val="modern"/>
    <w:pitch w:val="default"/>
  </w:font>
  <w:font w:name="黑体">
    <w:charset w:val="86"/>
    <w:family w:val="modern"/>
    <w:pitch w:val="default"/>
  </w:font>
  <w:font w:name="方正小标宋简体">
    <w:altName w:val="宋体"/>
    <w:charset w:val="86"/>
    <w:family w:val="script"/>
    <w:pitch w:val="default"/>
  </w:font>
  <w:font w:name="宋体"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Times New Roman" w:hAnsi="Times New Roman;Times New Roman" w:eastAsia="宋体;宋体" w:cs="Times New Roman;Times New Roman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libri Light" w:hAnsi="Calibri Light" w:eastAsia="宋体;宋体" w:cs="Times New Roman;Times New Roman"/>
      <w:b/>
      <w:bCs/>
      <w:sz w:val="32"/>
      <w:szCs w:val="32"/>
    </w:rPr>
  </w:style>
  <w:style w:type="character" w:styleId="Style13">
    <w:name w:val="默认段落字体"/>
    <w:qFormat/>
    <w:rPr/>
  </w:style>
  <w:style w:type="character" w:styleId="Char">
    <w:name w:val="批注框文本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2Char">
    <w:name w:val="标题 2 Char"/>
    <w:qFormat/>
    <w:rPr>
      <w:rFonts w:ascii="Calibri Light" w:hAnsi="Calibri Light" w:eastAsia="宋体;宋体" w:cs="Times New Roman;Times New Roman"/>
      <w:b/>
      <w:bCs/>
      <w:kern w:val="2"/>
      <w:sz w:val="32"/>
      <w:szCs w:val="32"/>
    </w:rPr>
  </w:style>
  <w:style w:type="character" w:styleId="Style14">
    <w:name w:val="批注引用"/>
    <w:qFormat/>
    <w:rPr>
      <w:sz w:val="21"/>
      <w:szCs w:val="21"/>
    </w:rPr>
  </w:style>
  <w:style w:type="character" w:styleId="Char2">
    <w:name w:val="批注文字 Char"/>
    <w:qFormat/>
    <w:rPr>
      <w:kern w:val="2"/>
      <w:sz w:val="21"/>
      <w:szCs w:val="24"/>
    </w:rPr>
  </w:style>
  <w:style w:type="character" w:styleId="Char3">
    <w:name w:val="批注主题 Char"/>
    <w:qFormat/>
    <w:rPr>
      <w:b/>
      <w:bCs/>
      <w:kern w:val="2"/>
      <w:sz w:val="21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araCharCharCharChar">
    <w:name w:val="默认段落字体 Para Char Char Char Char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Style16">
    <w:name w:val="二级标题"/>
    <w:basedOn w:val="Heading2"/>
    <w:qFormat/>
    <w:pPr>
      <w:numPr>
        <w:ilvl w:val="0"/>
        <w:numId w:val="0"/>
      </w:numPr>
      <w:spacing w:lineRule="auto" w:line="360" w:before="0" w:after="0"/>
      <w:ind w:firstLine="200" w:left="0" w:right="0"/>
      <w:jc w:val="center"/>
      <w:outlineLvl w:val="9"/>
    </w:pPr>
    <w:rPr>
      <w:rFonts w:ascii="仿宋_GB2312;仿宋" w:hAnsi="仿宋_GB2312;仿宋" w:eastAsia="仿宋_GB2312;仿宋" w:cs="Times New Roman;Times New Roman"/>
      <w:sz w:val="28"/>
      <w:szCs w:val="28"/>
    </w:rPr>
  </w:style>
  <w:style w:type="paragraph" w:styleId="Style17">
    <w:name w:val="批注文字"/>
    <w:basedOn w:val="Normal"/>
    <w:qFormat/>
    <w:pPr>
      <w:jc w:val="left"/>
    </w:pPr>
    <w:rPr/>
  </w:style>
  <w:style w:type="paragraph" w:styleId="Style18">
    <w:name w:val="批注主题"/>
    <w:basedOn w:val="Style17"/>
    <w:next w:val="Style17"/>
    <w:qFormat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LibreOffice/7.6.2.1$MacOSX_AARCH64 LibreOffice_project/56f7684011345957bbf33a7ee678afaf4d2ba333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2020-01-08T21:41:00Z</dcterms:created>
  <dc:creator/>
  <dc:description/>
  <cp:keywords/>
  <dc:language>zh-CN</dc:language>
  <cp:lastModifiedBy/>
  <cp:lastPrinted>2014-08-20T09:49:00Z</cp:lastPrinted>
  <dcterms:modified xsi:type="dcterms:W3CDTF">2020-01-08T21:41:00Z</dcterms:modified>
  <cp:revision>0</cp:revision>
  <dc:subject/>
  <dc:title/>
</cp:coreProperties>
</file>