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97"/>
        <w:ind w:hanging="1600" w:left="2780" w:right="1320"/>
        <w:jc w:val="center"/>
        <w:rPr>
          <w:rFonts w:eastAsia="仿宋_GB2312;仿宋"/>
          <w:b/>
          <w:sz w:val="28"/>
          <w:szCs w:val="28"/>
        </w:rPr>
      </w:pPr>
      <w:r>
        <w:rPr>
          <w:rFonts w:eastAsia="仿宋_GB2312;仿宋"/>
          <w:b/>
          <w:sz w:val="28"/>
          <w:szCs w:val="28"/>
        </w:rPr>
        <w:t>xxx</w:t>
      </w:r>
      <w:r>
        <w:rPr>
          <w:rFonts w:eastAsia="仿宋_GB2312;仿宋"/>
          <w:b/>
          <w:sz w:val="28"/>
          <w:szCs w:val="28"/>
        </w:rPr>
        <w:t>银行</w:t>
      </w:r>
    </w:p>
    <w:p>
      <w:pPr>
        <w:pStyle w:val="Style14"/>
        <w:ind w:hanging="0" w:right="0"/>
        <w:rPr>
          <w:rFonts w:ascii="Times New Roman;Times New Roman" w:hAnsi="Times New Roman;Times New Roman" w:cs="Times New Roman;Times New Roman"/>
        </w:rPr>
      </w:pPr>
      <w:r>
        <w:rPr>
          <w:rFonts w:ascii="Times New Roman;Times New Roman" w:hAnsi="Times New Roman;Times New Roman" w:cs="Times New Roman;Times New Roman"/>
        </w:rPr>
        <w:t>反洗钱内部报告制度</w:t>
      </w:r>
    </w:p>
    <w:p>
      <w:pPr>
        <w:pStyle w:val="Normal"/>
        <w:spacing w:lineRule="auto" w:line="360"/>
        <w:ind w:firstLine="537" w:right="0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/>
          <w:sz w:val="28"/>
          <w:szCs w:val="28"/>
        </w:rPr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第一条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为规范</w:t>
      </w:r>
      <w:r>
        <w:rPr>
          <w:rFonts w:eastAsia="仿宋_GB2312;仿宋"/>
          <w:sz w:val="28"/>
          <w:szCs w:val="28"/>
        </w:rPr>
        <w:t>xxx</w:t>
      </w:r>
      <w:r>
        <w:rPr>
          <w:rFonts w:eastAsia="仿宋_GB2312;仿宋"/>
          <w:sz w:val="28"/>
          <w:szCs w:val="28"/>
        </w:rPr>
        <w:t>银行（以下简称“本行”）反洗钱报告工作，及时了解反洗钱工作情况，加强对各营业网点的日常指导和监督，促进反洗钱工作的深入开展，依据《中华人民共和国反洗钱法》和《金融机构反洗钱规定》等法律规章，结合本行实际，制定本制度。</w:t>
      </w:r>
    </w:p>
    <w:p>
      <w:pPr>
        <w:pStyle w:val="Normal"/>
        <w:spacing w:lineRule="auto" w:line="360"/>
        <w:ind w:firstLine="537" w:right="0"/>
        <w:rPr>
          <w:sz w:val="28"/>
          <w:szCs w:val="28"/>
        </w:rPr>
      </w:pPr>
      <w:r>
        <w:rPr>
          <w:rFonts w:eastAsia="仿宋_GB2312;仿宋"/>
          <w:sz w:val="28"/>
          <w:szCs w:val="28"/>
        </w:rPr>
        <w:t>第二条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各支行应当依照《中民人民共和国反洗钱法》等法律法规及本制度的规定认真履行反洗钱报告义务，审慎识别和报告可疑支付交易，全面、及时地向本行运营管理部报告反洗钱工作情况，确保内容的真实性、完整性和准确性。</w:t>
      </w:r>
    </w:p>
    <w:p>
      <w:pPr>
        <w:pStyle w:val="Normal"/>
        <w:spacing w:lineRule="auto" w:line="360"/>
        <w:ind w:firstLine="537" w:right="0"/>
        <w:rPr>
          <w:sz w:val="28"/>
          <w:szCs w:val="28"/>
        </w:rPr>
      </w:pPr>
      <w:r>
        <w:rPr>
          <w:rFonts w:eastAsia="仿宋_GB2312;仿宋"/>
          <w:sz w:val="28"/>
          <w:szCs w:val="28"/>
        </w:rPr>
        <w:t>第三条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各支行应分别按季、按年度或按规定随时向本行报送反洗钱工作情况。</w:t>
      </w:r>
    </w:p>
    <w:p>
      <w:pPr>
        <w:pStyle w:val="Normal"/>
        <w:spacing w:lineRule="auto" w:line="360"/>
        <w:ind w:firstLine="537" w:right="0"/>
        <w:rPr>
          <w:sz w:val="28"/>
          <w:szCs w:val="28"/>
        </w:rPr>
      </w:pPr>
      <w:r>
        <w:rPr>
          <w:rFonts w:eastAsia="仿宋_GB2312;仿宋"/>
          <w:sz w:val="28"/>
          <w:szCs w:val="28"/>
        </w:rPr>
        <w:t>第四条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本行运营管理部收到支行报送的反洗钱工作报告后，应认真进行审核、整理、分析和汇总，发现情况不真实、不准确和不完整的，应责令其重新报送，并在辖内通报。</w:t>
      </w:r>
    </w:p>
    <w:p>
      <w:pPr>
        <w:pStyle w:val="Normal"/>
        <w:spacing w:lineRule="auto" w:line="360"/>
        <w:ind w:firstLine="537" w:right="0"/>
        <w:rPr>
          <w:sz w:val="28"/>
          <w:szCs w:val="28"/>
        </w:rPr>
      </w:pPr>
      <w:r>
        <w:rPr>
          <w:rFonts w:eastAsia="仿宋_GB2312;仿宋"/>
          <w:sz w:val="28"/>
          <w:szCs w:val="28"/>
        </w:rPr>
        <w:t>第五条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本行对各支行报告的有关信息保密，超过法律规定的，不得向任何其他部门和个人提供。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第六条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各支行应根据《</w:t>
      </w:r>
      <w:r>
        <w:rPr>
          <w:rFonts w:eastAsia="仿宋_GB2312;仿宋"/>
          <w:sz w:val="28"/>
          <w:szCs w:val="28"/>
        </w:rPr>
        <w:t>xxx</w:t>
      </w:r>
      <w:r>
        <w:rPr>
          <w:rFonts w:eastAsia="仿宋_GB2312;仿宋"/>
          <w:sz w:val="28"/>
          <w:szCs w:val="28"/>
        </w:rPr>
        <w:t>银行反洗钱</w:t>
      </w:r>
      <w:r>
        <w:rPr>
          <w:rFonts w:eastAsia="仿宋_GB2312;仿宋"/>
          <w:sz w:val="28"/>
          <w:szCs w:val="28"/>
        </w:rPr>
        <w:t>管理</w:t>
      </w:r>
      <w:r>
        <w:rPr>
          <w:rFonts w:eastAsia="仿宋_GB2312;仿宋"/>
          <w:sz w:val="28"/>
          <w:szCs w:val="28"/>
        </w:rPr>
        <w:t>办法》的要求，上报各项报表及情况说明。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反洗钱非现场监管报表情况说明，内容包括：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1.</w:t>
      </w:r>
      <w:r>
        <w:rPr>
          <w:rFonts w:eastAsia="仿宋_GB2312;仿宋"/>
          <w:sz w:val="28"/>
          <w:szCs w:val="28"/>
        </w:rPr>
        <w:t>各支行执行反洗钱制度办法的总体情况；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2.</w:t>
      </w:r>
      <w:r>
        <w:rPr>
          <w:rFonts w:eastAsia="仿宋_GB2312;仿宋"/>
          <w:sz w:val="28"/>
          <w:szCs w:val="28"/>
        </w:rPr>
        <w:t>各支行执行反洗钱规定中存在的风险及其他值得关注的问题；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3.</w:t>
      </w:r>
      <w:r>
        <w:rPr>
          <w:rFonts w:eastAsia="仿宋_GB2312;仿宋"/>
          <w:sz w:val="28"/>
          <w:szCs w:val="28"/>
        </w:rPr>
        <w:t>结合自身情况，改进非现场监管的建议；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4.</w:t>
      </w:r>
      <w:r>
        <w:rPr>
          <w:rFonts w:eastAsia="仿宋_GB2312;仿宋"/>
          <w:sz w:val="28"/>
          <w:szCs w:val="28"/>
        </w:rPr>
        <w:t>其他需要说明的情况。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各支行应于每季度结束后的</w:t>
      </w:r>
      <w:r>
        <w:rPr>
          <w:rFonts w:eastAsia="仿宋_GB2312;仿宋"/>
          <w:sz w:val="28"/>
          <w:szCs w:val="28"/>
        </w:rPr>
        <w:t>3</w:t>
      </w:r>
      <w:r>
        <w:rPr>
          <w:rFonts w:eastAsia="仿宋_GB2312;仿宋"/>
          <w:sz w:val="28"/>
          <w:szCs w:val="28"/>
        </w:rPr>
        <w:t>个工作日内上报。</w:t>
      </w:r>
    </w:p>
    <w:p>
      <w:pPr>
        <w:pStyle w:val="Normal"/>
        <w:spacing w:lineRule="auto" w:line="360"/>
        <w:ind w:firstLine="537" w:right="0"/>
        <w:rPr>
          <w:sz w:val="28"/>
          <w:szCs w:val="28"/>
        </w:rPr>
      </w:pPr>
      <w:r>
        <w:rPr>
          <w:rFonts w:eastAsia="仿宋_GB2312;仿宋"/>
          <w:sz w:val="28"/>
          <w:szCs w:val="28"/>
        </w:rPr>
        <w:t>第七条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支行反洗钱工作报告内容包括：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（一）反洗钱年度工作计划：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1.</w:t>
      </w:r>
      <w:r>
        <w:rPr>
          <w:rFonts w:eastAsia="仿宋_GB2312;仿宋"/>
          <w:sz w:val="28"/>
          <w:szCs w:val="28"/>
        </w:rPr>
        <w:t>年度内开展反洗钱工作的总体思路；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2.</w:t>
      </w:r>
      <w:r>
        <w:rPr>
          <w:rFonts w:eastAsia="仿宋_GB2312;仿宋"/>
          <w:sz w:val="28"/>
          <w:szCs w:val="28"/>
        </w:rPr>
        <w:t>在组织体系、制度建设、人员配备和监督问责等方面的工作安排；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3.</w:t>
      </w:r>
      <w:r>
        <w:rPr>
          <w:rFonts w:eastAsia="仿宋_GB2312;仿宋"/>
          <w:sz w:val="28"/>
          <w:szCs w:val="28"/>
        </w:rPr>
        <w:t>在履行反洗钱义务方面的措施；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4.</w:t>
      </w:r>
      <w:r>
        <w:rPr>
          <w:rFonts w:eastAsia="仿宋_GB2312;仿宋"/>
          <w:sz w:val="28"/>
          <w:szCs w:val="28"/>
        </w:rPr>
        <w:t>反洗钱宣传培训年度计划安排；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5.</w:t>
      </w:r>
      <w:r>
        <w:rPr>
          <w:rFonts w:eastAsia="仿宋_GB2312;仿宋"/>
          <w:sz w:val="28"/>
          <w:szCs w:val="28"/>
        </w:rPr>
        <w:t>工作思路创新。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（二）反洗钱工作总结内容包括：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1.</w:t>
      </w:r>
      <w:r>
        <w:rPr>
          <w:rFonts w:eastAsia="仿宋_GB2312;仿宋"/>
          <w:sz w:val="28"/>
          <w:szCs w:val="28"/>
        </w:rPr>
        <w:t>开展反洗钱工作基本情况。包括内控制度执行情况、客户尽职调查情况、客户交易记录保存情况、大额和可疑交易报告情况和反洗钱宣传培训等情况；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2.</w:t>
      </w:r>
      <w:r>
        <w:rPr>
          <w:rFonts w:eastAsia="仿宋_GB2312;仿宋"/>
          <w:sz w:val="28"/>
          <w:szCs w:val="28"/>
        </w:rPr>
        <w:t>开展反洗钱工作存在的主要问题；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3.</w:t>
      </w:r>
      <w:r>
        <w:rPr>
          <w:rFonts w:eastAsia="仿宋_GB2312;仿宋"/>
          <w:sz w:val="28"/>
          <w:szCs w:val="28"/>
        </w:rPr>
        <w:t>宣传培训年度计划执行情况。包括培训次数、人数、内容及方式等；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4.</w:t>
      </w:r>
      <w:r>
        <w:rPr>
          <w:rFonts w:eastAsia="仿宋_GB2312;仿宋"/>
          <w:sz w:val="28"/>
          <w:szCs w:val="28"/>
        </w:rPr>
        <w:t>开展反洗钱工作存在问题的原因分析；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5.</w:t>
      </w:r>
      <w:r>
        <w:rPr>
          <w:rFonts w:eastAsia="仿宋_GB2312;仿宋"/>
          <w:sz w:val="28"/>
          <w:szCs w:val="28"/>
        </w:rPr>
        <w:t>对存在问题的整改情况及采取的整改措施；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6.</w:t>
      </w:r>
      <w:r>
        <w:rPr>
          <w:rFonts w:eastAsia="仿宋_GB2312;仿宋"/>
          <w:sz w:val="28"/>
          <w:szCs w:val="28"/>
        </w:rPr>
        <w:t>对开展反洗钱工作的意见和建议。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（三）涉嫌洗钱行为等重大事项报告：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1.</w:t>
      </w:r>
      <w:r>
        <w:rPr>
          <w:rFonts w:eastAsia="仿宋_GB2312;仿宋"/>
          <w:sz w:val="28"/>
          <w:szCs w:val="28"/>
        </w:rPr>
        <w:t>发现涉嫌洗钱行为的经过和实际情况；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2.</w:t>
      </w:r>
      <w:r>
        <w:rPr>
          <w:rFonts w:eastAsia="仿宋_GB2312;仿宋"/>
          <w:sz w:val="28"/>
          <w:szCs w:val="28"/>
        </w:rPr>
        <w:t>配合有关部门对涉嫌洗钱行为的查询、冻结等情况。</w:t>
      </w:r>
    </w:p>
    <w:p>
      <w:pPr>
        <w:pStyle w:val="Normal"/>
        <w:spacing w:lineRule="auto" w:line="360"/>
        <w:ind w:firstLine="537" w:right="0"/>
        <w:rPr>
          <w:sz w:val="28"/>
          <w:szCs w:val="28"/>
        </w:rPr>
      </w:pPr>
      <w:r>
        <w:rPr>
          <w:rFonts w:eastAsia="仿宋_GB2312;仿宋"/>
          <w:sz w:val="28"/>
          <w:szCs w:val="28"/>
        </w:rPr>
        <w:t>第八条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对上述报送内容和要求，严格按人民银行的规定执行。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第九条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本制度由</w:t>
      </w:r>
      <w:r>
        <w:rPr>
          <w:rFonts w:eastAsia="仿宋_GB2312;仿宋"/>
          <w:sz w:val="28"/>
          <w:szCs w:val="28"/>
        </w:rPr>
        <w:t>xxx</w:t>
      </w:r>
      <w:r>
        <w:rPr>
          <w:rFonts w:eastAsia="仿宋_GB2312;仿宋"/>
          <w:sz w:val="28"/>
          <w:szCs w:val="28"/>
        </w:rPr>
        <w:t>银行</w:t>
      </w:r>
      <w:r>
        <w:rPr>
          <w:rFonts w:eastAsia="仿宋_GB2312;仿宋"/>
          <w:sz w:val="28"/>
          <w:szCs w:val="28"/>
        </w:rPr>
        <w:t>运营</w:t>
      </w:r>
      <w:r>
        <w:rPr>
          <w:rFonts w:eastAsia="仿宋_GB2312;仿宋"/>
          <w:sz w:val="28"/>
          <w:szCs w:val="28"/>
        </w:rPr>
        <w:t>管理部</w:t>
      </w:r>
      <w:r>
        <w:rPr>
          <w:rFonts w:eastAsia="仿宋_GB2312;仿宋"/>
          <w:sz w:val="28"/>
          <w:szCs w:val="28"/>
        </w:rPr>
        <w:t>负责</w:t>
      </w:r>
      <w:r>
        <w:rPr>
          <w:rFonts w:eastAsia="仿宋_GB2312;仿宋"/>
          <w:sz w:val="28"/>
          <w:szCs w:val="28"/>
        </w:rPr>
        <w:t>解释和修订。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第十条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本制度</w:t>
      </w:r>
      <w:r>
        <w:rPr>
          <w:rFonts w:eastAsia="仿宋_GB2312;仿宋"/>
          <w:sz w:val="28"/>
          <w:szCs w:val="28"/>
        </w:rPr>
        <w:t>自发文之日起施行</w:t>
      </w:r>
      <w:r>
        <w:rPr>
          <w:rFonts w:eastAsia="仿宋_GB2312;仿宋"/>
          <w:sz w:val="28"/>
          <w:szCs w:val="28"/>
        </w:rPr>
        <w:t>。</w:t>
      </w:r>
    </w:p>
    <w:sectPr>
      <w:footerReference w:type="default" r:id="rId2"/>
      <w:type w:val="nextPage"/>
      <w:pgSz w:w="11906" w:h="16838"/>
      <w:pgMar w:left="1588" w:right="1588" w:gutter="0" w:header="0" w:top="1814" w:footer="1134" w:bottom="1588"/>
      <w:pgNumType w:fmt="decimal"/>
      <w:formProt w:val="false"/>
      <w:textDirection w:val="lrTb"/>
      <w:docGrid w:type="linesAndChars" w:linePitch="312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alibri Light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仿宋_GB2312">
    <w:altName w:val="仿宋"/>
    <w:charset w:val="86"/>
    <w:family w:val="modern"/>
    <w:pitch w:val="default"/>
  </w:font>
  <w:font w:name="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宋体;宋体" w:hAnsi="宋体;宋体" w:cs="宋体;宋体"/>
        <w:sz w:val="24"/>
        <w:szCs w:val="24"/>
      </w:rPr>
    </w:pPr>
    <w:r>
      <w:rPr>
        <w:rFonts w:cs="宋体;宋体" w:ascii="宋体;宋体" w:hAnsi="宋体;宋体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Times New Roman" w:hAnsi="Times New Roman;Times New Roman" w:eastAsia="宋体;宋体" w:cs="Times New Roman;Times New Roman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Calibri Light" w:hAnsi="Calibri Light" w:eastAsia="宋体;宋体" w:cs="Times New Roman;Times New Roman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Char">
    <w:name w:val="页眉 Char"/>
    <w:qFormat/>
    <w:rPr>
      <w:rFonts w:ascii="Times New Roman;Times New Roman" w:hAnsi="Times New Roman;Times New Roman" w:eastAsia="宋体;宋体" w:cs="Times New Roman;Times New Roman"/>
      <w:sz w:val="18"/>
      <w:szCs w:val="18"/>
    </w:rPr>
  </w:style>
  <w:style w:type="character" w:styleId="Char1">
    <w:name w:val="页脚 Char"/>
    <w:qFormat/>
    <w:rPr>
      <w:rFonts w:ascii="Times New Roman;Times New Roman" w:hAnsi="Times New Roman;Times New Roman" w:eastAsia="宋体;宋体" w:cs="Times New Roman;Times New Roman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har2">
    <w:name w:val=" Char"/>
    <w:basedOn w:val="Normal"/>
    <w:qFormat/>
    <w:pPr>
      <w:keepNext w:val="true"/>
      <w:widowControl/>
      <w:tabs>
        <w:tab w:val="clear" w:pos="420"/>
        <w:tab w:val="left" w:pos="425" w:leader="none"/>
      </w:tabs>
      <w:autoSpaceDE w:val="false"/>
      <w:spacing w:before="80" w:after="80"/>
      <w:ind w:hanging="425" w:left="0" w:right="0"/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3">
    <w:name w:val="批注框文本"/>
    <w:basedOn w:val="Normal"/>
    <w:qFormat/>
    <w:pPr/>
    <w:rPr>
      <w:sz w:val="18"/>
      <w:szCs w:val="18"/>
    </w:rPr>
  </w:style>
  <w:style w:type="paragraph" w:styleId="Style14">
    <w:name w:val="二级标题"/>
    <w:basedOn w:val="Heading2"/>
    <w:qFormat/>
    <w:pPr>
      <w:numPr>
        <w:ilvl w:val="0"/>
        <w:numId w:val="0"/>
      </w:numPr>
      <w:spacing w:lineRule="auto" w:line="360" w:before="0" w:after="0"/>
      <w:ind w:firstLine="200" w:left="0" w:right="0"/>
      <w:jc w:val="center"/>
      <w:outlineLvl w:val="9"/>
    </w:pPr>
    <w:rPr>
      <w:rFonts w:ascii="仿宋_GB2312;仿宋" w:hAnsi="仿宋_GB2312;仿宋" w:eastAsia="仿宋_GB2312;仿宋" w:cs="华文中宋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LibreOffice/7.6.2.1$MacOSX_AARCH64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2020-01-08T21:41:00Z</dcterms:created>
  <dc:creator/>
  <dc:description/>
  <cp:keywords/>
  <dc:language>zh-CN</dc:language>
  <cp:lastModifiedBy/>
  <cp:lastPrinted>2013-03-27T15:13:00Z</cp:lastPrinted>
  <dcterms:modified xsi:type="dcterms:W3CDTF">2020-01-08T21:41:00Z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