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97"/>
        <w:ind w:hanging="1600" w:left="2780" w:right="1320"/>
        <w:jc w:val="center"/>
        <w:rPr>
          <w:rFonts w:eastAsia="仿宋_GB2312;仿宋"/>
          <w:b/>
          <w:sz w:val="28"/>
          <w:szCs w:val="28"/>
        </w:rPr>
      </w:pPr>
      <w:bookmarkStart w:id="0" w:name="zhengwen"/>
      <w:r>
        <w:rPr>
          <w:rFonts w:eastAsia="仿宋_GB2312;仿宋"/>
          <w:b/>
          <w:sz w:val="28"/>
          <w:szCs w:val="28"/>
        </w:rPr>
        <w:t>xxx</w:t>
      </w:r>
      <w:r>
        <w:rPr>
          <w:rFonts w:eastAsia="仿宋_GB2312;仿宋"/>
          <w:b/>
          <w:sz w:val="28"/>
          <w:szCs w:val="28"/>
        </w:rPr>
        <w:t>银行</w:t>
      </w:r>
    </w:p>
    <w:p>
      <w:pPr>
        <w:pStyle w:val="Style13"/>
        <w:ind w:hanging="0" w:right="0"/>
        <w:rPr>
          <w:rFonts w:ascii="Times New Roman;Times New Roman" w:hAnsi="Times New Roman;Times New Roman" w:cs="Times New Roman;Times New Roman"/>
          <w:lang w:bidi="en-US"/>
        </w:rPr>
      </w:pPr>
      <w:r>
        <w:rPr>
          <w:rFonts w:ascii="Times New Roman;Times New Roman" w:hAnsi="Times New Roman;Times New Roman" w:cs="Times New Roman;Times New Roman"/>
          <w:lang w:bidi="en-US"/>
        </w:rPr>
        <w:t>反洗钱培训与宣传管理办法</w:t>
      </w:r>
    </w:p>
    <w:p>
      <w:pPr>
        <w:pStyle w:val="Normal"/>
        <w:spacing w:lineRule="auto" w:line="360" w:before="156" w:after="0"/>
        <w:jc w:val="center"/>
        <w:rPr>
          <w:rFonts w:ascii="Times New Roman;Times New Roman" w:hAnsi="Times New Roman;Times New Roman" w:eastAsia="仿宋_GB2312;仿宋" w:cs="Times New Roman;Times New Roman"/>
          <w:b/>
          <w:sz w:val="28"/>
          <w:szCs w:val="28"/>
          <w:lang w:bidi="en-US"/>
        </w:rPr>
      </w:pPr>
      <w:r>
        <w:rPr>
          <w:rFonts w:eastAsia="仿宋_GB2312;仿宋" w:cs="Times New Roman;Times New Roman"/>
          <w:b/>
          <w:sz w:val="28"/>
          <w:szCs w:val="28"/>
          <w:lang w:bidi="en-US"/>
        </w:rPr>
      </w:r>
    </w:p>
    <w:p>
      <w:pPr>
        <w:pStyle w:val="Normal"/>
        <w:spacing w:lineRule="auto" w:line="360" w:before="156" w:after="0"/>
        <w:jc w:val="center"/>
        <w:rPr/>
      </w:pPr>
      <w:r>
        <w:rPr>
          <w:rFonts w:eastAsia="仿宋_GB2312;仿宋"/>
          <w:b/>
          <w:sz w:val="28"/>
          <w:szCs w:val="28"/>
        </w:rPr>
        <w:t>第一章</w:t>
      </w:r>
      <w:r>
        <w:rPr>
          <w:rFonts w:eastAsia="Times New Roman;Times New Roman"/>
          <w:b/>
          <w:sz w:val="28"/>
          <w:szCs w:val="28"/>
        </w:rPr>
        <w:t xml:space="preserve">  </w:t>
      </w:r>
      <w:r>
        <w:rPr>
          <w:rFonts w:eastAsia="仿宋_GB2312;仿宋"/>
          <w:b/>
          <w:sz w:val="28"/>
          <w:szCs w:val="28"/>
        </w:rPr>
        <w:t>总</w:t>
      </w:r>
      <w:r>
        <w:rPr>
          <w:rFonts w:eastAsia="Times New Roman;Times New Roman"/>
          <w:b/>
          <w:sz w:val="28"/>
          <w:szCs w:val="28"/>
        </w:rPr>
        <w:t xml:space="preserve"> </w:t>
      </w:r>
      <w:r>
        <w:rPr>
          <w:rFonts w:eastAsia="仿宋_GB2312;仿宋"/>
          <w:b/>
          <w:sz w:val="28"/>
          <w:szCs w:val="28"/>
        </w:rPr>
        <w:t>则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第一条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反洗钱培训与宣传是提高员工反洗钱能力、树立</w:t>
      </w:r>
      <w:r>
        <w:rPr>
          <w:rFonts w:eastAsia="仿宋_GB2312;仿宋"/>
          <w:sz w:val="28"/>
          <w:szCs w:val="28"/>
        </w:rPr>
        <w:t>xxx</w:t>
      </w:r>
      <w:r>
        <w:rPr>
          <w:rFonts w:eastAsia="仿宋_GB2312;仿宋"/>
          <w:sz w:val="28"/>
          <w:szCs w:val="28"/>
        </w:rPr>
        <w:t>银行（以下简称“本行”）良好社会形象的重要途径。本行</w:t>
      </w:r>
      <w:r>
        <w:rPr>
          <w:rFonts w:eastAsia="仿宋_GB2312;仿宋"/>
          <w:sz w:val="28"/>
          <w:szCs w:val="28"/>
        </w:rPr>
        <w:t>根据《中华人民共和国反洗钱法》、《金融机构反洗钱规定》</w:t>
      </w:r>
      <w:r>
        <w:rPr>
          <w:rFonts w:eastAsia="仿宋_GB2312;仿宋"/>
          <w:sz w:val="28"/>
          <w:szCs w:val="28"/>
        </w:rPr>
        <w:t>结合业务特点和地域实际，持续开展各类反洗钱培训和宣传活动，并积极配合有关监管机构落实相关工作。</w:t>
      </w:r>
    </w:p>
    <w:p>
      <w:pPr>
        <w:pStyle w:val="Normal"/>
        <w:spacing w:lineRule="auto" w:line="360"/>
        <w:ind w:firstLine="537" w:right="0"/>
        <w:rPr>
          <w:sz w:val="28"/>
          <w:szCs w:val="28"/>
        </w:rPr>
      </w:pPr>
      <w:r>
        <w:rPr>
          <w:rFonts w:eastAsia="仿宋_GB2312;仿宋"/>
          <w:sz w:val="28"/>
          <w:szCs w:val="28"/>
        </w:rPr>
        <w:t>第二条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反洗钱培训与宣传情况应纳入各网点、各条线（部门）反洗钱检查内容及反洗钱工作分类管理评价。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第三条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本办法适用于各支行、部，机关各部室及</w:t>
      </w:r>
      <w:r>
        <w:rPr>
          <w:rFonts w:ascii="仿宋_GB2312;仿宋" w:hAnsi="仿宋_GB2312;仿宋" w:eastAsia="仿宋_GB2312;仿宋"/>
          <w:sz w:val="28"/>
          <w:szCs w:val="28"/>
        </w:rPr>
        <w:t>团队</w:t>
      </w:r>
      <w:r>
        <w:rPr>
          <w:rFonts w:eastAsia="仿宋_GB2312;仿宋"/>
          <w:sz w:val="28"/>
          <w:szCs w:val="28"/>
        </w:rPr>
        <w:t>。</w:t>
      </w:r>
    </w:p>
    <w:p>
      <w:pPr>
        <w:pStyle w:val="Normal"/>
        <w:spacing w:lineRule="auto" w:line="360" w:before="156" w:after="0"/>
        <w:jc w:val="center"/>
        <w:rPr>
          <w:rFonts w:eastAsia="仿宋_GB2312;仿宋"/>
          <w:b/>
          <w:sz w:val="28"/>
          <w:szCs w:val="28"/>
        </w:rPr>
      </w:pPr>
      <w:r>
        <w:rPr>
          <w:rFonts w:eastAsia="仿宋_GB2312;仿宋"/>
          <w:b/>
          <w:sz w:val="28"/>
          <w:szCs w:val="28"/>
        </w:rPr>
      </w:r>
    </w:p>
    <w:p>
      <w:pPr>
        <w:pStyle w:val="Normal"/>
        <w:spacing w:lineRule="auto" w:line="360" w:before="156" w:after="0"/>
        <w:jc w:val="center"/>
        <w:rPr>
          <w:b/>
          <w:sz w:val="28"/>
          <w:szCs w:val="28"/>
        </w:rPr>
      </w:pPr>
      <w:r>
        <w:rPr>
          <w:rFonts w:eastAsia="仿宋_GB2312;仿宋"/>
          <w:b/>
          <w:sz w:val="28"/>
          <w:szCs w:val="28"/>
        </w:rPr>
        <w:t>第二章</w:t>
      </w:r>
      <w:r>
        <w:rPr>
          <w:rFonts w:eastAsia="Times New Roman;Times New Roman"/>
          <w:b/>
          <w:sz w:val="28"/>
          <w:szCs w:val="28"/>
        </w:rPr>
        <w:t xml:space="preserve">  </w:t>
      </w:r>
      <w:r>
        <w:rPr>
          <w:rFonts w:eastAsia="仿宋_GB2312;仿宋"/>
          <w:b/>
          <w:sz w:val="28"/>
          <w:szCs w:val="28"/>
        </w:rPr>
        <w:t>反洗钱培训</w:t>
      </w:r>
    </w:p>
    <w:p>
      <w:pPr>
        <w:pStyle w:val="Normal"/>
        <w:spacing w:lineRule="auto" w:line="360"/>
        <w:ind w:firstLine="537" w:right="0"/>
        <w:rPr>
          <w:sz w:val="28"/>
          <w:szCs w:val="28"/>
        </w:rPr>
      </w:pPr>
      <w:r>
        <w:rPr>
          <w:rFonts w:eastAsia="仿宋_GB2312;仿宋"/>
          <w:sz w:val="28"/>
          <w:szCs w:val="28"/>
        </w:rPr>
        <w:t>第四条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行应当按照反洗钱预防、监控制度的要求，建立反洗钱培训长效机制，确保各类金融从业人员及时了解反洗钱监管政策、反洗钱内控要求、反洗钱新方法、反洗钱新技术、洗钱风险变动情况等方面的反洗钱工作信息。</w:t>
      </w:r>
    </w:p>
    <w:p>
      <w:pPr>
        <w:pStyle w:val="Normal"/>
        <w:spacing w:lineRule="auto" w:line="360"/>
        <w:ind w:firstLine="537" w:right="0"/>
        <w:rPr>
          <w:sz w:val="28"/>
          <w:szCs w:val="28"/>
        </w:rPr>
      </w:pPr>
      <w:r>
        <w:rPr>
          <w:rFonts w:eastAsia="仿宋_GB2312;仿宋"/>
          <w:sz w:val="28"/>
          <w:szCs w:val="28"/>
        </w:rPr>
        <w:t>第五条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本行每年应制定年度反洗钱培训计划，并认真组织开展对员工的反洗钱培训，确保员工有效履行反洗钱义务。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（一）反洗钱工作办公室负责反洗钱培训计划的制订和组织实施。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（二）各业务条线（部门）负责本条线（部门）反洗钱培训，将反洗钱培训纳入本条线业务培训，每年至少组织一次对本条线员工的反洗钱知识培训。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（三）对新聘用的从业人员进行必要的反洗钱培训，未经培训并考试合格的员工不得上岗。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（四）对从事洗钱风险较高岗位的从业人员，适当提高反洗钱培训的强度和频率。</w:t>
      </w:r>
    </w:p>
    <w:p>
      <w:pPr>
        <w:pStyle w:val="Normal"/>
        <w:spacing w:lineRule="auto" w:line="36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（五）各反洗钱岗位人员更换时应进行反洗钱培训，做好交接工作。</w:t>
      </w:r>
    </w:p>
    <w:p>
      <w:pPr>
        <w:pStyle w:val="Normal"/>
        <w:spacing w:lineRule="auto" w:line="360"/>
        <w:ind w:firstLine="537" w:right="0"/>
        <w:rPr>
          <w:sz w:val="28"/>
          <w:szCs w:val="28"/>
        </w:rPr>
      </w:pPr>
      <w:r>
        <w:rPr>
          <w:rFonts w:eastAsia="仿宋_GB2312;仿宋"/>
          <w:sz w:val="28"/>
          <w:szCs w:val="28"/>
        </w:rPr>
        <w:t>第六条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培训内容包括但不限于：反洗钱政策和基本状况、反洗钱法规规章；本单位反洗钱操作流程；反洗钱的基础知识；反洗钱系统操作；客户身份识别、客户风险等级划分、客户尽职调查的内容和要求；可疑交易与恐怖融资的监测、分析与报告；案例分析、风险提示等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第七条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培训方式包括但不限于：集中培训与现场讨论</w:t>
      </w:r>
      <w:r>
        <w:rPr>
          <w:rFonts w:eastAsia="仿宋_GB2312;仿宋"/>
          <w:sz w:val="28"/>
          <w:szCs w:val="28"/>
        </w:rPr>
        <w:t>；</w:t>
      </w:r>
      <w:r>
        <w:rPr>
          <w:rFonts w:eastAsia="仿宋_GB2312;仿宋"/>
          <w:sz w:val="28"/>
          <w:szCs w:val="28"/>
        </w:rPr>
        <w:t>聘请专业人员集中授课</w:t>
      </w:r>
      <w:r>
        <w:rPr>
          <w:rFonts w:eastAsia="仿宋_GB2312;仿宋"/>
          <w:sz w:val="28"/>
          <w:szCs w:val="28"/>
        </w:rPr>
        <w:t>；</w:t>
      </w:r>
      <w:r>
        <w:rPr>
          <w:rFonts w:eastAsia="仿宋_GB2312;仿宋"/>
          <w:sz w:val="28"/>
          <w:szCs w:val="28"/>
        </w:rPr>
        <w:t>通过电子化培训平台设置培训课程</w:t>
      </w:r>
      <w:r>
        <w:rPr>
          <w:rFonts w:eastAsia="仿宋_GB2312;仿宋"/>
          <w:sz w:val="28"/>
          <w:szCs w:val="28"/>
        </w:rPr>
        <w:t>；</w:t>
      </w:r>
      <w:r>
        <w:rPr>
          <w:rFonts w:eastAsia="仿宋_GB2312;仿宋"/>
          <w:sz w:val="28"/>
          <w:szCs w:val="28"/>
        </w:rPr>
        <w:t>布置自学内容并组织考试。</w:t>
      </w:r>
    </w:p>
    <w:p>
      <w:pPr>
        <w:pStyle w:val="Normal"/>
        <w:spacing w:lineRule="auto" w:line="360"/>
        <w:ind w:firstLine="537" w:right="0"/>
        <w:rPr>
          <w:sz w:val="28"/>
          <w:szCs w:val="28"/>
        </w:rPr>
      </w:pPr>
      <w:r>
        <w:rPr>
          <w:rFonts w:eastAsia="仿宋_GB2312;仿宋"/>
          <w:sz w:val="28"/>
          <w:szCs w:val="28"/>
        </w:rPr>
        <w:t>第八条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应注意反洗钱培训时效性、有效性和针对性。对反洗钱法律法规、监管要求、反洗钱制度规定、风险提示等要及时培训到相关反洗钱人员，对反洗钱检查中存在的问题进行有针对性的培训。</w:t>
      </w:r>
    </w:p>
    <w:p>
      <w:pPr>
        <w:pStyle w:val="Normal"/>
        <w:spacing w:lineRule="auto" w:line="360"/>
        <w:ind w:firstLine="537" w:right="0"/>
        <w:rPr>
          <w:sz w:val="28"/>
          <w:szCs w:val="28"/>
        </w:rPr>
      </w:pPr>
      <w:r>
        <w:rPr>
          <w:rFonts w:eastAsia="仿宋_GB2312;仿宋"/>
          <w:sz w:val="28"/>
          <w:szCs w:val="28"/>
        </w:rPr>
        <w:t>第九条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应采取措施强化培训效果，确保员工掌握有关反洗钱操作程序、可疑资金的甄别和分析等知识，熟悉有关反洗钱工作的规定、反洗钱操作规程，以及发现、处理可疑交易的措施，使员工了解并掌握反洗钱义务及其所在岗位的反洗钱工作要求。</w:t>
      </w:r>
    </w:p>
    <w:p>
      <w:pPr>
        <w:pStyle w:val="Normal"/>
        <w:spacing w:lineRule="auto" w:line="360"/>
        <w:ind w:firstLine="537" w:right="0"/>
        <w:rPr>
          <w:rFonts w:eastAsia="仿宋_GB2312;仿宋"/>
          <w:bCs/>
          <w:color w:val="000000"/>
          <w:kern w:val="0"/>
          <w:sz w:val="30"/>
          <w:szCs w:val="30"/>
        </w:rPr>
      </w:pPr>
      <w:r>
        <w:rPr>
          <w:rFonts w:eastAsia="仿宋_GB2312;仿宋"/>
          <w:sz w:val="28"/>
          <w:szCs w:val="28"/>
        </w:rPr>
        <w:t>第十条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应建立反洗钱培训档案，真实记录反洗钱培训时间、内容、签到、测试等情况，不定期检查反洗钱培训情况，确保反洗钱工作人员接受了反洗钱培训，并妥善保管好反洗钱培训档案。</w:t>
      </w:r>
    </w:p>
    <w:p>
      <w:pPr>
        <w:pStyle w:val="Normal"/>
        <w:spacing w:lineRule="auto" w:line="360" w:before="156" w:after="0"/>
        <w:jc w:val="center"/>
        <w:rPr>
          <w:rFonts w:eastAsia="仿宋_GB2312;仿宋"/>
          <w:b/>
          <w:bCs/>
          <w:color w:val="000000"/>
          <w:kern w:val="0"/>
          <w:sz w:val="28"/>
          <w:szCs w:val="28"/>
        </w:rPr>
      </w:pPr>
      <w:r>
        <w:rPr>
          <w:rFonts w:eastAsia="仿宋_GB2312;仿宋"/>
          <w:b/>
          <w:bCs/>
          <w:color w:val="000000"/>
          <w:kern w:val="0"/>
          <w:sz w:val="28"/>
          <w:szCs w:val="28"/>
        </w:rPr>
      </w:r>
    </w:p>
    <w:p>
      <w:pPr>
        <w:pStyle w:val="Normal"/>
        <w:spacing w:lineRule="auto" w:line="360" w:before="156" w:after="0"/>
        <w:jc w:val="center"/>
        <w:rPr>
          <w:b/>
          <w:sz w:val="28"/>
          <w:szCs w:val="28"/>
        </w:rPr>
      </w:pPr>
      <w:r>
        <w:rPr>
          <w:rFonts w:eastAsia="仿宋_GB2312;仿宋"/>
          <w:b/>
          <w:sz w:val="28"/>
          <w:szCs w:val="28"/>
        </w:rPr>
        <w:t>第三章</w:t>
      </w:r>
      <w:r>
        <w:rPr>
          <w:rFonts w:eastAsia="Times New Roman;Times New Roman"/>
          <w:b/>
          <w:sz w:val="28"/>
          <w:szCs w:val="28"/>
        </w:rPr>
        <w:t xml:space="preserve">  </w:t>
      </w:r>
      <w:r>
        <w:rPr>
          <w:rFonts w:eastAsia="仿宋_GB2312;仿宋"/>
          <w:b/>
          <w:sz w:val="28"/>
          <w:szCs w:val="28"/>
        </w:rPr>
        <w:t>反洗钱宣传</w:t>
      </w:r>
    </w:p>
    <w:p>
      <w:pPr>
        <w:pStyle w:val="Normal"/>
        <w:spacing w:lineRule="auto" w:line="360"/>
        <w:ind w:firstLine="537" w:right="0"/>
        <w:rPr>
          <w:rFonts w:eastAsia="仿宋_GB2312;仿宋"/>
        </w:rPr>
      </w:pPr>
      <w:r>
        <w:rPr>
          <w:rFonts w:eastAsia="仿宋_GB2312;仿宋"/>
          <w:sz w:val="28"/>
          <w:szCs w:val="28"/>
        </w:rPr>
        <w:t>第十一条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应结合反洗钱形势和当地实际情况，采取在厅堂宣传、广场集中宣传、社区深入宣传等方式，每年至少组织一次反洗钱宣传活动，介绍有关洗钱的特征、危害以及做好反洗钱工作的重要性，提高社会反洗钱的影响力。</w:t>
      </w:r>
      <w:r>
        <w:rPr>
          <w:rFonts w:eastAsia="Times New Roman;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537" w:right="0"/>
        <w:rPr>
          <w:sz w:val="28"/>
          <w:szCs w:val="28"/>
        </w:rPr>
      </w:pPr>
      <w:r>
        <w:rPr>
          <w:rFonts w:eastAsia="仿宋_GB2312;仿宋"/>
          <w:sz w:val="28"/>
          <w:szCs w:val="28"/>
        </w:rPr>
        <w:t>第十二条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积极参与和配合中国人民银行和省联社组织的反洗钱宣传工作，妥善保存反洗钱宣传资料。</w:t>
      </w:r>
    </w:p>
    <w:p>
      <w:pPr>
        <w:pStyle w:val="Normal"/>
        <w:spacing w:lineRule="auto" w:line="360" w:before="156" w:after="0"/>
        <w:jc w:val="center"/>
        <w:rPr>
          <w:rFonts w:eastAsia="仿宋_GB2312;仿宋"/>
          <w:b/>
          <w:sz w:val="28"/>
          <w:szCs w:val="28"/>
        </w:rPr>
      </w:pPr>
      <w:r>
        <w:rPr>
          <w:rFonts w:eastAsia="仿宋_GB2312;仿宋"/>
          <w:b/>
          <w:sz w:val="28"/>
          <w:szCs w:val="28"/>
        </w:rPr>
      </w:r>
    </w:p>
    <w:p>
      <w:pPr>
        <w:pStyle w:val="Normal"/>
        <w:spacing w:lineRule="auto" w:line="360" w:before="156" w:after="0"/>
        <w:jc w:val="center"/>
        <w:rPr/>
      </w:pPr>
      <w:r>
        <w:rPr>
          <w:rFonts w:eastAsia="仿宋_GB2312;仿宋"/>
          <w:b/>
          <w:sz w:val="28"/>
          <w:szCs w:val="28"/>
        </w:rPr>
        <w:t>第四章</w:t>
      </w:r>
      <w:r>
        <w:rPr>
          <w:rFonts w:eastAsia="Times New Roman;Times New Roman"/>
          <w:b/>
          <w:sz w:val="28"/>
          <w:szCs w:val="28"/>
        </w:rPr>
        <w:t xml:space="preserve">  </w:t>
      </w:r>
      <w:r>
        <w:rPr>
          <w:rFonts w:eastAsia="仿宋_GB2312;仿宋"/>
          <w:b/>
          <w:sz w:val="28"/>
          <w:szCs w:val="28"/>
        </w:rPr>
        <w:t>附</w:t>
      </w:r>
      <w:r>
        <w:rPr>
          <w:rFonts w:eastAsia="Times New Roman;Times New Roman"/>
          <w:b/>
          <w:sz w:val="28"/>
          <w:szCs w:val="28"/>
        </w:rPr>
        <w:t xml:space="preserve"> </w:t>
      </w:r>
      <w:r>
        <w:rPr>
          <w:rFonts w:eastAsia="仿宋_GB2312;仿宋"/>
          <w:b/>
          <w:sz w:val="28"/>
          <w:szCs w:val="28"/>
        </w:rPr>
        <w:t>则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第十三条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本办法由</w:t>
      </w:r>
      <w:r>
        <w:rPr>
          <w:rFonts w:eastAsia="仿宋_GB2312;仿宋"/>
          <w:sz w:val="28"/>
          <w:szCs w:val="28"/>
        </w:rPr>
        <w:t>xxx</w:t>
      </w:r>
      <w:r>
        <w:rPr>
          <w:rFonts w:eastAsia="仿宋_GB2312;仿宋"/>
          <w:sz w:val="28"/>
          <w:szCs w:val="28"/>
        </w:rPr>
        <w:t>银行</w:t>
      </w:r>
      <w:r>
        <w:rPr>
          <w:rFonts w:eastAsia="仿宋_GB2312;仿宋"/>
          <w:sz w:val="28"/>
          <w:szCs w:val="28"/>
        </w:rPr>
        <w:t>运营</w:t>
      </w:r>
      <w:r>
        <w:rPr>
          <w:rFonts w:eastAsia="仿宋_GB2312;仿宋"/>
          <w:sz w:val="28"/>
          <w:szCs w:val="28"/>
        </w:rPr>
        <w:t>管理部负责解释和修订。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第十四条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本办法</w:t>
      </w:r>
      <w:r>
        <w:rPr>
          <w:rFonts w:eastAsia="仿宋_GB2312;仿宋"/>
          <w:sz w:val="28"/>
          <w:szCs w:val="28"/>
        </w:rPr>
        <w:t>自发文之日起施行</w:t>
      </w:r>
      <w:r>
        <w:rPr>
          <w:rFonts w:eastAsia="仿宋_GB2312;仿宋"/>
          <w:sz w:val="28"/>
          <w:szCs w:val="28"/>
        </w:rPr>
        <w:t>。</w:t>
      </w:r>
      <w:bookmarkEnd w:id="0"/>
    </w:p>
    <w:sectPr>
      <w:type w:val="nextPage"/>
      <w:pgSz w:w="11906" w:h="16838"/>
      <w:pgMar w:left="1418" w:right="1418" w:gutter="0" w:header="0" w:top="1814" w:footer="0" w:bottom="1814"/>
      <w:pgNumType w:fmt="decimal"/>
      <w:formProt w:val="false"/>
      <w:textDirection w:val="lrTb"/>
      <w:docGrid w:type="linesAndChars" w:linePitch="312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alibri Light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仿宋_GB2312">
    <w:altName w:val="仿宋"/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Times New Roman" w:hAnsi="Times New Roman;Times New Roman" w:eastAsia="宋体;宋体" w:cs="Times New Roman;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libri Light" w:hAnsi="Calibri Light" w:eastAsia="宋体;宋体" w:cs="Times New Roman;Times New Roman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/>
      <w:numPr>
        <w:ilvl w:val="2"/>
        <w:numId w:val="1"/>
      </w:numPr>
      <w:spacing w:lineRule="auto" w:line="412" w:before="260" w:after="260"/>
      <w:jc w:val="left"/>
      <w:outlineLvl w:val="2"/>
    </w:pPr>
    <w:rPr>
      <w:rFonts w:ascii="Cambria" w:hAnsi="Cambria" w:cs="宋体;宋体"/>
      <w:b/>
      <w:bCs/>
      <w:kern w:val="0"/>
      <w:sz w:val="32"/>
      <w:szCs w:val="32"/>
      <w:lang w:bidi="en-US"/>
    </w:rPr>
  </w:style>
  <w:style w:type="character" w:styleId="Style11">
    <w:name w:val="默认段落字体"/>
    <w:qFormat/>
    <w:rPr/>
  </w:style>
  <w:style w:type="character" w:styleId="PageNumber">
    <w:name w:val="Page Number"/>
    <w:basedOn w:val="Style11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2">
    <w:name w:val="批注框文本"/>
    <w:basedOn w:val="Normal"/>
    <w:qFormat/>
    <w:pPr/>
    <w:rPr>
      <w:sz w:val="18"/>
      <w:szCs w:val="18"/>
    </w:rPr>
  </w:style>
  <w:style w:type="paragraph" w:styleId="Style13">
    <w:name w:val="二级标题"/>
    <w:basedOn w:val="Heading2"/>
    <w:qFormat/>
    <w:pPr>
      <w:numPr>
        <w:ilvl w:val="0"/>
        <w:numId w:val="0"/>
      </w:numPr>
      <w:spacing w:lineRule="auto" w:line="360" w:before="0" w:after="0"/>
      <w:ind w:firstLine="200" w:left="0" w:right="0"/>
      <w:jc w:val="center"/>
      <w:outlineLvl w:val="9"/>
    </w:pPr>
    <w:rPr>
      <w:rFonts w:ascii="仿宋_GB2312;仿宋" w:hAnsi="仿宋_GB2312;仿宋" w:eastAsia="仿宋_GB2312;仿宋" w:cs="华文中宋"/>
      <w:sz w:val="28"/>
      <w:szCs w:val="28"/>
    </w:rPr>
  </w:style>
  <w:style w:type="paragraph" w:styleId="ParaCharCharCharChar">
    <w:name w:val="默认段落字体 Para Char Char Char Char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2020-01-08T21:41:00Z</dcterms:created>
  <dc:creator/>
  <dc:description/>
  <cp:keywords/>
  <dc:language>zh-CN</dc:language>
  <cp:lastModifiedBy/>
  <cp:lastPrinted>2014-08-26T21:01:00Z</cp:lastPrinted>
  <dcterms:modified xsi:type="dcterms:W3CDTF">2020-01-08T21:41:00Z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