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仿宋_GB2312;仿宋"/>
          <w:b/>
          <w:spacing w:val="-16"/>
          <w:kern w:val="2"/>
          <w:sz w:val="28"/>
          <w:szCs w:val="28"/>
        </w:rPr>
      </w:pPr>
      <w:r>
        <w:rPr>
          <w:rFonts w:eastAsia="仿宋_GB2312;仿宋"/>
          <w:b/>
          <w:spacing w:val="-16"/>
          <w:kern w:val="2"/>
          <w:sz w:val="28"/>
          <w:szCs w:val="28"/>
        </w:rPr>
        <w:t>xxx</w:t>
      </w:r>
      <w:r>
        <w:rPr>
          <w:rFonts w:eastAsia="仿宋_GB2312;仿宋"/>
          <w:b/>
          <w:spacing w:val="-16"/>
          <w:kern w:val="2"/>
          <w:sz w:val="28"/>
          <w:szCs w:val="28"/>
        </w:rPr>
        <w:t>银行</w:t>
      </w:r>
    </w:p>
    <w:p>
      <w:pPr>
        <w:pStyle w:val="Style18"/>
        <w:ind w:hanging="0" w:right="0"/>
        <w:rPr>
          <w:rFonts w:ascii="Times New Roman;Times New Roman" w:hAnsi="Times New Roman;Times New Roman" w:cs="Times New Roman;Times New Roman"/>
          <w:lang w:bidi="en-US"/>
        </w:rPr>
      </w:pPr>
      <w:r>
        <w:rPr>
          <w:rFonts w:ascii="Times New Roman;Times New Roman" w:hAnsi="Times New Roman;Times New Roman" w:cs="Times New Roman;Times New Roman"/>
          <w:lang w:bidi="en-US"/>
        </w:rPr>
        <w:t>金融机构相互取现业务管理办法</w:t>
      </w:r>
    </w:p>
    <w:p>
      <w:pPr>
        <w:pStyle w:val="Normal"/>
        <w:rPr>
          <w:rFonts w:ascii="Times New Roman;Times New Roman" w:hAnsi="Times New Roman;Times New Roman" w:eastAsia="仿宋_GB2312;仿宋" w:cs="Times New Roman;Times New Roman"/>
          <w:kern w:val="2"/>
          <w:sz w:val="28"/>
          <w:szCs w:val="28"/>
          <w:lang w:bidi="en-US"/>
        </w:rPr>
      </w:pPr>
      <w:r>
        <w:rPr>
          <w:rFonts w:eastAsia="仿宋_GB2312;仿宋" w:cs="Times New Roman;Times New Roman"/>
          <w:kern w:val="2"/>
          <w:sz w:val="28"/>
          <w:szCs w:val="28"/>
          <w:lang w:bidi="en-US"/>
        </w:rPr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为确保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银行（以下简称“本行”）办理金融机构相互取现业务有序、规范开展，根据</w:t>
      </w:r>
      <w:r>
        <w:rPr>
          <w:rFonts w:eastAsia="仿宋_GB2312;仿宋"/>
          <w:sz w:val="28"/>
          <w:szCs w:val="28"/>
        </w:rPr>
        <w:t>《中华人民共和国</w:t>
      </w:r>
      <w:r>
        <w:rPr>
          <w:rFonts w:eastAsia="仿宋_GB2312;仿宋"/>
          <w:sz w:val="28"/>
          <w:szCs w:val="28"/>
        </w:rPr>
        <w:t>商业银行法》</w:t>
      </w:r>
      <w:r>
        <w:rPr>
          <w:rFonts w:eastAsia="仿宋_GB2312;仿宋"/>
          <w:sz w:val="28"/>
          <w:szCs w:val="28"/>
        </w:rPr>
        <w:t>及中</w:t>
      </w:r>
      <w:r>
        <w:rPr>
          <w:rFonts w:eastAsia="仿宋_GB2312;仿宋"/>
          <w:sz w:val="28"/>
          <w:szCs w:val="28"/>
        </w:rPr>
        <w:t>国人民银行相关规定，特制定本办法。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第二条</w:t>
      </w:r>
      <w:r>
        <w:rPr>
          <w:rFonts w:eastAsia="Times New Roman;Times New Roman"/>
          <w:b/>
          <w:bCs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办理相互取现业务中，提供现金的银行业金融机构称为调出方，领取现金的银行业金融机构称为调入方。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相互取现采用固定配对和灵活配对的组合模式。固定配对模式采取一对多方式，灵活配对模式由人民银行中心支行（以下简称“人民银行”）根据当日存取款预约情况确定。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第四条</w:t>
      </w:r>
      <w:r>
        <w:rPr>
          <w:rFonts w:eastAsia="Times New Roman;Times New Roman"/>
          <w:b/>
          <w:bCs/>
          <w:sz w:val="28"/>
          <w:szCs w:val="28"/>
        </w:rPr>
        <w:t xml:space="preserve"> </w:t>
      </w:r>
      <w:r>
        <w:rPr>
          <w:rFonts w:eastAsia="Times New Roman;Times New Roman"/>
          <w:sz w:val="28"/>
          <w:szCs w:val="28"/>
        </w:rPr>
        <w:t xml:space="preserve"> </w:t>
      </w:r>
      <w:r>
        <w:rPr>
          <w:rFonts w:eastAsia="仿宋_GB2312;仿宋"/>
          <w:sz w:val="28"/>
          <w:szCs w:val="28"/>
        </w:rPr>
        <w:t>相互取现金额纳入现金计划统一管理，应急情况下应服从人民银行的余缺调剂，但原则上采取上门取款方式。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第五条</w:t>
      </w:r>
      <w:r>
        <w:rPr>
          <w:rFonts w:eastAsia="Times New Roman;Times New Roman"/>
          <w:b/>
          <w:bCs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所有工作人员不得对外泄露提取现金数量、提取方式、提取时间及调运路线。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第六条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相互取现业务坚持无偿原则，调剂过程中，银行业金融机构互不收取管理费、手续费、调运费。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第七条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各相关部门必须切实履行各自岗位职责，相互协调配合，确保金融机构相互取现业务的顺利进行。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第八条</w:t>
      </w:r>
      <w:r>
        <w:rPr>
          <w:rFonts w:eastAsia="Times New Roman;Times New Roman"/>
          <w:b/>
          <w:bCs/>
          <w:sz w:val="28"/>
          <w:szCs w:val="28"/>
        </w:rPr>
        <w:t xml:space="preserve"> </w:t>
      </w:r>
      <w:r>
        <w:rPr>
          <w:rFonts w:eastAsia="Times New Roman;Times New Roman"/>
          <w:sz w:val="28"/>
          <w:szCs w:val="28"/>
        </w:rPr>
        <w:t xml:space="preserve"> </w:t>
      </w:r>
      <w:r>
        <w:rPr>
          <w:rFonts w:eastAsia="仿宋_GB2312;仿宋"/>
          <w:sz w:val="28"/>
          <w:szCs w:val="28"/>
        </w:rPr>
        <w:t>与调出方原则上每个工作日办理一次取款或送款业务，如需多次办理，可由双方协商解决。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第九条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从调出方领取的现金，各营业网点清点时如发现长短款，假币等差错情况，按《江苏省银行业金融机构间现金出纳差错管理办法（试行）》的相关规定处理。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第十条</w:t>
      </w:r>
      <w:r>
        <w:rPr>
          <w:rFonts w:eastAsia="Times New Roman;Times New Roman"/>
          <w:b/>
          <w:bCs/>
          <w:sz w:val="28"/>
          <w:szCs w:val="28"/>
        </w:rPr>
        <w:t xml:space="preserve"> </w:t>
      </w:r>
      <w:r>
        <w:rPr>
          <w:rFonts w:eastAsia="Times New Roman;Times New Roman"/>
          <w:sz w:val="28"/>
          <w:szCs w:val="28"/>
        </w:rPr>
        <w:t xml:space="preserve"> </w:t>
      </w:r>
      <w:r>
        <w:rPr>
          <w:rFonts w:eastAsia="仿宋_GB2312;仿宋"/>
          <w:sz w:val="28"/>
          <w:szCs w:val="28"/>
        </w:rPr>
        <w:t>对相互取现业务中有违约行为并被人民银行处罚的，将根据情节轻重对相关责任人进行处罚。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第十一条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本办法由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银行运营管理部负责解释和</w:t>
      </w:r>
      <w:r>
        <w:rPr>
          <w:rFonts w:eastAsia="仿宋_GB2312;仿宋"/>
          <w:sz w:val="28"/>
          <w:szCs w:val="28"/>
        </w:rPr>
        <w:t>修订</w:t>
      </w:r>
      <w:r>
        <w:rPr>
          <w:rFonts w:eastAsia="仿宋_GB2312;仿宋"/>
          <w:sz w:val="28"/>
          <w:szCs w:val="28"/>
        </w:rPr>
        <w:t>。</w:t>
      </w:r>
    </w:p>
    <w:p>
      <w:pPr>
        <w:pStyle w:val="Normal"/>
        <w:spacing w:before="0" w:after="0"/>
        <w:ind w:firstLine="562" w:right="0"/>
        <w:contextualSpacing/>
        <w:rPr/>
      </w:pPr>
      <w:r>
        <w:rPr>
          <w:rFonts w:eastAsia="仿宋_GB2312;仿宋"/>
          <w:b/>
          <w:bCs/>
          <w:sz w:val="28"/>
          <w:szCs w:val="28"/>
        </w:rPr>
        <w:t>第十二条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eastAsia="仿宋_GB2312;仿宋"/>
          <w:sz w:val="28"/>
          <w:szCs w:val="28"/>
        </w:rPr>
        <w:t>。</w:t>
      </w:r>
    </w:p>
    <w:p>
      <w:pPr>
        <w:pStyle w:val="Normal"/>
        <w:tabs>
          <w:tab w:val="clear" w:pos="420"/>
          <w:tab w:val="left" w:pos="360" w:leader="none"/>
        </w:tabs>
        <w:snapToGrid w:val="false"/>
        <w:spacing w:lineRule="exact" w:line="56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宋体" w:cs="Times New Roman;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Style14">
    <w:name w:val="批注引用"/>
    <w:qFormat/>
    <w:rPr>
      <w:sz w:val="21"/>
      <w:szCs w:val="21"/>
    </w:rPr>
  </w:style>
  <w:style w:type="character" w:styleId="Char1">
    <w:name w:val="批注文字 Char"/>
    <w:qFormat/>
    <w:rPr>
      <w:kern w:val="2"/>
      <w:sz w:val="21"/>
    </w:rPr>
  </w:style>
  <w:style w:type="character" w:styleId="Char2">
    <w:name w:val="批注主题 Char"/>
    <w:qFormat/>
    <w:rPr>
      <w:b/>
      <w:bCs/>
      <w:kern w:val="2"/>
      <w:sz w:val="21"/>
    </w:rPr>
  </w:style>
  <w:style w:type="character" w:styleId="Char3">
    <w:name w:val="批注框文本 Char"/>
    <w:qFormat/>
    <w:rPr>
      <w:kern w:val="2"/>
      <w:sz w:val="18"/>
      <w:szCs w:val="18"/>
    </w:rPr>
  </w:style>
  <w:style w:type="character" w:styleId="2Char">
    <w:name w:val="标题 2 Char"/>
    <w:qFormat/>
    <w:rPr>
      <w:rFonts w:ascii="Calibri Light" w:hAnsi="Calibri Light" w:eastAsia="宋体;宋体" w:cs="Times New Roman;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文字"/>
    <w:basedOn w:val="Normal"/>
    <w:qFormat/>
    <w:pPr>
      <w:jc w:val="left"/>
    </w:pPr>
    <w:rPr/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;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>合规部</dc:creator>
  <dc:description/>
  <cp:keywords/>
  <dc:language>zh-CN</dc:language>
  <cp:lastModifiedBy>IAlpaca</cp:lastModifiedBy>
  <dcterms:modified xsi:type="dcterms:W3CDTF">2020-01-08T21:41:00Z</dcterms:modified>
  <cp:revision>2</cp:revision>
  <dc:subject/>
  <dc:title>江苏新沂农村商业银行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